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CF80D" w14:textId="77777777" w:rsidR="007F030F" w:rsidRDefault="007F030F" w:rsidP="007F030F">
      <w:pPr>
        <w:pStyle w:val="Heading3"/>
      </w:pPr>
      <w:r>
        <w:t>1NC – T</w:t>
      </w:r>
    </w:p>
    <w:p w14:paraId="0034F31A" w14:textId="77777777" w:rsidR="007F030F" w:rsidRDefault="007F030F" w:rsidP="007F030F">
      <w:pPr>
        <w:pStyle w:val="Heading4"/>
      </w:pPr>
      <w:r>
        <w:t xml:space="preserve">Interpretation: The “appropriation of outer space” by private entities refers to the exercise of exclusive control of space. </w:t>
      </w:r>
    </w:p>
    <w:p w14:paraId="0A5EE0E6" w14:textId="77777777" w:rsidR="007F030F" w:rsidRPr="00932A50" w:rsidRDefault="007F030F" w:rsidP="007F030F">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4E690B9" w14:textId="77777777" w:rsidR="007F030F" w:rsidRPr="00315C09" w:rsidRDefault="007F030F" w:rsidP="007F030F">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C4B0820" w14:textId="77777777" w:rsidR="007F030F" w:rsidRPr="00932A50" w:rsidRDefault="007F030F" w:rsidP="007F030F">
      <w:pPr>
        <w:pStyle w:val="Heading4"/>
      </w:pPr>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75839926" w14:textId="77777777" w:rsidR="007F030F" w:rsidRPr="00932A50" w:rsidRDefault="007F030F" w:rsidP="007F030F">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54974BBA" w14:textId="77777777" w:rsidR="007F030F" w:rsidRPr="0021742C" w:rsidRDefault="007F030F" w:rsidP="007F030F">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ED2EEB">
        <w:rPr>
          <w:rStyle w:val="StyleUnderline"/>
        </w:rPr>
        <w:t xml:space="preserve">Neil </w:t>
      </w:r>
      <w:r w:rsidRPr="00DD6B15">
        <w:rPr>
          <w:rStyle w:val="StyleUnderline"/>
          <w:highlight w:val="cyan"/>
        </w:rPr>
        <w:t>Armstrong collected moonrocks</w:t>
      </w:r>
      <w:r w:rsidRPr="0021742C">
        <w:rPr>
          <w:sz w:val="12"/>
        </w:rPr>
        <w:t xml:space="preserve"> that he brought back with him to Earth and promptly handed off to the National Aeronautics and Space Administration (NASA) as U.S. property.54 Later, </w:t>
      </w:r>
      <w:r w:rsidRPr="00932A50">
        <w:rPr>
          <w:rStyle w:val="StyleUnderline"/>
        </w:rPr>
        <w:t xml:space="preserve">the </w:t>
      </w:r>
      <w:r w:rsidRPr="00DD6B15">
        <w:rPr>
          <w:rStyle w:val="StyleUnderline"/>
          <w:highlight w:val="cyan"/>
        </w:rPr>
        <w:t xml:space="preserve">USSR </w:t>
      </w:r>
      <w:r w:rsidRPr="00ED2EEB">
        <w:rPr>
          <w:rStyle w:val="StyleUnderline"/>
        </w:rPr>
        <w:t xml:space="preserve">similarly </w:t>
      </w:r>
      <w:r w:rsidRPr="00DD6B15">
        <w:rPr>
          <w:rStyle w:val="StyleUnderline"/>
          <w:highlight w:val="cyan"/>
        </w:rPr>
        <w:t xml:space="preserve">claimed lunar material as government </w:t>
      </w:r>
      <w:r w:rsidRPr="008831E5">
        <w:rPr>
          <w:rStyle w:val="StyleUnderline"/>
          <w:highlight w:val="cyan"/>
        </w:rPr>
        <w:t>property</w:t>
      </w:r>
      <w:r w:rsidRPr="0021742C">
        <w:rPr>
          <w:sz w:val="12"/>
        </w:rPr>
        <w:t xml:space="preserve">, some of which was eventually sold to private citizens. 55 These </w:t>
      </w:r>
      <w:r w:rsidRPr="00ED2EEB">
        <w:rPr>
          <w:rStyle w:val="StyleUnderline"/>
        </w:rPr>
        <w:t xml:space="preserve">first </w:t>
      </w:r>
      <w:r w:rsidRPr="00DD6B15">
        <w:rPr>
          <w:rStyle w:val="StyleUnderline"/>
          <w:highlight w:val="cyan"/>
        </w:rPr>
        <w:t xml:space="preserve">instances </w:t>
      </w:r>
      <w:r w:rsidRPr="00ED2EEB">
        <w:rPr>
          <w:rStyle w:val="StyleUnderline"/>
        </w:rPr>
        <w:t>of space resource appropriation did not draw much attention, but they</w:t>
      </w:r>
      <w:r w:rsidRPr="00DD6B15">
        <w:rPr>
          <w:rStyle w:val="StyleUnderline"/>
          <w:highlight w:val="cyan"/>
        </w:rPr>
        <w:t xml:space="preserve"> </w:t>
      </w:r>
      <w:r w:rsidRPr="008831E5">
        <w:rPr>
          <w:rStyle w:val="StyleUnderline"/>
        </w:rPr>
        <w:t>presented a distinct shift</w:t>
      </w:r>
      <w:r w:rsidRPr="00DD6B15">
        <w:rPr>
          <w:rStyle w:val="StyleUnderline"/>
          <w:highlight w:val="cyan"/>
        </w:rPr>
        <w:t xml:space="preserve"> marking </w:t>
      </w:r>
      <w:r w:rsidRPr="00CD19C2">
        <w:rPr>
          <w:rStyle w:val="StyleUnderline"/>
        </w:rPr>
        <w:t xml:space="preserve">the beginning of </w:t>
      </w:r>
      <w:r w:rsidRPr="00DD6B15">
        <w:rPr>
          <w:rStyle w:val="StyleUnderline"/>
          <w:highlight w:val="cyan"/>
        </w:rPr>
        <w:t>a new period in State practice</w:t>
      </w:r>
      <w:r w:rsidRPr="0021742C">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w:t>
      </w:r>
      <w:r w:rsidRPr="0021742C">
        <w:rPr>
          <w:sz w:val="12"/>
        </w:rPr>
        <w:lastRenderedPageBreak/>
        <w:t xml:space="preserve">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Luxembourg 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drafting a </w:t>
      </w:r>
      <w:r w:rsidRPr="0021742C">
        <w:rPr>
          <w:rStyle w:val="StyleUnderline"/>
        </w:rPr>
        <w:t xml:space="preserve">space </w:t>
      </w:r>
      <w:r w:rsidRPr="00DD6B15">
        <w:rPr>
          <w:rStyle w:val="StyleUnderline"/>
          <w:highlight w:val="cyan"/>
        </w:rPr>
        <w:t xml:space="preserve">law </w:t>
      </w:r>
      <w:r w:rsidRPr="0021742C">
        <w:rPr>
          <w:rStyle w:val="StyleUnderline"/>
        </w:rPr>
        <w:t>covering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DD6B15">
        <w:rPr>
          <w:rStyle w:val="StyleUnderline"/>
          <w:highlight w:val="cyan"/>
        </w:rPr>
        <w:t>considering similar laws</w:t>
      </w:r>
      <w:r w:rsidRPr="00932A50">
        <w:rPr>
          <w:rStyle w:val="StyleUnderline"/>
        </w:rPr>
        <w:t xml:space="preserve"> in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trend </w:t>
      </w:r>
      <w:r w:rsidRPr="008831E5">
        <w:rPr>
          <w:rStyle w:val="StyleUnderline"/>
        </w:rPr>
        <w:t xml:space="preserve">clearly </w:t>
      </w:r>
      <w:r w:rsidRPr="00DD6B15">
        <w:rPr>
          <w:rStyle w:val="StyleUnderline"/>
          <w:highlight w:val="cyan"/>
        </w:rPr>
        <w:t xml:space="preserve">points in this direction </w:t>
      </w:r>
      <w:r w:rsidRPr="0021742C">
        <w:rPr>
          <w:rStyle w:val="StyleUnderline"/>
        </w:rPr>
        <w:t>in anticipation of a potential “</w:t>
      </w:r>
      <w:r w:rsidRPr="0021742C">
        <w:rPr>
          <w:rStyle w:val="Emphasis"/>
        </w:rPr>
        <w:t>space gold rush</w:t>
      </w:r>
      <w:r w:rsidRPr="0021742C">
        <w:rPr>
          <w:sz w:val="12"/>
        </w:rPr>
        <w:t xml:space="preserve">.” 7 Mirroring the shift in State practice and domestic laws, </w:t>
      </w:r>
      <w:r w:rsidRPr="00932A50">
        <w:rPr>
          <w:rStyle w:val="StyleUnderline"/>
        </w:rPr>
        <w:t xml:space="preserve">the </w:t>
      </w:r>
      <w:r w:rsidRPr="00DD6B15">
        <w:rPr>
          <w:rStyle w:val="StyleUnderline"/>
          <w:highlight w:val="cyan"/>
        </w:rPr>
        <w:t>legal community has</w:t>
      </w:r>
      <w:r w:rsidRPr="0021742C">
        <w:rPr>
          <w:sz w:val="12"/>
        </w:rPr>
        <w:t xml:space="preserve"> also </w:t>
      </w:r>
      <w:r w:rsidRPr="00DD6B15">
        <w:rPr>
          <w:rStyle w:val="StyleUnderline"/>
          <w:highlight w:val="cyan"/>
        </w:rPr>
        <w:t xml:space="preserve">changed its approach </w:t>
      </w:r>
      <w:r w:rsidRPr="0021742C">
        <w:rPr>
          <w:rStyle w:val="StyleUnderline"/>
        </w:rPr>
        <w:t xml:space="preserve">to the interpretation of the </w:t>
      </w:r>
      <w:proofErr w:type="spellStart"/>
      <w:r w:rsidRPr="0021742C">
        <w:rPr>
          <w:rStyle w:val="StyleUnderline"/>
        </w:rPr>
        <w:t>nonappropriation</w:t>
      </w:r>
      <w:proofErr w:type="spellEnd"/>
      <w:r w:rsidRPr="0021742C">
        <w:rPr>
          <w:rStyle w:val="StyleUnderline"/>
        </w:rPr>
        <w:t xml:space="preserve"> principle</w:t>
      </w:r>
      <w:r w:rsidRPr="00932A50">
        <w:rPr>
          <w:rStyle w:val="StyleUnderline"/>
        </w:rPr>
        <w:t>.</w:t>
      </w:r>
      <w:r w:rsidRPr="0021742C">
        <w:rPr>
          <w:sz w:val="12"/>
        </w:rPr>
        <w:t xml:space="preserve"> Whereas at the time of the ratification of the Outer Space Treaty the majority of legal scholars tended to apply the non-appropriation principle broadly, </w:t>
      </w:r>
      <w:r w:rsidRPr="0021742C">
        <w:rPr>
          <w:rStyle w:val="StyleUnderline"/>
        </w:rPr>
        <w:t xml:space="preserve">most </w:t>
      </w:r>
      <w:r w:rsidRPr="00DD6B15">
        <w:rPr>
          <w:rStyle w:val="StyleUnderline"/>
          <w:highlight w:val="cyan"/>
        </w:rPr>
        <w:t xml:space="preserve">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DD6B15">
        <w:rPr>
          <w:rStyle w:val="StyleUnderline"/>
          <w:highlight w:val="cyan"/>
        </w:rPr>
        <w:t xml:space="preserve">the 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DD6B15">
        <w:rPr>
          <w:rStyle w:val="StyleUnderline"/>
          <w:highlight w:val="cyan"/>
        </w:rPr>
        <w:t xml:space="preserve">right to use extraterrestrial 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4B410166" w14:textId="77777777" w:rsidR="007F030F" w:rsidRDefault="007F030F" w:rsidP="007F030F">
      <w:pPr>
        <w:pStyle w:val="Heading4"/>
      </w:pPr>
      <w:r>
        <w:lastRenderedPageBreak/>
        <w:t xml:space="preserve">Violation: Banning the appropriation of outer space for [specific thing] is not sovereign claim.  </w:t>
      </w:r>
    </w:p>
    <w:p w14:paraId="17DF964D" w14:textId="77777777" w:rsidR="007F030F" w:rsidRPr="00B36F1B" w:rsidRDefault="007F030F" w:rsidP="007F030F"/>
    <w:p w14:paraId="7795BF31" w14:textId="77777777" w:rsidR="007F030F" w:rsidRPr="00B36F1B" w:rsidRDefault="007F030F" w:rsidP="007F030F">
      <w:pPr>
        <w:pStyle w:val="Heading4"/>
      </w:pPr>
      <w:r>
        <w:t>Standards:</w:t>
      </w:r>
    </w:p>
    <w:p w14:paraId="46D4B5FC" w14:textId="77777777" w:rsidR="007F030F" w:rsidRDefault="007F030F" w:rsidP="007F030F">
      <w:pPr>
        <w:pStyle w:val="Heading4"/>
      </w:pPr>
      <w:r>
        <w:t xml:space="preserve">1] Limits—any outer space activity is topical under their </w:t>
      </w:r>
      <w:proofErr w:type="spellStart"/>
      <w:r>
        <w:t>interp</w:t>
      </w:r>
      <w:proofErr w:type="spellEnd"/>
      <w:r>
        <w:t xml:space="preserve">: tourism, photography, sending rovers, can’t sell rocks on EBAY, which explodes neg prep burdens since outer space activity is so vague. No generics exist to answer both the photography and the rovers </w:t>
      </w:r>
      <w:proofErr w:type="spellStart"/>
      <w:r>
        <w:t>aff</w:t>
      </w:r>
      <w:proofErr w:type="spellEnd"/>
      <w:r>
        <w:t>, so fringe impacts dominate.</w:t>
      </w:r>
    </w:p>
    <w:p w14:paraId="69564FB3" w14:textId="77777777" w:rsidR="007F030F" w:rsidRDefault="007F030F" w:rsidP="007F030F">
      <w:pPr>
        <w:pStyle w:val="Heading4"/>
      </w:pPr>
      <w:r>
        <w:t xml:space="preserve">2] Ground—they shift core topic controversy from sovereign claims to minute space activity. The topic lit is about private entities’ sovereignty over space, which means core DAs like space democracy bad or colonialism bad don’t link to temporary extraction. Their </w:t>
      </w:r>
      <w:proofErr w:type="spellStart"/>
      <w:r>
        <w:t>interp</w:t>
      </w:r>
      <w:proofErr w:type="spellEnd"/>
      <w:r>
        <w:t xml:space="preserve"> minimizes link uniqueness because our </w:t>
      </w:r>
      <w:proofErr w:type="spellStart"/>
      <w:r>
        <w:t>disad</w:t>
      </w:r>
      <w:proofErr w:type="spellEnd"/>
      <w:r>
        <w:t xml:space="preserve"> impacts can’t overcome the advantage. Predictability first—it </w:t>
      </w:r>
      <w:proofErr w:type="gramStart"/>
      <w:r>
        <w:t>link</w:t>
      </w:r>
      <w:proofErr w:type="gramEnd"/>
      <w:r>
        <w:t xml:space="preserve"> turns their depth standards b/c debates foremost require engagement. </w:t>
      </w:r>
    </w:p>
    <w:p w14:paraId="2F3C66FC" w14:textId="77777777" w:rsidR="007F030F" w:rsidRDefault="007F030F" w:rsidP="007F030F"/>
    <w:p w14:paraId="3B47AD09" w14:textId="77777777" w:rsidR="007F030F" w:rsidRDefault="007F030F" w:rsidP="007F030F">
      <w:pPr>
        <w:pStyle w:val="Heading4"/>
        <w:rPr>
          <w:rFonts w:cs="Calibri"/>
        </w:rPr>
      </w:pPr>
      <w:r>
        <w:rPr>
          <w:rFonts w:cs="Calibri"/>
        </w:rPr>
        <w:t>Vote neg for fairness and education</w:t>
      </w:r>
      <w:r w:rsidRPr="00772C2C">
        <w:rPr>
          <w:rFonts w:cs="Calibri"/>
        </w:rPr>
        <w:t xml:space="preserve"> – debate’s a game that needs rules to evaluate and education </w:t>
      </w:r>
      <w:r>
        <w:rPr>
          <w:rFonts w:cs="Calibri"/>
        </w:rPr>
        <w:t>is why schools fund it.</w:t>
      </w:r>
    </w:p>
    <w:p w14:paraId="47C603CB" w14:textId="77777777" w:rsidR="007F030F" w:rsidRPr="00772C2C" w:rsidRDefault="007F030F" w:rsidP="007F030F">
      <w:pPr>
        <w:pStyle w:val="Heading4"/>
        <w:rPr>
          <w:rFonts w:cs="Calibri"/>
        </w:rPr>
      </w:pPr>
      <w:r w:rsidRPr="00772C2C">
        <w:rPr>
          <w:rFonts w:cs="Calibri"/>
        </w:rPr>
        <w:t xml:space="preserve">Drop the debater </w:t>
      </w:r>
      <w:r>
        <w:rPr>
          <w:rFonts w:cs="Calibri"/>
        </w:rPr>
        <w:t>on T—DTA is incoherent, if we win T that means we no longer have the burden of rejoinder.</w:t>
      </w:r>
    </w:p>
    <w:p w14:paraId="591FD53D" w14:textId="50F8FA30" w:rsidR="007F030F" w:rsidRPr="007F030F" w:rsidRDefault="007F030F" w:rsidP="007F030F">
      <w:pPr>
        <w:pStyle w:val="Heading4"/>
      </w:pPr>
      <w:r w:rsidRPr="00772C2C">
        <w:rPr>
          <w:rFonts w:cs="Calibri"/>
        </w:rPr>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 based on personal BS meter. </w:t>
      </w:r>
    </w:p>
    <w:p w14:paraId="47FFED50" w14:textId="0DDE45CF" w:rsidR="001A6E5B" w:rsidRDefault="001A6E5B" w:rsidP="001A6E5B">
      <w:pPr>
        <w:pStyle w:val="Heading3"/>
      </w:pPr>
      <w:r>
        <w:lastRenderedPageBreak/>
        <w:t>Disclosure Theory lol</w:t>
      </w:r>
    </w:p>
    <w:p w14:paraId="403FDEBE" w14:textId="12B63958" w:rsidR="001A6E5B" w:rsidRDefault="001A6E5B" w:rsidP="001A6E5B">
      <w:pPr>
        <w:pStyle w:val="Heading4"/>
      </w:pPr>
      <w:r>
        <w:t xml:space="preserve">Interpretation: Debaters must disclose advocacy texts and advantage areas </w:t>
      </w:r>
      <w:r>
        <w:t>on the NSDA Wiki</w:t>
      </w:r>
    </w:p>
    <w:p w14:paraId="6D510034" w14:textId="14CB72FA" w:rsidR="001A6E5B" w:rsidRDefault="001A6E5B" w:rsidP="001A6E5B">
      <w:pPr>
        <w:pStyle w:val="Heading4"/>
      </w:pPr>
      <w:r>
        <w:t>Violation:</w:t>
      </w:r>
      <w:r>
        <w:t xml:space="preserve"> They aren’t on wiki</w:t>
      </w:r>
    </w:p>
    <w:p w14:paraId="5781BB48" w14:textId="1976B599" w:rsidR="001A6E5B" w:rsidRPr="00B02B9D" w:rsidRDefault="001A6E5B" w:rsidP="001A6E5B"/>
    <w:p w14:paraId="26FAA4AE" w14:textId="77777777" w:rsidR="001A6E5B" w:rsidRDefault="001A6E5B" w:rsidP="001A6E5B">
      <w:pPr>
        <w:pStyle w:val="Heading4"/>
      </w:pPr>
      <w:r>
        <w:t>Standards:</w:t>
      </w:r>
    </w:p>
    <w:p w14:paraId="788C73C9" w14:textId="77777777" w:rsidR="001A6E5B" w:rsidRDefault="001A6E5B" w:rsidP="001A6E5B">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Negatives are forced to rely on generics instead of smart contextual strategies destroying nuanced argumentation. </w:t>
      </w:r>
    </w:p>
    <w:p w14:paraId="3F42D849" w14:textId="77777777" w:rsidR="001A6E5B" w:rsidRDefault="001A6E5B" w:rsidP="001A6E5B">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w:t>
      </w:r>
    </w:p>
    <w:p w14:paraId="02704283" w14:textId="77777777" w:rsidR="001A6E5B" w:rsidRDefault="001A6E5B" w:rsidP="001A6E5B">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27B454D6" w14:textId="77777777" w:rsidR="001A6E5B" w:rsidRDefault="001A6E5B" w:rsidP="001A6E5B">
      <w:pPr>
        <w:pStyle w:val="Heading4"/>
      </w:pPr>
      <w:r>
        <w:t xml:space="preserve">Fairness – it’s a </w:t>
      </w:r>
      <w:proofErr w:type="spellStart"/>
      <w:r>
        <w:t>prereq</w:t>
      </w:r>
      <w:proofErr w:type="spellEnd"/>
      <w:r>
        <w:t xml:space="preserve"> to judge evaluation </w:t>
      </w:r>
    </w:p>
    <w:p w14:paraId="4C2766E4" w14:textId="77777777" w:rsidR="001A6E5B" w:rsidRDefault="001A6E5B" w:rsidP="001A6E5B">
      <w:pPr>
        <w:pStyle w:val="Heading4"/>
      </w:pPr>
      <w:r>
        <w:t xml:space="preserve">Education – it’s the only portable impact </w:t>
      </w:r>
    </w:p>
    <w:p w14:paraId="1EA31ECF" w14:textId="77777777" w:rsidR="001A6E5B" w:rsidRPr="00050C65" w:rsidRDefault="001A6E5B" w:rsidP="001A6E5B">
      <w:pPr>
        <w:pStyle w:val="Heading4"/>
      </w:pPr>
      <w:r>
        <w:t xml:space="preserve">Accessibility – psychic violence is a </w:t>
      </w:r>
      <w:proofErr w:type="spellStart"/>
      <w:r>
        <w:t>prereq</w:t>
      </w:r>
      <w:proofErr w:type="spellEnd"/>
      <w:r>
        <w:t xml:space="preserve"> to being in debate</w:t>
      </w:r>
    </w:p>
    <w:p w14:paraId="72E1A6D7" w14:textId="77777777" w:rsidR="001A6E5B" w:rsidRDefault="001A6E5B" w:rsidP="001A6E5B">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55CA766C" w14:textId="77777777" w:rsidR="001A6E5B" w:rsidRDefault="001A6E5B" w:rsidP="001A6E5B">
      <w:pPr>
        <w:pStyle w:val="Heading4"/>
      </w:pPr>
      <w:r>
        <w:t xml:space="preserve">DTD – its key to deter future abuse </w:t>
      </w:r>
    </w:p>
    <w:p w14:paraId="532DF1DD" w14:textId="77777777" w:rsidR="001A6E5B" w:rsidRPr="0085722F" w:rsidRDefault="001A6E5B" w:rsidP="001A6E5B">
      <w:pPr>
        <w:pStyle w:val="Heading4"/>
      </w:pPr>
      <w:r>
        <w:t xml:space="preserve">No RVI’s- a) chilling effect – people will be too scared to read theory because RVI’s encourage baiting theory b) clash – people go all in on theory which decks substance engagement </w:t>
      </w:r>
    </w:p>
    <w:p w14:paraId="24A482F4" w14:textId="321BBFD4" w:rsidR="001A6E5B" w:rsidRDefault="001A6E5B" w:rsidP="001A6E5B"/>
    <w:p w14:paraId="6D9B0719" w14:textId="0F05EB71" w:rsidR="007F030F" w:rsidRDefault="007F030F" w:rsidP="007F030F">
      <w:pPr>
        <w:pStyle w:val="Heading2"/>
      </w:pPr>
      <w:r>
        <w:lastRenderedPageBreak/>
        <w:t>C</w:t>
      </w:r>
      <w:r w:rsidR="000B24BC">
        <w:t>P</w:t>
      </w:r>
    </w:p>
    <w:p w14:paraId="7125FA41" w14:textId="51F3E134" w:rsidR="000B24BC" w:rsidRPr="000B24BC" w:rsidRDefault="000B24BC" w:rsidP="000B24BC">
      <w:r>
        <w:t xml:space="preserve">We should ban the appropriation of </w:t>
      </w:r>
      <w:proofErr w:type="spellStart"/>
      <w:r>
        <w:t>outerspace</w:t>
      </w:r>
      <w:proofErr w:type="spellEnd"/>
      <w:r>
        <w:t xml:space="preserve"> by </w:t>
      </w:r>
      <w:proofErr w:type="spellStart"/>
      <w:r>
        <w:t>spacex</w:t>
      </w:r>
      <w:proofErr w:type="spellEnd"/>
    </w:p>
    <w:p w14:paraId="146DA55C" w14:textId="51A72C31" w:rsidR="007F030F" w:rsidRDefault="007F030F" w:rsidP="007F030F">
      <w:pPr>
        <w:pStyle w:val="Heading2"/>
      </w:pPr>
      <w:r w:rsidRPr="00100A2B">
        <w:lastRenderedPageBreak/>
        <w:t xml:space="preserve">Neg – Innovation DA </w:t>
      </w:r>
    </w:p>
    <w:p w14:paraId="15574791" w14:textId="50615181" w:rsidR="007F030F" w:rsidRDefault="007F030F" w:rsidP="007F030F"/>
    <w:p w14:paraId="408094CF" w14:textId="56AB72B4" w:rsidR="007F030F" w:rsidRPr="007F030F" w:rsidRDefault="007F030F" w:rsidP="007F030F"/>
    <w:p w14:paraId="4D6D8580" w14:textId="77777777" w:rsidR="007F030F" w:rsidRPr="00100A2B" w:rsidRDefault="007F030F" w:rsidP="007F030F">
      <w:pPr>
        <w:pStyle w:val="Heading3"/>
      </w:pPr>
      <w:r w:rsidRPr="00100A2B">
        <w:lastRenderedPageBreak/>
        <w:t xml:space="preserve">1NC – DIB </w:t>
      </w:r>
    </w:p>
    <w:p w14:paraId="7DA7597C" w14:textId="77777777" w:rsidR="007F030F" w:rsidRPr="00100A2B" w:rsidRDefault="007F030F" w:rsidP="007F030F">
      <w:pPr>
        <w:pStyle w:val="Heading4"/>
      </w:pPr>
      <w:r w:rsidRPr="00100A2B">
        <w:t xml:space="preserve">The US commercial space industry is booming – private space companies are driving innovation </w:t>
      </w:r>
    </w:p>
    <w:p w14:paraId="1820F005" w14:textId="77777777" w:rsidR="007F030F" w:rsidRPr="00100A2B" w:rsidRDefault="007F030F" w:rsidP="007F030F">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42A4C0F7" w14:textId="77777777" w:rsidR="007F030F" w:rsidRPr="00100A2B" w:rsidRDefault="007F030F" w:rsidP="007F030F">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458B92B4" w14:textId="77777777" w:rsidR="007F030F" w:rsidRPr="00100A2B" w:rsidRDefault="007F030F" w:rsidP="007F030F">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xml:space="preserve">, opportunities were limited to nation states and the private defense contractors who supported them. 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1687EE77" w14:textId="77777777" w:rsidR="007F030F" w:rsidRPr="00100A2B" w:rsidRDefault="007F030F" w:rsidP="007F030F">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77D4145B" w14:textId="77777777" w:rsidR="007F030F" w:rsidRPr="00100A2B" w:rsidRDefault="007F030F" w:rsidP="007F030F">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1E1DF20E" w14:textId="77777777" w:rsidR="007F030F" w:rsidRPr="00100A2B" w:rsidRDefault="007F030F" w:rsidP="007F030F">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7DDBB476" w14:textId="77777777" w:rsidR="007F030F" w:rsidRPr="00100A2B" w:rsidRDefault="007F030F" w:rsidP="007F030F">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70A7079A" w14:textId="77777777" w:rsidR="007F030F" w:rsidRPr="00100A2B" w:rsidRDefault="007F030F" w:rsidP="007F030F">
      <w:r w:rsidRPr="00100A2B">
        <w:t>THE NEXT FRONTIER FOR ENTREPRENEURSHIP</w:t>
      </w:r>
    </w:p>
    <w:p w14:paraId="52DB9F26" w14:textId="77777777" w:rsidR="007F030F" w:rsidRPr="00100A2B" w:rsidRDefault="007F030F" w:rsidP="007F030F">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r w:rsidRPr="00100A2B">
        <w:rPr>
          <w:rStyle w:val="StyleUnderline"/>
        </w:rPr>
        <w:t xml:space="preserve">. Overall, </w:t>
      </w:r>
      <w:r w:rsidRPr="00DC19C8">
        <w:rPr>
          <w:rStyle w:val="StyleUnderline"/>
          <w:highlight w:val="cyan"/>
        </w:rPr>
        <w:t>more than $177 billion</w:t>
      </w:r>
      <w:r w:rsidRPr="00100A2B">
        <w:rPr>
          <w:rStyle w:val="StyleUnderline"/>
        </w:rPr>
        <w:t xml:space="preserve"> of </w:t>
      </w:r>
      <w:r w:rsidRPr="00100A2B">
        <w:rPr>
          <w:rStyle w:val="StyleUnderline"/>
        </w:rPr>
        <w:lastRenderedPageBreak/>
        <w:t xml:space="preserve">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4E75468D" w14:textId="77777777" w:rsidR="007F030F" w:rsidRPr="00100A2B" w:rsidRDefault="007F030F" w:rsidP="007F030F">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04206F96" w14:textId="77777777" w:rsidR="007F030F" w:rsidRPr="00100A2B" w:rsidRDefault="007F030F" w:rsidP="007F030F">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6B65713B" w14:textId="77777777" w:rsidR="007F030F" w:rsidRPr="00100A2B" w:rsidRDefault="007F030F" w:rsidP="007F030F">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5" w:history="1">
        <w:r w:rsidRPr="00100A2B">
          <w:rPr>
            <w:rStyle w:val="Hyperlink"/>
          </w:rPr>
          <w:t>https://digitalcommons.lmu.edu/cgi/viewcontent.cgi?article=1708&amp;context=ilr</w:t>
        </w:r>
      </w:hyperlink>
      <w:r w:rsidRPr="00100A2B">
        <w:t>] TDI</w:t>
      </w:r>
    </w:p>
    <w:p w14:paraId="2DB5D6ED" w14:textId="77777777" w:rsidR="007F030F" w:rsidRPr="00100A2B" w:rsidRDefault="007F030F" w:rsidP="007F030F">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34030A8E" w14:textId="77777777" w:rsidR="007F030F" w:rsidRDefault="007F030F" w:rsidP="007F030F">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73B8B5DC" w14:textId="77777777" w:rsidR="007F030F" w:rsidRDefault="007F030F" w:rsidP="007F030F">
      <w:pPr>
        <w:pStyle w:val="ListParagraph"/>
        <w:numPr>
          <w:ilvl w:val="0"/>
          <w:numId w:val="1"/>
        </w:numPr>
      </w:pPr>
      <w:r>
        <w:t xml:space="preserve">Asteroid mining </w:t>
      </w:r>
      <w:proofErr w:type="spellStart"/>
      <w:r>
        <w:t>aff</w:t>
      </w:r>
      <w:proofErr w:type="spellEnd"/>
      <w:r>
        <w:t xml:space="preserve"> restricts private companies’ asteroid which is a significant financial loss</w:t>
      </w:r>
    </w:p>
    <w:p w14:paraId="1025B5AE" w14:textId="77777777" w:rsidR="007F030F" w:rsidRDefault="007F030F" w:rsidP="007F030F">
      <w:pPr>
        <w:pStyle w:val="ListParagraph"/>
        <w:numPr>
          <w:ilvl w:val="0"/>
          <w:numId w:val="1"/>
        </w:numPr>
      </w:pPr>
      <w:r>
        <w:t>As a result of this, companies will move them to other countries</w:t>
      </w:r>
    </w:p>
    <w:p w14:paraId="11B79853" w14:textId="77777777" w:rsidR="007F030F" w:rsidRPr="00A32299" w:rsidRDefault="007F030F" w:rsidP="007F030F">
      <w:pPr>
        <w:pStyle w:val="ListParagraph"/>
        <w:numPr>
          <w:ilvl w:val="0"/>
          <w:numId w:val="1"/>
        </w:numPr>
      </w:pPr>
      <w:r>
        <w:t>SpaceX with lower tax, safety standards, liability</w:t>
      </w:r>
    </w:p>
    <w:p w14:paraId="4B5B5FE6" w14:textId="77777777" w:rsidR="007F030F" w:rsidRPr="00100A2B" w:rsidRDefault="007F030F" w:rsidP="007F030F">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0B7AD9CB" w14:textId="77777777" w:rsidR="007F030F" w:rsidRPr="00100A2B" w:rsidRDefault="007F030F" w:rsidP="007F030F">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0301EF0E" w14:textId="77777777" w:rsidR="007F030F" w:rsidRPr="00100A2B" w:rsidRDefault="007F030F" w:rsidP="007F030F">
      <w:r w:rsidRPr="00100A2B">
        <w:t>3. ISSUES AND CHALLENGES</w:t>
      </w:r>
    </w:p>
    <w:p w14:paraId="7C3CA94D" w14:textId="77777777" w:rsidR="007F030F" w:rsidRPr="00100A2B" w:rsidRDefault="007F030F" w:rsidP="007F030F">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E01C5">
        <w:rPr>
          <w:rStyle w:val="Emphasis"/>
          <w:highlight w:val="cyan"/>
        </w:rPr>
        <w:t>Strengthening the US commercial space industrial base is vital to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3E37D82D" w14:textId="77777777" w:rsidR="007F030F" w:rsidRPr="00100A2B" w:rsidRDefault="007F030F" w:rsidP="007F030F">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w:t>
      </w:r>
      <w:r w:rsidRPr="00100A2B">
        <w:lastRenderedPageBreak/>
        <w:t>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7F6D01CC" w14:textId="77777777" w:rsidR="007F030F" w:rsidRPr="00100A2B" w:rsidRDefault="007F030F" w:rsidP="007F030F">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BE01C5">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13EAEBF1" w14:textId="77777777" w:rsidR="007F030F" w:rsidRPr="00100A2B" w:rsidRDefault="007F030F" w:rsidP="007F030F">
      <w:pPr>
        <w:pStyle w:val="Heading4"/>
      </w:pPr>
      <w:r w:rsidRPr="00100A2B">
        <w:t xml:space="preserve">US space dominance prevents </w:t>
      </w:r>
      <w:r w:rsidRPr="00100A2B">
        <w:rPr>
          <w:u w:val="single"/>
        </w:rPr>
        <w:t>global war</w:t>
      </w:r>
    </w:p>
    <w:p w14:paraId="366A47B4" w14:textId="77777777" w:rsidR="007F030F" w:rsidRPr="00100A2B" w:rsidRDefault="007F030F" w:rsidP="007F030F">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6" w:history="1">
        <w:r w:rsidRPr="00100A2B">
          <w:rPr>
            <w:rStyle w:val="Hyperlink"/>
            <w:rFonts w:eastAsia="Calibri"/>
          </w:rPr>
          <w:t>https://spacenews.com/op-ed-u-s-space-supremacy-now-critical/</w:t>
        </w:r>
      </w:hyperlink>
      <w:r w:rsidRPr="00100A2B">
        <w:rPr>
          <w:rFonts w:eastAsia="Calibri"/>
        </w:rPr>
        <w:t>] TDI</w:t>
      </w:r>
    </w:p>
    <w:p w14:paraId="264DA55A" w14:textId="77777777" w:rsidR="007F030F" w:rsidRDefault="007F030F" w:rsidP="007F030F">
      <w:pPr>
        <w:rPr>
          <w:rStyle w:val="Emphasis"/>
        </w:rPr>
      </w:pPr>
      <w:r w:rsidRPr="00100A2B">
        <w:rPr>
          <w:rStyle w:val="StyleUnderline"/>
        </w:rPr>
        <w:lastRenderedPageBreak/>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 Not only Europe, but the defense of 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lastRenderedPageBreak/>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 </w:t>
      </w:r>
      <w:r w:rsidRPr="00BE01C5">
        <w:rPr>
          <w:rStyle w:val="Emphasis"/>
          <w:highlight w:val="cyan"/>
        </w:rPr>
        <w:t>The latter is what we must have</w:t>
      </w:r>
      <w:r w:rsidRPr="00BE01C5">
        <w:rPr>
          <w:rFonts w:eastAsia="Calibri"/>
          <w:highlight w:val="cyan"/>
        </w:rPr>
        <w:t>.</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E01C5">
        <w:rPr>
          <w:rStyle w:val="Emphasis"/>
          <w:highlight w:val="cyan"/>
        </w:rPr>
        <w:t>If we desire peace on Earth, we need to prepare for war in space.</w:t>
      </w:r>
    </w:p>
    <w:p w14:paraId="601009A2" w14:textId="3066A0DE" w:rsidR="0036125E" w:rsidRDefault="0036125E"/>
    <w:sectPr w:rsidR="00361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E5B"/>
    <w:rsid w:val="000B24BC"/>
    <w:rsid w:val="001A6E5B"/>
    <w:rsid w:val="0036125E"/>
    <w:rsid w:val="007F0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9D11A"/>
  <w15:chartTrackingRefBased/>
  <w15:docId w15:val="{B0A516DD-0ADE-41A8-A79B-F61519FB9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030F"/>
    <w:rPr>
      <w:rFonts w:ascii="Calibri" w:eastAsiaTheme="minorHAnsi" w:hAnsi="Calibri"/>
      <w:lang w:eastAsia="en-US"/>
    </w:rPr>
  </w:style>
  <w:style w:type="paragraph" w:styleId="Heading1">
    <w:name w:val="heading 1"/>
    <w:aliases w:val="Pocket"/>
    <w:basedOn w:val="Normal"/>
    <w:next w:val="Normal"/>
    <w:link w:val="Heading1Char"/>
    <w:qFormat/>
    <w:rsid w:val="007F03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03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03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F03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03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030F"/>
  </w:style>
  <w:style w:type="character" w:customStyle="1" w:styleId="Heading3Char">
    <w:name w:val="Heading 3 Char"/>
    <w:aliases w:val="Block Char"/>
    <w:basedOn w:val="DefaultParagraphFont"/>
    <w:link w:val="Heading3"/>
    <w:uiPriority w:val="2"/>
    <w:rsid w:val="007F030F"/>
    <w:rPr>
      <w:rFonts w:ascii="Calibri" w:eastAsiaTheme="majorEastAsia" w:hAnsi="Calibri" w:cstheme="majorBidi"/>
      <w:b/>
      <w:sz w:val="32"/>
      <w:szCs w:val="24"/>
      <w:u w:val="sing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F030F"/>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030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F030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F030F"/>
    <w:rPr>
      <w:rFonts w:ascii="Calibri" w:hAnsi="Calibri"/>
      <w:b/>
      <w:i w:val="0"/>
      <w:iCs/>
      <w:sz w:val="22"/>
      <w:u w:val="single"/>
      <w:bdr w:val="none" w:sz="0" w:space="0" w:color="auto"/>
    </w:rPr>
  </w:style>
  <w:style w:type="paragraph" w:customStyle="1" w:styleId="Emphasis1">
    <w:name w:val="Emphasis1"/>
    <w:basedOn w:val="Normal"/>
    <w:link w:val="Emphasis"/>
    <w:autoRedefine/>
    <w:uiPriority w:val="7"/>
    <w:qFormat/>
    <w:rsid w:val="007F030F"/>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character" w:customStyle="1" w:styleId="Heading2Char">
    <w:name w:val="Heading 2 Char"/>
    <w:aliases w:val="Hat Char"/>
    <w:basedOn w:val="DefaultParagraphFont"/>
    <w:link w:val="Heading2"/>
    <w:uiPriority w:val="1"/>
    <w:rsid w:val="007F030F"/>
    <w:rPr>
      <w:rFonts w:ascii="Calibri" w:eastAsiaTheme="majorEastAsia" w:hAnsi="Calibri" w:cstheme="majorBidi"/>
      <w:b/>
      <w:sz w:val="44"/>
      <w:szCs w:val="26"/>
      <w:u w:val="double"/>
      <w:lang w:eastAsia="en-US"/>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7F030F"/>
    <w:rPr>
      <w:color w:val="auto"/>
      <w:u w:val="none"/>
    </w:rPr>
  </w:style>
  <w:style w:type="paragraph" w:styleId="ListParagraph">
    <w:name w:val="List Paragraph"/>
    <w:aliases w:val="6 font"/>
    <w:basedOn w:val="Normal"/>
    <w:uiPriority w:val="34"/>
    <w:unhideWhenUsed/>
    <w:qFormat/>
    <w:rsid w:val="007F030F"/>
    <w:pPr>
      <w:ind w:left="720"/>
      <w:contextualSpacing/>
    </w:pPr>
  </w:style>
  <w:style w:type="character" w:customStyle="1" w:styleId="Heading1Char">
    <w:name w:val="Heading 1 Char"/>
    <w:aliases w:val="Pocket Char"/>
    <w:basedOn w:val="DefaultParagraphFont"/>
    <w:link w:val="Heading1"/>
    <w:rsid w:val="007F030F"/>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7F030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pacenews.com/op-ed-u-s-space-supremacy-now-critical/" TargetMode="External"/><Relationship Id="rId5" Type="http://schemas.openxmlformats.org/officeDocument/2006/relationships/hyperlink" Target="https://digitalcommons.lmu.edu/cgi/viewcontent.cgi?article=1708&amp;context=ilr"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35</TotalTime>
  <Pages>13</Pages>
  <Words>6050</Words>
  <Characters>34485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Xue</dc:creator>
  <cp:keywords/>
  <dc:description/>
  <cp:lastModifiedBy>Jason Xue</cp:lastModifiedBy>
  <cp:revision>1</cp:revision>
  <dcterms:created xsi:type="dcterms:W3CDTF">2022-02-20T02:18:00Z</dcterms:created>
  <dcterms:modified xsi:type="dcterms:W3CDTF">2022-02-20T03:39:00Z</dcterms:modified>
</cp:coreProperties>
</file>