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66E" w:rsidRDefault="0034666E" w:rsidP="0034666E">
      <w:pPr>
        <w:pStyle w:val="Heading3"/>
      </w:pPr>
      <w:r>
        <w:t>Framing</w:t>
      </w:r>
    </w:p>
    <w:p w:rsidR="0034666E" w:rsidRPr="00EB533F" w:rsidRDefault="0034666E" w:rsidP="0034666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rsidR="0034666E" w:rsidRPr="00EB533F" w:rsidRDefault="0034666E" w:rsidP="0034666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rsidR="0034666E" w:rsidRDefault="0034666E" w:rsidP="0034666E">
      <w:pPr>
        <w:spacing w:line="276" w:lineRule="auto"/>
      </w:pPr>
      <w:r w:rsidRPr="00EB533F">
        <w:t xml:space="preserve">1.2. THE ETHICS OF EXISTENTIAL RISK In his book Reasons and Persons, Oxford philosopher Derek </w:t>
      </w:r>
      <w:proofErr w:type="spellStart"/>
      <w:r w:rsidRPr="00EB533F">
        <w:t>Parfit</w:t>
      </w:r>
      <w:proofErr w:type="spellEnd"/>
      <w:r w:rsidRPr="00EB533F">
        <w:t xml:space="preserve">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t>
      </w:r>
      <w:proofErr w:type="gramStart"/>
      <w:r w:rsidRPr="00EB533F">
        <w:t>would</w:t>
      </w:r>
      <w:proofErr w:type="gramEnd"/>
      <w:r w:rsidRPr="00EB533F">
        <w:t xml:space="preserve">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w:t>
      </w:r>
      <w:proofErr w:type="gramStart"/>
      <w:r w:rsidRPr="00EB533F">
        <w:t>In</w:t>
      </w:r>
      <w:proofErr w:type="gramEnd"/>
      <w:r w:rsidRPr="00EB533F">
        <w:t xml:space="preserve"> this argument, it seems that </w:t>
      </w:r>
      <w:proofErr w:type="spellStart"/>
      <w:r w:rsidRPr="00EB533F">
        <w:t>Parfit</w:t>
      </w:r>
      <w:proofErr w:type="spellEnd"/>
      <w:r w:rsidRPr="00EB533F">
        <w:t xml:space="preserve">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proofErr w:type="spellStart"/>
      <w:r w:rsidRPr="00EB533F">
        <w:rPr>
          <w:rStyle w:val="StyleUnderline"/>
        </w:rPr>
        <w:t>Bostrom</w:t>
      </w:r>
      <w:proofErr w:type="spellEnd"/>
      <w:r w:rsidRPr="00EB533F">
        <w:rPr>
          <w:rStyle w:val="StyleUnderline"/>
        </w:rPr>
        <w:t>, puts it.</w:t>
      </w:r>
      <w:r w:rsidRPr="00EB533F">
        <w:t xml:space="preserve">66 </w:t>
      </w:r>
      <w:proofErr w:type="gramStart"/>
      <w:r w:rsidRPr="00EB533F">
        <w:rPr>
          <w:rStyle w:val="StyleUnderline"/>
          <w:highlight w:val="green"/>
        </w:rPr>
        <w:t>This</w:t>
      </w:r>
      <w:proofErr w:type="gramEnd"/>
      <w:r w:rsidRPr="00EB533F">
        <w:rPr>
          <w:rStyle w:val="StyleUnderline"/>
          <w:highlight w:val="green"/>
        </w:rPr>
        <w:t xml:space="preserve">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w:t>
      </w:r>
      <w:proofErr w:type="spellStart"/>
      <w:r w:rsidRPr="00EB533F">
        <w:t>Parfit</w:t>
      </w:r>
      <w:proofErr w:type="spellEnd"/>
      <w:r w:rsidRPr="00EB533F">
        <w:t xml:space="preserve"> and </w:t>
      </w:r>
      <w:proofErr w:type="spellStart"/>
      <w:r w:rsidRPr="00EB533F">
        <w:t>Bostrom’s</w:t>
      </w:r>
      <w:proofErr w:type="spellEnd"/>
      <w:r w:rsidRPr="00EB533F">
        <w:t xml:space="preserve">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proofErr w:type="gramStart"/>
      <w:r w:rsidRPr="00EB533F">
        <w:rPr>
          <w:rStyle w:val="StyleUnderline"/>
        </w:rPr>
        <w:t>There</w:t>
      </w:r>
      <w:proofErr w:type="gramEnd"/>
      <w:r w:rsidRPr="00EB533F">
        <w:rPr>
          <w:rStyle w:val="StyleUnderline"/>
        </w:rPr>
        <w:t xml:space="preserv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w:t>
      </w:r>
      <w:proofErr w:type="gramStart"/>
      <w:r w:rsidRPr="00EB533F">
        <w:t>case,</w:t>
      </w:r>
      <w:proofErr w:type="gramEnd"/>
      <w:r w:rsidRPr="00EB533F">
        <w:t xml:space="preserv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rsidR="0034666E" w:rsidRPr="00D74186" w:rsidRDefault="0034666E" w:rsidP="0034666E">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rsidR="0034666E" w:rsidRPr="004E07E9" w:rsidRDefault="0034666E" w:rsidP="0034666E">
      <w:r w:rsidRPr="004E07E9">
        <w:rPr>
          <w:b/>
          <w:sz w:val="26"/>
        </w:rPr>
        <w:t>Moen 16</w:t>
      </w:r>
      <w:r w:rsidRPr="004E07E9">
        <w:t xml:space="preserve"> [Ole Martin Moen, Research Fellow in Philosophy at University of Oslo “An Argument for Hedonism” Journal of Value Inquiry (Springer), 50 (2) 2016: 267–281] SJDI</w:t>
      </w:r>
    </w:p>
    <w:p w:rsidR="0034666E" w:rsidRDefault="0034666E" w:rsidP="0034666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34666E" w:rsidRPr="00D74186" w:rsidRDefault="0034666E" w:rsidP="0034666E">
      <w:pPr>
        <w:rPr>
          <w:b/>
          <w:u w:val="single"/>
        </w:rPr>
      </w:pPr>
    </w:p>
    <w:p w:rsidR="0034666E" w:rsidRDefault="0034666E" w:rsidP="0034666E">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rsidR="0034666E" w:rsidRPr="00CA3910" w:rsidRDefault="0034666E" w:rsidP="0034666E"/>
    <w:p w:rsidR="0034666E" w:rsidRDefault="0034666E" w:rsidP="0034666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rsidR="0034666E" w:rsidRPr="00A1601B" w:rsidRDefault="0034666E" w:rsidP="0034666E"/>
    <w:p w:rsidR="0034666E" w:rsidRDefault="0034666E" w:rsidP="0034666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rsidR="0034666E" w:rsidRPr="00A1601B" w:rsidRDefault="0034666E" w:rsidP="0034666E"/>
    <w:p w:rsidR="0034666E" w:rsidRPr="00B92D88" w:rsidRDefault="0034666E" w:rsidP="0034666E">
      <w:pPr>
        <w:pStyle w:val="Heading4"/>
        <w:rPr>
          <w:b w:val="0"/>
          <w:bCs/>
        </w:rPr>
      </w:pPr>
      <w:r>
        <w:lastRenderedPageBreak/>
        <w:t xml:space="preserve">2] </w:t>
      </w:r>
      <w:r w:rsidRPr="00B92D88">
        <w:rPr>
          <w:rStyle w:val="Style13ptBold"/>
          <w:b/>
        </w:rPr>
        <w:t>No act-omission distinction—governments are responsible for everything in the public sphere so inaction is implicit authorization of action: they have to yes/no bills, which means everything collapse to aggregation.</w:t>
      </w:r>
    </w:p>
    <w:p w:rsidR="0034666E" w:rsidRDefault="0034666E" w:rsidP="0034666E">
      <w:pPr>
        <w:pStyle w:val="Heading3"/>
        <w:jc w:val="left"/>
      </w:pPr>
    </w:p>
    <w:p w:rsidR="0034666E" w:rsidRPr="00100A2B" w:rsidRDefault="0034666E" w:rsidP="0034666E">
      <w:pPr>
        <w:pStyle w:val="Heading3"/>
      </w:pPr>
      <w:r w:rsidRPr="00100A2B">
        <w:lastRenderedPageBreak/>
        <w:t xml:space="preserve">AC – Plan </w:t>
      </w:r>
    </w:p>
    <w:p w:rsidR="0034666E" w:rsidRPr="00100A2B" w:rsidRDefault="0034666E" w:rsidP="0034666E">
      <w:pPr>
        <w:pStyle w:val="Heading4"/>
        <w:rPr>
          <w:rFonts w:cs="Calibri"/>
        </w:rPr>
      </w:pPr>
      <w:r w:rsidRPr="00100A2B">
        <w:rPr>
          <w:rFonts w:cs="Calibri"/>
        </w:rPr>
        <w:t>Plan – states ought to ban the appropriation of outer space for mining activities by private entities.</w:t>
      </w:r>
    </w:p>
    <w:p w:rsidR="0034666E" w:rsidRPr="00100A2B" w:rsidRDefault="0034666E" w:rsidP="0034666E"/>
    <w:p w:rsidR="0034666E" w:rsidRPr="00100A2B" w:rsidRDefault="0034666E" w:rsidP="0034666E">
      <w:pPr>
        <w:pStyle w:val="Heading4"/>
        <w:rPr>
          <w:rFonts w:cs="Calibri"/>
        </w:rPr>
      </w:pPr>
      <w:r w:rsidRPr="00100A2B">
        <w:rPr>
          <w:rFonts w:cs="Calibri"/>
        </w:rPr>
        <w:t>Normal means is ratification of the Moon Treaty</w:t>
      </w:r>
    </w:p>
    <w:p w:rsidR="0034666E" w:rsidRPr="00100A2B" w:rsidRDefault="0034666E" w:rsidP="0034666E">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7"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8"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34666E" w:rsidRPr="00100A2B" w:rsidRDefault="0034666E" w:rsidP="0034666E">
      <w:pPr>
        <w:pStyle w:val="Heading3"/>
      </w:pPr>
      <w:r w:rsidRPr="00100A2B">
        <w:lastRenderedPageBreak/>
        <w:t xml:space="preserve">AC – Debris Advantage </w:t>
      </w:r>
    </w:p>
    <w:p w:rsidR="0034666E" w:rsidRPr="00100A2B" w:rsidRDefault="0034666E" w:rsidP="0034666E">
      <w:pPr>
        <w:pStyle w:val="Heading4"/>
        <w:rPr>
          <w:rFonts w:cs="Calibri"/>
        </w:rPr>
      </w:pPr>
      <w:r w:rsidRPr="00100A2B">
        <w:rPr>
          <w:rFonts w:cs="Calibri"/>
        </w:rPr>
        <w:t>Private space mining and ownership allowed now</w:t>
      </w:r>
    </w:p>
    <w:p w:rsidR="0034666E" w:rsidRPr="00100A2B" w:rsidRDefault="0034666E" w:rsidP="0034666E">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rsidR="0034666E" w:rsidRPr="00100A2B" w:rsidRDefault="0034666E" w:rsidP="0034666E">
      <w:pPr>
        <w:rPr>
          <w:b/>
          <w:bCs/>
        </w:rPr>
      </w:pPr>
      <w:r w:rsidRPr="00745B2A">
        <w:rPr>
          <w:rStyle w:val="StyleUnderline"/>
        </w:rPr>
        <w:t>Trump signs an executive order allowing mining the moon and asteroids</w:t>
      </w:r>
    </w:p>
    <w:p w:rsidR="0034666E" w:rsidRPr="00100A2B" w:rsidRDefault="0034666E" w:rsidP="0034666E">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34666E" w:rsidRPr="00100A2B" w:rsidRDefault="0034666E" w:rsidP="0034666E">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rsidR="0034666E" w:rsidRPr="00100A2B" w:rsidRDefault="0034666E" w:rsidP="0034666E"/>
    <w:p w:rsidR="0034666E" w:rsidRPr="00100A2B" w:rsidRDefault="0034666E" w:rsidP="0034666E">
      <w:pPr>
        <w:pStyle w:val="Heading4"/>
      </w:pPr>
      <w:r w:rsidRPr="00100A2B">
        <w:t>New investments coming and companies are launching – economic incentives make it alluring</w:t>
      </w:r>
    </w:p>
    <w:p w:rsidR="0034666E" w:rsidRPr="00100A2B" w:rsidRDefault="0034666E" w:rsidP="0034666E">
      <w:proofErr w:type="spellStart"/>
      <w:r w:rsidRPr="00100A2B">
        <w:rPr>
          <w:rStyle w:val="StyleUnderline"/>
          <w:sz w:val="26"/>
          <w:szCs w:val="26"/>
        </w:rPr>
        <w:t>Tosar</w:t>
      </w:r>
      <w:proofErr w:type="spellEnd"/>
      <w:r w:rsidRPr="00100A2B">
        <w:rPr>
          <w:rStyle w:val="StyleUnderline"/>
          <w:sz w:val="26"/>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rsidR="0034666E" w:rsidRPr="00100A2B" w:rsidRDefault="0034666E" w:rsidP="0034666E">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34666E" w:rsidRPr="00100A2B" w:rsidRDefault="0034666E" w:rsidP="0034666E">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34666E" w:rsidRPr="00100A2B" w:rsidRDefault="0034666E" w:rsidP="0034666E">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9"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34666E" w:rsidRPr="00100A2B" w:rsidRDefault="0034666E" w:rsidP="0034666E"/>
    <w:p w:rsidR="0034666E" w:rsidRPr="00100A2B" w:rsidRDefault="0034666E" w:rsidP="0034666E">
      <w:pPr>
        <w:pStyle w:val="Heading4"/>
        <w:rPr>
          <w:rFonts w:cs="Calibri"/>
        </w:rPr>
      </w:pPr>
      <w:r w:rsidRPr="00100A2B">
        <w:rPr>
          <w:rFonts w:cs="Calibri"/>
        </w:rPr>
        <w:lastRenderedPageBreak/>
        <w:t>Asteroid mining spikes the risk of satellite-dust collisions</w:t>
      </w:r>
    </w:p>
    <w:p w:rsidR="0034666E" w:rsidRPr="00100A2B" w:rsidRDefault="0034666E" w:rsidP="0034666E">
      <w:proofErr w:type="spellStart"/>
      <w:r w:rsidRPr="00100A2B">
        <w:rPr>
          <w:rStyle w:val="StyleUnderline"/>
          <w:sz w:val="26"/>
          <w:szCs w:val="26"/>
        </w:rPr>
        <w:t>Scoles</w:t>
      </w:r>
      <w:proofErr w:type="spellEnd"/>
      <w:r w:rsidRPr="00100A2B">
        <w:rPr>
          <w:rStyle w:val="StyleUnderline"/>
          <w:sz w:val="26"/>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rsidR="0034666E" w:rsidRPr="00100A2B" w:rsidRDefault="0034666E" w:rsidP="0034666E">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rsidR="0034666E" w:rsidRPr="00100A2B" w:rsidRDefault="0034666E" w:rsidP="0034666E">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rsidR="0034666E" w:rsidRPr="00100A2B" w:rsidRDefault="0034666E" w:rsidP="0034666E">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34666E" w:rsidRPr="00100A2B" w:rsidRDefault="0034666E" w:rsidP="0034666E">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rsidR="0034666E" w:rsidRPr="00100A2B" w:rsidRDefault="0034666E" w:rsidP="0034666E"/>
    <w:p w:rsidR="0034666E" w:rsidRPr="00100A2B" w:rsidRDefault="0034666E" w:rsidP="0034666E">
      <w:pPr>
        <w:pStyle w:val="Heading4"/>
        <w:rPr>
          <w:rFonts w:cs="Calibri"/>
        </w:rPr>
      </w:pPr>
      <w:r w:rsidRPr="00100A2B">
        <w:rPr>
          <w:rFonts w:cs="Calibri"/>
        </w:rPr>
        <w:t>Space dust wrecks satellites and debris exponentially spirals</w:t>
      </w:r>
    </w:p>
    <w:p w:rsidR="0034666E" w:rsidRPr="00100A2B" w:rsidRDefault="0034666E" w:rsidP="0034666E">
      <w:proofErr w:type="spellStart"/>
      <w:r w:rsidRPr="00100A2B">
        <w:rPr>
          <w:rStyle w:val="StyleUnderline"/>
          <w:sz w:val="26"/>
          <w:szCs w:val="26"/>
        </w:rPr>
        <w:t>Intagliata</w:t>
      </w:r>
      <w:proofErr w:type="spellEnd"/>
      <w:r w:rsidRPr="00100A2B">
        <w:rPr>
          <w:rStyle w:val="StyleUnderline"/>
          <w:sz w:val="26"/>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rsidR="0034666E" w:rsidRPr="00100A2B" w:rsidRDefault="0034666E" w:rsidP="0034666E">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34666E" w:rsidRPr="00100A2B" w:rsidRDefault="0034666E" w:rsidP="0034666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34666E" w:rsidRPr="00100A2B" w:rsidRDefault="0034666E" w:rsidP="0034666E">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34666E" w:rsidRPr="00100A2B" w:rsidRDefault="0034666E" w:rsidP="0034666E">
      <w:r w:rsidRPr="00100A2B">
        <w:rPr>
          <w:rStyle w:val="StyleUnderline"/>
        </w:rPr>
        <w:lastRenderedPageBreak/>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34666E" w:rsidRPr="00100A2B" w:rsidRDefault="0034666E" w:rsidP="0034666E">
      <w:r w:rsidRPr="00100A2B">
        <w:t>"We also think this phenomenon can be attributed to some of the failures and anomalies we see on orbit, that right now are basically tagged as 'unknown cause.'"</w:t>
      </w:r>
    </w:p>
    <w:p w:rsidR="0034666E" w:rsidRPr="00100A2B" w:rsidRDefault="0034666E" w:rsidP="0034666E">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34666E" w:rsidRPr="00100A2B" w:rsidRDefault="0034666E" w:rsidP="0034666E">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rsidR="0034666E" w:rsidRPr="00100A2B" w:rsidRDefault="0034666E" w:rsidP="0034666E"/>
    <w:p w:rsidR="0034666E" w:rsidRPr="00100A2B" w:rsidRDefault="0034666E" w:rsidP="0034666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34666E" w:rsidRPr="00100A2B" w:rsidRDefault="0034666E" w:rsidP="0034666E">
      <w:proofErr w:type="spellStart"/>
      <w:r w:rsidRPr="00100A2B">
        <w:rPr>
          <w:rStyle w:val="StyleUnderline"/>
          <w:sz w:val="26"/>
          <w:szCs w:val="26"/>
        </w:rPr>
        <w:t>Orwig</w:t>
      </w:r>
      <w:proofErr w:type="spellEnd"/>
      <w:r w:rsidRPr="00100A2B">
        <w:rPr>
          <w:rStyle w:val="StyleUnderline"/>
          <w:sz w:val="26"/>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rsidR="0034666E" w:rsidRPr="00100A2B" w:rsidRDefault="0034666E" w:rsidP="0034666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34666E" w:rsidRPr="00100A2B" w:rsidRDefault="0034666E" w:rsidP="0034666E">
      <w:r w:rsidRPr="00100A2B">
        <w:t>Scientists estimate that anywhere from 500,000 to 600,000 pieces of human-made space debris between 0.4 and 4 inches in size are currently orbiting the Earth and traveling at speeds over 17,000 miles per hour.</w:t>
      </w:r>
    </w:p>
    <w:p w:rsidR="0034666E" w:rsidRPr="00100A2B" w:rsidRDefault="0034666E" w:rsidP="0034666E">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34666E" w:rsidRPr="00100A2B" w:rsidRDefault="0034666E" w:rsidP="0034666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34666E" w:rsidRPr="00100A2B" w:rsidRDefault="0034666E" w:rsidP="0034666E">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34666E" w:rsidRPr="00100A2B" w:rsidRDefault="0034666E" w:rsidP="0034666E">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34666E" w:rsidRPr="00100A2B" w:rsidRDefault="0034666E" w:rsidP="0034666E">
      <w:r w:rsidRPr="00100A2B">
        <w:t>A politically dangerous dilemma</w:t>
      </w:r>
    </w:p>
    <w:p w:rsidR="0034666E" w:rsidRPr="00100A2B" w:rsidRDefault="0034666E" w:rsidP="0034666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34666E" w:rsidRPr="00100A2B" w:rsidRDefault="0034666E" w:rsidP="0034666E">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34666E" w:rsidRPr="00100A2B" w:rsidRDefault="0034666E" w:rsidP="0034666E">
      <w:r w:rsidRPr="00100A2B">
        <w:t>"</w:t>
      </w:r>
      <w:r w:rsidRPr="00100A2B">
        <w:rPr>
          <w:rStyle w:val="StyleUnderline"/>
        </w:rPr>
        <w:t>This is a politically dangerous dilemma</w:t>
      </w:r>
      <w:r w:rsidRPr="00100A2B">
        <w:t xml:space="preserve">," he added. </w:t>
      </w:r>
    </w:p>
    <w:p w:rsidR="0034666E" w:rsidRPr="00100A2B" w:rsidRDefault="0034666E" w:rsidP="0034666E">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34666E" w:rsidRPr="00100A2B" w:rsidRDefault="0034666E" w:rsidP="0034666E">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34666E" w:rsidRPr="00100A2B" w:rsidRDefault="0034666E" w:rsidP="0034666E">
      <w:pPr>
        <w:rPr>
          <w:rStyle w:val="StyleUnderline"/>
        </w:rPr>
      </w:pPr>
      <w:r w:rsidRPr="00100A2B">
        <w:rPr>
          <w:rStyle w:val="StyleUnderline"/>
        </w:rPr>
        <w:t>The Kessler Syndrome</w:t>
      </w:r>
    </w:p>
    <w:p w:rsidR="0034666E" w:rsidRPr="00100A2B" w:rsidRDefault="0034666E" w:rsidP="0034666E">
      <w:r w:rsidRPr="00100A2B">
        <w:t xml:space="preserve">In 1978, American astrophysicist Donald Kessler predicted that the amount of space debris around Earth would begin to grow exponentially after the turn of the millennium. </w:t>
      </w:r>
    </w:p>
    <w:p w:rsidR="0034666E" w:rsidRPr="00100A2B" w:rsidRDefault="0034666E" w:rsidP="0034666E">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34666E" w:rsidRPr="00100A2B" w:rsidRDefault="0034666E" w:rsidP="0034666E">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34666E" w:rsidRPr="00100A2B" w:rsidRDefault="0034666E" w:rsidP="0034666E">
      <w:r w:rsidRPr="00100A2B">
        <w:t xml:space="preserve">For Kessler, this is a problem because it would "create small debris faster than it can be removed," Kessler said last year. And this cloud of junk could eventually make missions to space too dangerous. </w:t>
      </w:r>
    </w:p>
    <w:p w:rsidR="0034666E" w:rsidRPr="00100A2B" w:rsidRDefault="0034666E" w:rsidP="0034666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34666E" w:rsidRPr="00100A2B" w:rsidRDefault="0034666E" w:rsidP="0034666E">
      <w:r w:rsidRPr="00100A2B">
        <w:t xml:space="preserve">The future </w:t>
      </w:r>
    </w:p>
    <w:p w:rsidR="0034666E" w:rsidRPr="00100A2B" w:rsidRDefault="0034666E" w:rsidP="0034666E">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34666E" w:rsidRPr="00100A2B" w:rsidRDefault="0034666E" w:rsidP="0034666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34666E" w:rsidRPr="00100A2B" w:rsidRDefault="0034666E" w:rsidP="0034666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34666E" w:rsidRPr="00100A2B" w:rsidRDefault="0034666E" w:rsidP="0034666E">
      <w:r w:rsidRPr="00100A2B">
        <w:lastRenderedPageBreak/>
        <w:t xml:space="preserve">1.5 times more fragments greater than 8 inches across </w:t>
      </w:r>
    </w:p>
    <w:p w:rsidR="0034666E" w:rsidRPr="00100A2B" w:rsidRDefault="0034666E" w:rsidP="0034666E">
      <w:r w:rsidRPr="00100A2B">
        <w:t xml:space="preserve">3.2 times more fragments between 4 and 8 inches across </w:t>
      </w:r>
    </w:p>
    <w:p w:rsidR="0034666E" w:rsidRPr="00100A2B" w:rsidRDefault="0034666E" w:rsidP="0034666E">
      <w:r w:rsidRPr="00100A2B">
        <w:t>13-20 times more smaller-sized fragments less than 4 inches across</w:t>
      </w:r>
    </w:p>
    <w:p w:rsidR="0034666E" w:rsidRPr="00100A2B" w:rsidRDefault="0034666E" w:rsidP="0034666E">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34666E" w:rsidRPr="00100A2B" w:rsidRDefault="0034666E" w:rsidP="0034666E"/>
    <w:p w:rsidR="0034666E" w:rsidRPr="00100A2B" w:rsidRDefault="0034666E" w:rsidP="0034666E">
      <w:pPr>
        <w:pStyle w:val="Heading4"/>
        <w:rPr>
          <w:rFonts w:cs="Calibri"/>
        </w:rPr>
      </w:pPr>
      <w:r w:rsidRPr="00100A2B">
        <w:rPr>
          <w:rFonts w:cs="Calibri"/>
        </w:rPr>
        <w:t>Nuke war causes extinction – it won’t stay limited</w:t>
      </w:r>
    </w:p>
    <w:p w:rsidR="0034666E" w:rsidRPr="00100A2B" w:rsidRDefault="0034666E" w:rsidP="0034666E">
      <w:r w:rsidRPr="00100A2B">
        <w:rPr>
          <w:rStyle w:val="StyleUnderline"/>
          <w:sz w:val="26"/>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34666E" w:rsidRPr="00100A2B" w:rsidRDefault="0034666E" w:rsidP="0034666E">
      <w:pPr>
        <w:rPr>
          <w:szCs w:val="26"/>
        </w:rPr>
      </w:pPr>
      <w:r w:rsidRPr="00100A2B">
        <w:rPr>
          <w:rStyle w:val="StyleUnderline"/>
        </w:rPr>
        <w:t>We are not talking enough about the climatic effects of nuclear war</w:t>
      </w:r>
      <w:r w:rsidRPr="00100A2B">
        <w:rPr>
          <w:szCs w:val="26"/>
        </w:rPr>
        <w:t xml:space="preserve">. </w:t>
      </w:r>
    </w:p>
    <w:p w:rsidR="0034666E" w:rsidRPr="00100A2B" w:rsidRDefault="0034666E" w:rsidP="0034666E">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34666E" w:rsidRPr="00100A2B" w:rsidRDefault="0034666E" w:rsidP="0034666E">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34666E" w:rsidRPr="00100A2B" w:rsidRDefault="0034666E" w:rsidP="0034666E">
      <w:pPr>
        <w:rPr>
          <w:szCs w:val="26"/>
        </w:rPr>
      </w:pPr>
      <w:r w:rsidRPr="00100A2B">
        <w:rPr>
          <w:szCs w:val="26"/>
        </w:rPr>
        <w:t xml:space="preserve">What about a larger-scale conflict? </w:t>
      </w:r>
    </w:p>
    <w:p w:rsidR="0034666E" w:rsidRPr="00100A2B" w:rsidRDefault="0034666E" w:rsidP="0034666E">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34666E" w:rsidRPr="00100A2B" w:rsidRDefault="0034666E" w:rsidP="0034666E">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34666E" w:rsidRPr="00100A2B" w:rsidRDefault="0034666E" w:rsidP="0034666E">
      <w:pPr>
        <w:rPr>
          <w:szCs w:val="26"/>
        </w:rPr>
      </w:pPr>
      <w:r w:rsidRPr="00100A2B">
        <w:rPr>
          <w:szCs w:val="26"/>
        </w:rPr>
        <w:lastRenderedPageBreak/>
        <w:t>Many people are concerned about North Korea’s advancing mis</w:t>
      </w:r>
      <w:bookmarkStart w:id="0" w:name="_GoBack"/>
      <w:bookmarkEnd w:id="0"/>
      <w:r w:rsidRPr="00100A2B">
        <w:rPr>
          <w:szCs w:val="26"/>
        </w:rPr>
        <w:t xml:space="preserve">sile capabilities. Is nuclear war likely in your opinion? </w:t>
      </w:r>
    </w:p>
    <w:p w:rsidR="0034666E" w:rsidRPr="00100A2B" w:rsidRDefault="0034666E" w:rsidP="0034666E">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34666E" w:rsidRPr="00100A2B" w:rsidRDefault="0034666E" w:rsidP="0034666E">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rsidR="0034666E" w:rsidRPr="00100A2B" w:rsidRDefault="0034666E" w:rsidP="0034666E">
      <w:pPr>
        <w:rPr>
          <w:szCs w:val="26"/>
        </w:rPr>
      </w:pPr>
      <w:r w:rsidRPr="00100A2B">
        <w:rPr>
          <w:szCs w:val="26"/>
        </w:rPr>
        <w:t xml:space="preserve">It has been more than 70 years since the last time a nuclear bomb was used in warfare. What would be the effects on the environment and on human health today? </w:t>
      </w:r>
    </w:p>
    <w:p w:rsidR="0034666E" w:rsidRPr="00100A2B" w:rsidRDefault="0034666E" w:rsidP="0034666E">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34666E" w:rsidRPr="00100A2B" w:rsidRDefault="0034666E" w:rsidP="0034666E"/>
    <w:p w:rsidR="0034666E" w:rsidRPr="00100A2B" w:rsidRDefault="0034666E" w:rsidP="0034666E">
      <w:pPr>
        <w:pStyle w:val="Heading3"/>
      </w:pPr>
      <w:r w:rsidRPr="00100A2B">
        <w:lastRenderedPageBreak/>
        <w:t xml:space="preserve">AC – Africa Mining Advantage </w:t>
      </w:r>
    </w:p>
    <w:p w:rsidR="0034666E" w:rsidRPr="00100A2B" w:rsidRDefault="0034666E" w:rsidP="0034666E">
      <w:pPr>
        <w:pStyle w:val="Heading4"/>
      </w:pPr>
      <w:r w:rsidRPr="00100A2B">
        <w:t xml:space="preserve">Space mining destroys the African economy </w:t>
      </w:r>
    </w:p>
    <w:p w:rsidR="0034666E" w:rsidRPr="00100A2B" w:rsidRDefault="0034666E" w:rsidP="0034666E">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rsidR="0034666E" w:rsidRPr="00100A2B" w:rsidRDefault="0034666E" w:rsidP="0034666E">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34666E" w:rsidRPr="00100A2B" w:rsidRDefault="0034666E" w:rsidP="0034666E"/>
    <w:p w:rsidR="0034666E" w:rsidRPr="00100A2B" w:rsidRDefault="0034666E" w:rsidP="0034666E">
      <w:pPr>
        <w:pStyle w:val="Heading4"/>
      </w:pPr>
      <w:r w:rsidRPr="00100A2B">
        <w:t>Economic decline causes Africa war</w:t>
      </w:r>
    </w:p>
    <w:p w:rsidR="0034666E" w:rsidRPr="00100A2B" w:rsidRDefault="0034666E" w:rsidP="0034666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34666E" w:rsidRPr="00100A2B" w:rsidRDefault="0034666E" w:rsidP="0034666E">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34666E" w:rsidRPr="00100A2B" w:rsidRDefault="0034666E" w:rsidP="0034666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34666E" w:rsidRPr="00100A2B" w:rsidRDefault="0034666E" w:rsidP="0034666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34666E" w:rsidRPr="00100A2B" w:rsidRDefault="0034666E" w:rsidP="0034666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34666E" w:rsidRPr="00100A2B" w:rsidRDefault="0034666E" w:rsidP="0034666E">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34666E" w:rsidRPr="00100A2B" w:rsidRDefault="0034666E" w:rsidP="0034666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34666E" w:rsidRPr="00100A2B" w:rsidRDefault="0034666E" w:rsidP="0034666E">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34666E" w:rsidRPr="00100A2B" w:rsidRDefault="0034666E" w:rsidP="0034666E">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34666E" w:rsidRPr="00100A2B" w:rsidRDefault="0034666E" w:rsidP="0034666E">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34666E" w:rsidRPr="00100A2B" w:rsidRDefault="0034666E" w:rsidP="0034666E">
      <w:pPr>
        <w:rPr>
          <w:rStyle w:val="StyleUnderline"/>
        </w:rPr>
      </w:pPr>
      <w:r w:rsidRPr="00100A2B">
        <w:rPr>
          <w:rStyle w:val="StyleUnderline"/>
        </w:rPr>
        <w:t>Poverty and conflict</w:t>
      </w:r>
    </w:p>
    <w:p w:rsidR="0034666E" w:rsidRPr="00100A2B" w:rsidRDefault="0034666E" w:rsidP="0034666E">
      <w:pPr>
        <w:rPr>
          <w:rStyle w:val="StyleUnderline"/>
        </w:rPr>
      </w:pPr>
      <w:r w:rsidRPr="00100A2B">
        <w:rPr>
          <w:rStyle w:val="StyleUnderline"/>
        </w:rPr>
        <w:t>A direct link</w:t>
      </w:r>
    </w:p>
    <w:p w:rsidR="0034666E" w:rsidRPr="00100A2B" w:rsidRDefault="0034666E" w:rsidP="0034666E">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34666E" w:rsidRPr="00100A2B" w:rsidRDefault="0034666E" w:rsidP="0034666E">
      <w:pPr>
        <w:pStyle w:val="Heading4"/>
      </w:pPr>
      <w:r w:rsidRPr="00100A2B">
        <w:t>Great power war</w:t>
      </w:r>
    </w:p>
    <w:p w:rsidR="0034666E" w:rsidRPr="00100A2B" w:rsidRDefault="0034666E" w:rsidP="0034666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3" w:anchor="metadata_info_tab_contents" w:history="1">
        <w:r w:rsidRPr="00100A2B">
          <w:rPr>
            <w:rStyle w:val="Hyperlink"/>
          </w:rPr>
          <w:t>https://www.jstor.org/stable/26270538?seq=1#metadata_info_tab_contents</w:t>
        </w:r>
      </w:hyperlink>
      <w:r w:rsidRPr="00100A2B">
        <w:t>] TDI</w:t>
      </w:r>
    </w:p>
    <w:p w:rsidR="0034666E" w:rsidRPr="00100A2B" w:rsidRDefault="0034666E" w:rsidP="0034666E">
      <w:pPr>
        <w:rPr>
          <w:rStyle w:val="Emphasis"/>
        </w:rPr>
      </w:pPr>
      <w:r w:rsidRPr="00100A2B">
        <w:rPr>
          <w:rStyle w:val="Emphasis"/>
        </w:rPr>
        <w:t xml:space="preserve">Bipolarity, Nuclear Weapons, and </w:t>
      </w:r>
      <w:r w:rsidRPr="00861B70">
        <w:rPr>
          <w:rStyle w:val="Emphasis"/>
        </w:rPr>
        <w:t>Sino-US Proxy Conflict in Africa</w:t>
      </w:r>
    </w:p>
    <w:p w:rsidR="0034666E" w:rsidRPr="00100A2B" w:rsidRDefault="0034666E" w:rsidP="0034666E">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rsidR="0034666E" w:rsidRPr="00100A2B" w:rsidRDefault="0034666E" w:rsidP="0034666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rsidR="0034666E" w:rsidRPr="00100A2B" w:rsidRDefault="0034666E" w:rsidP="0034666E">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rsidR="0034666E" w:rsidRPr="00100A2B" w:rsidRDefault="0034666E" w:rsidP="0034666E">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34666E" w:rsidRPr="00100A2B" w:rsidRDefault="0034666E" w:rsidP="0034666E">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rsidR="0034666E" w:rsidRPr="00100A2B" w:rsidRDefault="0034666E" w:rsidP="0034666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w:t>
      </w:r>
      <w:proofErr w:type="gramEnd"/>
      <w:r w:rsidRPr="00100A2B">
        <w:rPr>
          <w:rStyle w:val="StyleUnderline"/>
        </w:rPr>
        <w:t xml:space="preserve">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rsidR="0034666E" w:rsidRPr="00100A2B" w:rsidRDefault="0034666E" w:rsidP="0034666E"/>
    <w:p w:rsidR="0034666E" w:rsidRPr="00100A2B" w:rsidRDefault="0034666E" w:rsidP="0034666E"/>
    <w:p w:rsidR="00FB4D1E" w:rsidRDefault="0034666E"/>
    <w:sectPr w:rsidR="00FB4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66E"/>
    <w:rsid w:val="00175D33"/>
    <w:rsid w:val="0034666E"/>
    <w:rsid w:val="00A84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microsoft.com/office/2007/relationships/stylesWithEffects" Target="stylesWithEffects.xml"/><Relationship Id="rId21" Type="http://schemas.openxmlformats.org/officeDocument/2006/relationships/hyperlink" Target="https://arxiv.org/pdf/1505.03800.pdf"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styles" Target="styles.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6970</Words>
  <Characters>39735</Characters>
  <Application>Microsoft Office Word</Application>
  <DocSecurity>0</DocSecurity>
  <Lines>331</Lines>
  <Paragraphs>93</Paragraphs>
  <ScaleCrop>false</ScaleCrop>
  <Company>HP</Company>
  <LinksUpToDate>false</LinksUpToDate>
  <CharactersWithSpaces>46612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1</cp:revision>
  <dcterms:created xsi:type="dcterms:W3CDTF">2021-12-18T17:29:00Z</dcterms:created>
  <dcterms:modified xsi:type="dcterms:W3CDTF">2021-12-18T17:31:00Z</dcterms:modified>
</cp:coreProperties>
</file>