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546CCB" w14:textId="5459C6AE" w:rsidR="00E42E4C" w:rsidRDefault="00496FD8" w:rsidP="00496FD8">
      <w:pPr>
        <w:pStyle w:val="Heading1"/>
      </w:pPr>
      <w:r>
        <w:t>OFF</w:t>
      </w:r>
    </w:p>
    <w:p w14:paraId="1327EB2A" w14:textId="260E9276" w:rsidR="00496FD8" w:rsidRDefault="00496FD8" w:rsidP="00496FD8">
      <w:pPr>
        <w:pStyle w:val="Heading2"/>
      </w:pPr>
      <w:r>
        <w:lastRenderedPageBreak/>
        <w:t>1</w:t>
      </w:r>
    </w:p>
    <w:p w14:paraId="5058AC6C" w14:textId="77777777" w:rsidR="00407793" w:rsidRDefault="00407793" w:rsidP="00407793">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74DB9C86" w14:textId="77777777" w:rsidR="00407793" w:rsidRPr="00D81E22" w:rsidRDefault="00407793" w:rsidP="00407793">
      <w:pPr>
        <w:pStyle w:val="Heading4"/>
        <w:rPr>
          <w:rFonts w:cs="Calibri"/>
        </w:rPr>
      </w:pPr>
      <w:r w:rsidRPr="00D81E22">
        <w:rPr>
          <w:rFonts w:cs="Calibri"/>
        </w:rPr>
        <w:t>The upward entailment test and adverb test determine the genericity of a bare plural</w:t>
      </w:r>
    </w:p>
    <w:p w14:paraId="2810B319" w14:textId="77777777" w:rsidR="00407793" w:rsidRPr="00D81E22" w:rsidRDefault="00407793" w:rsidP="00407793">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23B387A5" w14:textId="77777777" w:rsidR="00407793" w:rsidRPr="00D81E22" w:rsidRDefault="00407793" w:rsidP="00407793">
      <w:pPr>
        <w:rPr>
          <w:rStyle w:val="StyleUnderline"/>
        </w:rPr>
      </w:pPr>
      <w:r w:rsidRPr="00D81E22">
        <w:rPr>
          <w:rStyle w:val="StyleUnderline"/>
        </w:rPr>
        <w:t xml:space="preserve"> 1. Generics and Logical Form</w:t>
      </w:r>
    </w:p>
    <w:p w14:paraId="39679C4F" w14:textId="77777777" w:rsidR="00407793" w:rsidRPr="00D81E22" w:rsidRDefault="00407793" w:rsidP="00407793">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56E45498" w14:textId="77777777" w:rsidR="00407793" w:rsidRPr="00D81E22" w:rsidRDefault="00407793" w:rsidP="00407793">
      <w:pPr>
        <w:rPr>
          <w:rStyle w:val="StyleUnderline"/>
        </w:rPr>
      </w:pPr>
      <w:r w:rsidRPr="00D81E22">
        <w:rPr>
          <w:rStyle w:val="StyleUnderline"/>
        </w:rPr>
        <w:t>1.1 Isolating the Generic Interpretation</w:t>
      </w:r>
    </w:p>
    <w:p w14:paraId="108E3984" w14:textId="77777777" w:rsidR="00407793" w:rsidRPr="00D81E22" w:rsidRDefault="00407793" w:rsidP="00407793">
      <w:r w:rsidRPr="00D81E22">
        <w:t>Consider the following pairs of sentences:</w:t>
      </w:r>
    </w:p>
    <w:p w14:paraId="3B413ED1" w14:textId="77777777" w:rsidR="00407793" w:rsidRPr="00D81E22" w:rsidRDefault="00407793" w:rsidP="00407793">
      <w:r w:rsidRPr="00D81E22">
        <w:t>(1</w:t>
      </w:r>
      <w:proofErr w:type="gramStart"/>
      <w:r w:rsidRPr="00D81E22">
        <w:t>)</w:t>
      </w:r>
      <w:proofErr w:type="spellStart"/>
      <w:r w:rsidRPr="00D81E22">
        <w:t>a.Tigers</w:t>
      </w:r>
      <w:proofErr w:type="spellEnd"/>
      <w:proofErr w:type="gramEnd"/>
      <w:r w:rsidRPr="00D81E22">
        <w:t xml:space="preserve"> are striped.</w:t>
      </w:r>
    </w:p>
    <w:p w14:paraId="5113A4CD" w14:textId="77777777" w:rsidR="00407793" w:rsidRPr="00D81E22" w:rsidRDefault="00407793" w:rsidP="00407793">
      <w:proofErr w:type="spellStart"/>
      <w:proofErr w:type="gramStart"/>
      <w:r w:rsidRPr="00D81E22">
        <w:t>b.Tigers</w:t>
      </w:r>
      <w:proofErr w:type="spellEnd"/>
      <w:proofErr w:type="gramEnd"/>
      <w:r w:rsidRPr="00D81E22">
        <w:t xml:space="preserve"> are on the front lawn.</w:t>
      </w:r>
    </w:p>
    <w:p w14:paraId="79A6343F" w14:textId="77777777" w:rsidR="00407793" w:rsidRPr="00D81E22" w:rsidRDefault="00407793" w:rsidP="00407793">
      <w:r w:rsidRPr="00D81E22">
        <w:t>(2</w:t>
      </w:r>
      <w:proofErr w:type="gramStart"/>
      <w:r w:rsidRPr="00D81E22">
        <w:t>)</w:t>
      </w:r>
      <w:proofErr w:type="spellStart"/>
      <w:r w:rsidRPr="00D81E22">
        <w:t>a.A</w:t>
      </w:r>
      <w:proofErr w:type="spellEnd"/>
      <w:proofErr w:type="gramEnd"/>
      <w:r w:rsidRPr="00D81E22">
        <w:t xml:space="preserve"> tiger is striped.</w:t>
      </w:r>
    </w:p>
    <w:p w14:paraId="782F44AD" w14:textId="77777777" w:rsidR="00407793" w:rsidRPr="00D81E22" w:rsidRDefault="00407793" w:rsidP="00407793">
      <w:proofErr w:type="spellStart"/>
      <w:r w:rsidRPr="00D81E22">
        <w:t>b.A</w:t>
      </w:r>
      <w:proofErr w:type="spellEnd"/>
      <w:r w:rsidRPr="00D81E22">
        <w:t xml:space="preserve"> tiger is on the front lawn.</w:t>
      </w:r>
    </w:p>
    <w:p w14:paraId="486AA159" w14:textId="77777777" w:rsidR="00407793" w:rsidRPr="00D81E22" w:rsidRDefault="00407793" w:rsidP="00407793">
      <w:r w:rsidRPr="00D81E22">
        <w:t>(3</w:t>
      </w:r>
      <w:proofErr w:type="gramStart"/>
      <w:r w:rsidRPr="00D81E22">
        <w:t>)</w:t>
      </w:r>
      <w:proofErr w:type="spellStart"/>
      <w:r w:rsidRPr="00D81E22">
        <w:t>a.The</w:t>
      </w:r>
      <w:proofErr w:type="spellEnd"/>
      <w:proofErr w:type="gramEnd"/>
      <w:r w:rsidRPr="00D81E22">
        <w:t xml:space="preserve"> tiger is striped.</w:t>
      </w:r>
    </w:p>
    <w:p w14:paraId="3DBCC0F4" w14:textId="77777777" w:rsidR="00407793" w:rsidRPr="00D81E22" w:rsidRDefault="00407793" w:rsidP="00407793">
      <w:proofErr w:type="spellStart"/>
      <w:proofErr w:type="gramStart"/>
      <w:r w:rsidRPr="00D81E22">
        <w:t>b.The</w:t>
      </w:r>
      <w:proofErr w:type="spellEnd"/>
      <w:proofErr w:type="gramEnd"/>
      <w:r w:rsidRPr="00D81E22">
        <w:t xml:space="preserve"> tiger is on the front lawn.</w:t>
      </w:r>
    </w:p>
    <w:p w14:paraId="0D432085" w14:textId="77777777" w:rsidR="00407793" w:rsidRPr="00D81E22" w:rsidRDefault="00407793" w:rsidP="00407793">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6343338E" w14:textId="77777777" w:rsidR="00407793" w:rsidRPr="00D81E22" w:rsidRDefault="00407793" w:rsidP="00407793">
      <w:r w:rsidRPr="00D81E22">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241DB2FE" w14:textId="77777777" w:rsidR="00407793" w:rsidRPr="00D81E22" w:rsidRDefault="00407793" w:rsidP="00407793">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22687D09" w14:textId="77777777" w:rsidR="00407793" w:rsidRPr="00D81E22" w:rsidRDefault="00407793" w:rsidP="00407793">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1D91960B" w14:textId="77777777" w:rsidR="00407793" w:rsidRPr="00EA61AD" w:rsidRDefault="00407793" w:rsidP="00407793">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7535DA51" w14:textId="77777777" w:rsidR="00407793" w:rsidRDefault="00407793" w:rsidP="00407793">
      <w:pPr>
        <w:pStyle w:val="Heading4"/>
      </w:pPr>
      <w:r>
        <w:t xml:space="preserve">Vote negative: </w:t>
      </w:r>
    </w:p>
    <w:p w14:paraId="2E0549B7" w14:textId="77777777" w:rsidR="00407793" w:rsidRDefault="00407793" w:rsidP="00407793">
      <w:pPr>
        <w:pStyle w:val="Heading4"/>
      </w:pPr>
      <w:r>
        <w:t>1] Precision – they justify arbitrarily mooting words in the resolution at their own whim in order to justify some potentially good interp.</w:t>
      </w:r>
    </w:p>
    <w:p w14:paraId="1BE9C7BA" w14:textId="77777777" w:rsidR="00407793" w:rsidRPr="00005C57" w:rsidRDefault="00407793" w:rsidP="00407793">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729FE0AA" w14:textId="77777777" w:rsidR="00407793" w:rsidRPr="00005C57" w:rsidRDefault="00407793" w:rsidP="00407793">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7A7ADF80" w14:textId="77777777" w:rsidR="00407793" w:rsidRPr="00005C57" w:rsidRDefault="00407793" w:rsidP="00407793">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b</w:t>
      </w:r>
      <w:r w:rsidRPr="00005C57">
        <w:rPr>
          <w:rFonts w:asciiTheme="minorHAnsi" w:hAnsiTheme="minorHAnsi" w:cstheme="minorHAnsi"/>
        </w:rPr>
        <w:t xml:space="preserve">] Pragmatics are always subject to debate – empirically proven since there’s no consensus on whether NIBs are truly fair – but you can’t BS textual accuracy so semantics serves as an objective constraint on the </w:t>
      </w:r>
      <w:proofErr w:type="spellStart"/>
      <w:r w:rsidRPr="00005C57">
        <w:rPr>
          <w:rFonts w:asciiTheme="minorHAnsi" w:hAnsiTheme="minorHAnsi" w:cstheme="minorHAnsi"/>
        </w:rPr>
        <w:t>aff</w:t>
      </w:r>
      <w:proofErr w:type="spellEnd"/>
      <w:r w:rsidRPr="00005C57">
        <w:rPr>
          <w:rFonts w:asciiTheme="minorHAnsi" w:hAnsiTheme="minorHAnsi" w:cstheme="minorHAnsi"/>
        </w:rPr>
        <w:t xml:space="preserve">. </w:t>
      </w:r>
    </w:p>
    <w:p w14:paraId="56DD3A8B" w14:textId="77777777" w:rsidR="00407793" w:rsidRDefault="00407793" w:rsidP="00407793">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181586DF" w14:textId="001BC8E2" w:rsidR="00407793" w:rsidRDefault="00407793" w:rsidP="00407793">
      <w:r>
        <w:t xml:space="preserve">3] TVA: Read a whole res </w:t>
      </w:r>
      <w:proofErr w:type="spellStart"/>
      <w:r>
        <w:t>aff</w:t>
      </w:r>
      <w:proofErr w:type="spellEnd"/>
      <w:r>
        <w:t xml:space="preserve"> with the same advantage</w:t>
      </w:r>
    </w:p>
    <w:p w14:paraId="1AAA0344" w14:textId="074C011A" w:rsidR="00407793" w:rsidRDefault="00407793" w:rsidP="00407793"/>
    <w:p w14:paraId="09D2FB2B" w14:textId="7DFA675A" w:rsidR="00407793" w:rsidRDefault="00407793" w:rsidP="00407793"/>
    <w:p w14:paraId="0A5BD385" w14:textId="7FCE5779" w:rsidR="00407793" w:rsidRPr="00407793" w:rsidRDefault="00407793" w:rsidP="00407793">
      <w:pPr>
        <w:pStyle w:val="Heading2"/>
      </w:pPr>
      <w:r>
        <w:lastRenderedPageBreak/>
        <w:t>2</w:t>
      </w:r>
    </w:p>
    <w:p w14:paraId="1124C287" w14:textId="21CF956F" w:rsidR="00496FD8" w:rsidRDefault="00F01F5F" w:rsidP="00496FD8">
      <w:pPr>
        <w:pStyle w:val="Heading4"/>
      </w:pPr>
      <w:r w:rsidRPr="008F7758">
        <w:rPr>
          <w:rFonts w:asciiTheme="majorHAnsi" w:hAnsiTheme="majorHAnsi" w:cstheme="majorHAnsi"/>
        </w:rPr>
        <w:t xml:space="preserve">the member nations of the World Trade Organization </w:t>
      </w:r>
      <w:r w:rsidR="00496FD8" w:rsidRPr="00B53B0E">
        <w:t xml:space="preserve">should </w:t>
      </w:r>
      <w:r w:rsidR="00496FD8">
        <w:t>form</w:t>
      </w:r>
      <w:r w:rsidR="00496FD8" w:rsidRPr="00B53B0E">
        <w:t xml:space="preserve"> an intellectual property system </w:t>
      </w:r>
      <w:r w:rsidR="00496FD8">
        <w:t>that uses</w:t>
      </w:r>
      <w:r w:rsidR="00496FD8" w:rsidRPr="00B53B0E">
        <w:t xml:space="preserve"> patents, prizes, grants</w:t>
      </w:r>
      <w:r w:rsidR="00496FD8">
        <w:t xml:space="preserve">, and tax credits for </w:t>
      </w:r>
      <w:r w:rsidR="002B185A">
        <w:t>cannabis</w:t>
      </w:r>
      <w:r w:rsidR="00496FD8" w:rsidRPr="00B53B0E">
        <w:t>.</w:t>
      </w:r>
    </w:p>
    <w:p w14:paraId="4A476C1D" w14:textId="77777777" w:rsidR="00496FD8" w:rsidRDefault="00496FD8" w:rsidP="00496FD8"/>
    <w:p w14:paraId="310B81C8" w14:textId="77777777" w:rsidR="00496FD8" w:rsidRDefault="00496FD8" w:rsidP="00496FD8">
      <w:pPr>
        <w:pStyle w:val="Heading4"/>
      </w:pPr>
      <w:r>
        <w:t xml:space="preserve">The counterplan solves the </w:t>
      </w:r>
      <w:proofErr w:type="spellStart"/>
      <w:r>
        <w:t>aff’s</w:t>
      </w:r>
      <w:proofErr w:type="spellEnd"/>
      <w:r>
        <w:t xml:space="preserve"> concerns with </w:t>
      </w:r>
      <w:proofErr w:type="spellStart"/>
      <w:r>
        <w:t>squo</w:t>
      </w:r>
      <w:proofErr w:type="spellEnd"/>
      <w:r>
        <w:t xml:space="preserve"> patent policy – the solution isn’t to waive patents, but to restructure IP programs.</w:t>
      </w:r>
    </w:p>
    <w:p w14:paraId="217EA90E" w14:textId="77777777" w:rsidR="00496FD8" w:rsidRPr="00B5302A" w:rsidRDefault="00496FD8" w:rsidP="00496FD8">
      <w:proofErr w:type="spellStart"/>
      <w:r w:rsidRPr="00B5302A">
        <w:rPr>
          <w:rStyle w:val="Style13ptBold"/>
        </w:rPr>
        <w:t>Hemel</w:t>
      </w:r>
      <w:proofErr w:type="spellEnd"/>
      <w:r w:rsidRPr="00B5302A">
        <w:rPr>
          <w:rStyle w:val="Style13ptBold"/>
        </w:rPr>
        <w:t xml:space="preserve"> and Ouellette 13</w:t>
      </w:r>
      <w:r w:rsidRPr="00B5302A">
        <w:t xml:space="preserve"> [Daniel </w:t>
      </w:r>
      <w:proofErr w:type="spellStart"/>
      <w:r w:rsidRPr="00B5302A">
        <w:t>Hemel</w:t>
      </w:r>
      <w:proofErr w:type="spellEnd"/>
      <w:r w:rsidRPr="00B5302A">
        <w:t xml:space="preserve"> received his J.D. from Yale Law School in 2012 and his M.Phil. from the University of Oxford in 2009. Lisa Larrimore Ouellette is a Visiting Fellow at the Yale Law School Information Society Project; she received her J.D. from Yale Law School in 2011 and her Ph.D. in Physics from Cornell University in 2008.) "</w:t>
      </w:r>
      <w:r>
        <w:t>Beyond the Patents–Prizes Debate</w:t>
      </w:r>
      <w:r w:rsidRPr="00B5302A">
        <w:t xml:space="preserve">," </w:t>
      </w:r>
      <w:r>
        <w:t>Texas Law Review</w:t>
      </w:r>
      <w:r w:rsidRPr="00B5302A">
        <w:t xml:space="preserve">, </w:t>
      </w:r>
      <w:r>
        <w:t>4</w:t>
      </w:r>
      <w:r w:rsidRPr="00B5302A">
        <w:t>-</w:t>
      </w:r>
      <w:r>
        <w:t>7</w:t>
      </w:r>
      <w:r w:rsidRPr="00B5302A">
        <w:t>-</w:t>
      </w:r>
      <w:r>
        <w:t>2013</w:t>
      </w:r>
      <w:r w:rsidRPr="00B5302A">
        <w:t>] SM</w:t>
      </w:r>
    </w:p>
    <w:p w14:paraId="132837EF" w14:textId="77777777" w:rsidR="00496FD8" w:rsidRPr="00AF0FEF" w:rsidRDefault="00496FD8" w:rsidP="00496FD8">
      <w:pPr>
        <w:rPr>
          <w:sz w:val="16"/>
        </w:rPr>
      </w:pPr>
      <w:r w:rsidRPr="00AF0FEF">
        <w:rPr>
          <w:sz w:val="16"/>
        </w:rPr>
        <w:t xml:space="preserve">Thus far, the patents-versus-prizes-versus-grants debate has generated useful insights regarding innovation policy choices. For instance, </w:t>
      </w:r>
      <w:r w:rsidRPr="00604FAC">
        <w:rPr>
          <w:rStyle w:val="StyleUnderline"/>
        </w:rPr>
        <w:t xml:space="preserve">the </w:t>
      </w:r>
      <w:r w:rsidRPr="00AF0FEF">
        <w:rPr>
          <w:rStyle w:val="StyleUnderline"/>
          <w:highlight w:val="cyan"/>
        </w:rPr>
        <w:t>patent s</w:t>
      </w:r>
      <w:r w:rsidRPr="00496FD8">
        <w:rPr>
          <w:rStyle w:val="StyleUnderline"/>
        </w:rPr>
        <w:t xml:space="preserve">ystem </w:t>
      </w:r>
      <w:r w:rsidRPr="00AF0FEF">
        <w:rPr>
          <w:rStyle w:val="StyleUnderline"/>
          <w:highlight w:val="cyan"/>
        </w:rPr>
        <w:t>aggregates private</w:t>
      </w:r>
      <w:r w:rsidRPr="00604FAC">
        <w:rPr>
          <w:rStyle w:val="StyleUnderline"/>
        </w:rPr>
        <w:t xml:space="preserve">ly held </w:t>
      </w:r>
      <w:r w:rsidRPr="00AF0FEF">
        <w:rPr>
          <w:rStyle w:val="StyleUnderline"/>
          <w:highlight w:val="cyan"/>
        </w:rPr>
        <w:t>info</w:t>
      </w:r>
      <w:r w:rsidRPr="00604FAC">
        <w:rPr>
          <w:rStyle w:val="StyleUnderline"/>
        </w:rPr>
        <w:t>rmation regarding the private costs and benefits of potential projects</w:t>
      </w:r>
      <w:r w:rsidRPr="00AF0FEF">
        <w:rPr>
          <w:sz w:val="16"/>
        </w:rPr>
        <w:t xml:space="preserve">. Meanwhile, </w:t>
      </w:r>
      <w:r w:rsidRPr="00AF0FEF">
        <w:rPr>
          <w:rStyle w:val="StyleUnderline"/>
          <w:highlight w:val="cyan"/>
        </w:rPr>
        <w:t>prizes and grants channel R&amp;D</w:t>
      </w:r>
      <w:r w:rsidRPr="00AF0FEF">
        <w:rPr>
          <w:rStyle w:val="StyleUnderline"/>
        </w:rPr>
        <w:t xml:space="preserve"> efforts </w:t>
      </w:r>
      <w:r w:rsidRPr="00AF0FEF">
        <w:rPr>
          <w:rStyle w:val="StyleUnderline"/>
          <w:highlight w:val="cyan"/>
        </w:rPr>
        <w:t>toward innovations that yield</w:t>
      </w:r>
      <w:r w:rsidRPr="00604FAC">
        <w:rPr>
          <w:rStyle w:val="StyleUnderline"/>
        </w:rPr>
        <w:t xml:space="preserve"> limited profits in the marketplace but </w:t>
      </w:r>
      <w:r w:rsidRPr="00496FD8">
        <w:rPr>
          <w:rStyle w:val="Emphasis"/>
        </w:rPr>
        <w:t xml:space="preserve">significant </w:t>
      </w:r>
      <w:r w:rsidRPr="00AF0FEF">
        <w:rPr>
          <w:rStyle w:val="Emphasis"/>
          <w:highlight w:val="cyan"/>
        </w:rPr>
        <w:t>benefits for society</w:t>
      </w:r>
      <w:r w:rsidRPr="00AF0FEF">
        <w:rPr>
          <w:sz w:val="16"/>
        </w:rPr>
        <w:t xml:space="preserve">. </w:t>
      </w:r>
      <w:r w:rsidRPr="00AF0FEF">
        <w:rPr>
          <w:rStyle w:val="StyleUnderline"/>
        </w:rPr>
        <w:t xml:space="preserve">Prizes and grants </w:t>
      </w:r>
      <w:r w:rsidRPr="00390AA8">
        <w:rPr>
          <w:rStyle w:val="StyleUnderline"/>
        </w:rPr>
        <w:t xml:space="preserve">also </w:t>
      </w:r>
      <w:r w:rsidRPr="00AF0FEF">
        <w:rPr>
          <w:rStyle w:val="StyleUnderline"/>
          <w:highlight w:val="cyan"/>
        </w:rPr>
        <w:t>avoid</w:t>
      </w:r>
      <w:r w:rsidRPr="00AF0FEF">
        <w:rPr>
          <w:rStyle w:val="StyleUnderline"/>
        </w:rPr>
        <w:t xml:space="preserve"> the </w:t>
      </w:r>
      <w:r w:rsidRPr="00AF0FEF">
        <w:rPr>
          <w:rStyle w:val="StyleUnderline"/>
          <w:highlight w:val="cyan"/>
        </w:rPr>
        <w:t>deadweight losses</w:t>
      </w:r>
      <w:r w:rsidRPr="00390AA8">
        <w:rPr>
          <w:rStyle w:val="StyleUnderline"/>
        </w:rPr>
        <w:t xml:space="preserve"> associated with patent monopolies</w:t>
      </w:r>
      <w:r w:rsidRPr="00AF0FEF">
        <w:rPr>
          <w:sz w:val="16"/>
        </w:rPr>
        <w:t xml:space="preserve">, although they correspondingly entail cross-subsidization of product users by nonusers. Finally, </w:t>
      </w:r>
      <w:r w:rsidRPr="00496FD8">
        <w:rPr>
          <w:rStyle w:val="StyleUnderline"/>
        </w:rPr>
        <w:t>grants</w:t>
      </w:r>
      <w:r w:rsidRPr="00604FAC">
        <w:rPr>
          <w:rStyle w:val="StyleUnderline"/>
        </w:rPr>
        <w:t>—unlike patents and prizes—</w:t>
      </w:r>
      <w:r w:rsidRPr="00390AA8">
        <w:rPr>
          <w:rStyle w:val="StyleUnderline"/>
        </w:rPr>
        <w:t>deliver ex ante transfers</w:t>
      </w:r>
      <w:r w:rsidRPr="00604FAC">
        <w:rPr>
          <w:rStyle w:val="StyleUnderline"/>
        </w:rPr>
        <w:t xml:space="preserve"> and thus </w:t>
      </w:r>
      <w:r w:rsidRPr="00390AA8">
        <w:rPr>
          <w:rStyle w:val="Emphasis"/>
          <w:highlight w:val="cyan"/>
        </w:rPr>
        <w:t>reduce the social costs</w:t>
      </w:r>
      <w:r w:rsidRPr="00604FAC">
        <w:rPr>
          <w:rStyle w:val="StyleUnderline"/>
        </w:rPr>
        <w:t xml:space="preserve"> of capital market frictions</w:t>
      </w:r>
      <w:r w:rsidRPr="00AF0FEF">
        <w:rPr>
          <w:sz w:val="16"/>
        </w:rPr>
        <w:t xml:space="preserve">. However, by truncating the menu of policy options, the framing of the debate has led </w:t>
      </w:r>
      <w:r w:rsidRPr="00496FD8">
        <w:rPr>
          <w:rStyle w:val="StyleUnderline"/>
        </w:rPr>
        <w:t>participants</w:t>
      </w:r>
      <w:r w:rsidRPr="00AF0FEF">
        <w:rPr>
          <w:sz w:val="16"/>
        </w:rPr>
        <w:t xml:space="preserve"> to </w:t>
      </w:r>
      <w:r w:rsidRPr="00496FD8">
        <w:rPr>
          <w:rStyle w:val="StyleUnderline"/>
        </w:rPr>
        <w:t>overlook</w:t>
      </w:r>
      <w:r w:rsidRPr="00604FAC">
        <w:rPr>
          <w:rStyle w:val="StyleUnderline"/>
        </w:rPr>
        <w:t xml:space="preserve"> the potential </w:t>
      </w:r>
      <w:r w:rsidRPr="00390AA8">
        <w:rPr>
          <w:rStyle w:val="StyleUnderline"/>
          <w:highlight w:val="cyan"/>
        </w:rPr>
        <w:t>benefits of tax incentives for innovation</w:t>
      </w:r>
      <w:r w:rsidRPr="00AF0FEF">
        <w:rPr>
          <w:sz w:val="16"/>
        </w:rPr>
        <w:t xml:space="preserve">. For example, </w:t>
      </w:r>
      <w:r w:rsidRPr="00604FAC">
        <w:rPr>
          <w:rStyle w:val="StyleUnderline"/>
        </w:rPr>
        <w:t xml:space="preserve">we show that even when market actors have superior information regarding R&amp;D projects than government officials do, </w:t>
      </w:r>
      <w:r w:rsidRPr="00496FD8">
        <w:rPr>
          <w:rStyle w:val="Emphasis"/>
        </w:rPr>
        <w:t>patents are not the only mechanism</w:t>
      </w:r>
      <w:r w:rsidRPr="00496FD8">
        <w:rPr>
          <w:rStyle w:val="StyleUnderline"/>
        </w:rPr>
        <w:t xml:space="preserve"> for aggregating this privately held information and allocating R&amp;D expenditures accordingly: </w:t>
      </w:r>
      <w:r w:rsidRPr="00496FD8">
        <w:rPr>
          <w:rStyle w:val="Emphasis"/>
        </w:rPr>
        <w:t>tax credits can achieve similar outcomes</w:t>
      </w:r>
      <w:r w:rsidRPr="00AF0FEF">
        <w:rPr>
          <w:sz w:val="16"/>
        </w:rPr>
        <w:t xml:space="preserve">. Alternately, even if one believes that ex ante incentives are superior to ex post rewards because of capital market frictions, this belief does not necessarily suggest that government grants are the best option: </w:t>
      </w:r>
      <w:r w:rsidRPr="00604FAC">
        <w:rPr>
          <w:rStyle w:val="StyleUnderline"/>
        </w:rPr>
        <w:t xml:space="preserve">refundable </w:t>
      </w:r>
      <w:r w:rsidRPr="00390AA8">
        <w:rPr>
          <w:rStyle w:val="StyleUnderline"/>
        </w:rPr>
        <w:t>tax credits</w:t>
      </w:r>
      <w:r w:rsidRPr="00604FAC">
        <w:rPr>
          <w:rStyle w:val="StyleUnderline"/>
        </w:rPr>
        <w:t xml:space="preserve"> can </w:t>
      </w:r>
      <w:r w:rsidRPr="00390AA8">
        <w:rPr>
          <w:rStyle w:val="StyleUnderline"/>
          <w:highlight w:val="cyan"/>
        </w:rPr>
        <w:t>replicate</w:t>
      </w:r>
      <w:r w:rsidRPr="00604FAC">
        <w:rPr>
          <w:rStyle w:val="StyleUnderline"/>
        </w:rPr>
        <w:t xml:space="preserve"> many of the </w:t>
      </w:r>
      <w:r w:rsidRPr="00390AA8">
        <w:rPr>
          <w:rStyle w:val="StyleUnderline"/>
          <w:highlight w:val="cyan"/>
        </w:rPr>
        <w:t>advantages</w:t>
      </w:r>
      <w:r w:rsidRPr="00604FAC">
        <w:rPr>
          <w:rStyle w:val="StyleUnderline"/>
        </w:rPr>
        <w:t xml:space="preserve"> </w:t>
      </w:r>
      <w:r w:rsidRPr="00390AA8">
        <w:rPr>
          <w:rStyle w:val="StyleUnderline"/>
          <w:highlight w:val="cyan"/>
        </w:rPr>
        <w:t>of</w:t>
      </w:r>
      <w:r w:rsidRPr="00604FAC">
        <w:rPr>
          <w:rStyle w:val="StyleUnderline"/>
        </w:rPr>
        <w:t xml:space="preserve"> government </w:t>
      </w:r>
      <w:r w:rsidRPr="00390AA8">
        <w:rPr>
          <w:rStyle w:val="StyleUnderline"/>
          <w:highlight w:val="cyan"/>
        </w:rPr>
        <w:t>grants</w:t>
      </w:r>
      <w:r w:rsidRPr="00AF0FEF">
        <w:rPr>
          <w:sz w:val="16"/>
        </w:rPr>
        <w:t xml:space="preserve">. And </w:t>
      </w:r>
      <w:r w:rsidRPr="00604FAC">
        <w:rPr>
          <w:rStyle w:val="StyleUnderline"/>
        </w:rPr>
        <w:t xml:space="preserve">even if one favors user-pays systems over cross-subsidization, this preference does not necessarily require adoption of the patent mechanism: targeted sales taxes funding </w:t>
      </w:r>
      <w:r w:rsidRPr="00390AA8">
        <w:rPr>
          <w:rStyle w:val="Emphasis"/>
          <w:highlight w:val="cyan"/>
        </w:rPr>
        <w:t>grants, prizes, or credits can mimic</w:t>
      </w:r>
      <w:r w:rsidRPr="00604FAC">
        <w:rPr>
          <w:rStyle w:val="Emphasis"/>
        </w:rPr>
        <w:t xml:space="preserve"> the user-pays features of </w:t>
      </w:r>
      <w:r w:rsidRPr="00390AA8">
        <w:rPr>
          <w:rStyle w:val="Emphasis"/>
          <w:highlight w:val="cyan"/>
        </w:rPr>
        <w:t>patent law</w:t>
      </w:r>
      <w:r w:rsidRPr="00AF0FEF">
        <w:rPr>
          <w:sz w:val="16"/>
        </w:rPr>
        <w:t>. This last dimension of the innovation policy debate—</w:t>
      </w:r>
      <w:r w:rsidRPr="00AF0FEF">
        <w:rPr>
          <w:rStyle w:val="StyleUnderline"/>
        </w:rPr>
        <w:t>the distribution of costs</w:t>
      </w:r>
      <w:r w:rsidRPr="00AF0FEF">
        <w:rPr>
          <w:sz w:val="16"/>
        </w:rPr>
        <w:t>—</w:t>
      </w:r>
      <w:r w:rsidRPr="00AF0FEF">
        <w:rPr>
          <w:rStyle w:val="StyleUnderline"/>
        </w:rPr>
        <w:t>is all too often overlooked</w:t>
      </w:r>
      <w:r w:rsidRPr="00AF0FEF">
        <w:rPr>
          <w:sz w:val="16"/>
        </w:rPr>
        <w:t xml:space="preserve">, and while we do not provide an exhaustive treatment of the moral and ethical issues associated with user- pays and cross-subsidization systems, we provide a preliminary analysis of the normative considerations that ought to inform innovation policy choices. Moreover, although our </w:t>
      </w:r>
      <w:proofErr w:type="gramStart"/>
      <w:r w:rsidRPr="00AF0FEF">
        <w:rPr>
          <w:sz w:val="16"/>
        </w:rPr>
        <w:t>Article</w:t>
      </w:r>
      <w:proofErr w:type="gramEnd"/>
      <w:r w:rsidRPr="00AF0FEF">
        <w:rPr>
          <w:sz w:val="16"/>
        </w:rPr>
        <w:t xml:space="preserve"> provides only a broad overview of the obstacles to innovation policy reform arising out of international treaties and domestic political configurations, we believe that this overview reveals that the obstacles to reform—while considerable—are not insurmountable. Ultimately, </w:t>
      </w:r>
      <w:r w:rsidRPr="00AF0FEF">
        <w:rPr>
          <w:rStyle w:val="StyleUnderline"/>
        </w:rPr>
        <w:t xml:space="preserve">we do </w:t>
      </w:r>
      <w:r w:rsidRPr="00390AA8">
        <w:rPr>
          <w:rStyle w:val="StyleUnderline"/>
          <w:highlight w:val="cyan"/>
        </w:rPr>
        <w:t>not</w:t>
      </w:r>
      <w:r w:rsidRPr="00AF0FEF">
        <w:rPr>
          <w:rStyle w:val="StyleUnderline"/>
        </w:rPr>
        <w:t xml:space="preserve"> argue that </w:t>
      </w:r>
      <w:r w:rsidRPr="00390AA8">
        <w:rPr>
          <w:rStyle w:val="StyleUnderline"/>
          <w:highlight w:val="cyan"/>
        </w:rPr>
        <w:t>one</w:t>
      </w:r>
      <w:r w:rsidRPr="00AF0FEF">
        <w:rPr>
          <w:sz w:val="16"/>
        </w:rPr>
        <w:t xml:space="preserve"> innovation </w:t>
      </w:r>
      <w:r w:rsidRPr="00AF0FEF">
        <w:rPr>
          <w:rStyle w:val="StyleUnderline"/>
        </w:rPr>
        <w:t xml:space="preserve">policy </w:t>
      </w:r>
      <w:r w:rsidRPr="00390AA8">
        <w:rPr>
          <w:rStyle w:val="StyleUnderline"/>
          <w:highlight w:val="cyan"/>
        </w:rPr>
        <w:t>option</w:t>
      </w:r>
      <w:r w:rsidRPr="00AF0FEF">
        <w:rPr>
          <w:sz w:val="16"/>
        </w:rPr>
        <w:t xml:space="preserve"> strictly </w:t>
      </w:r>
      <w:r w:rsidRPr="00390AA8">
        <w:rPr>
          <w:rStyle w:val="StyleUnderline"/>
          <w:highlight w:val="cyan"/>
        </w:rPr>
        <w:t>dominates the others</w:t>
      </w:r>
      <w:r w:rsidRPr="00AF0FEF">
        <w:rPr>
          <w:rStyle w:val="StyleUnderline"/>
        </w:rPr>
        <w:t xml:space="preserve"> in all instances</w:t>
      </w:r>
      <w:r w:rsidRPr="00AF0FEF">
        <w:rPr>
          <w:sz w:val="16"/>
        </w:rPr>
        <w:t xml:space="preserve">. To the contrary, </w:t>
      </w:r>
      <w:r w:rsidRPr="00AF0FEF">
        <w:rPr>
          <w:rStyle w:val="StyleUnderline"/>
        </w:rPr>
        <w:t xml:space="preserve">we sketch out the case for </w:t>
      </w:r>
      <w:r w:rsidRPr="00496FD8">
        <w:rPr>
          <w:rStyle w:val="StyleUnderline"/>
        </w:rPr>
        <w:t xml:space="preserve">innovation </w:t>
      </w:r>
      <w:r w:rsidRPr="00390AA8">
        <w:rPr>
          <w:rStyle w:val="StyleUnderline"/>
          <w:highlight w:val="cyan"/>
        </w:rPr>
        <w:t>policy pluralism</w:t>
      </w:r>
      <w:r w:rsidRPr="00AF0FEF">
        <w:rPr>
          <w:sz w:val="16"/>
        </w:rPr>
        <w:t>—</w:t>
      </w:r>
      <w:r w:rsidRPr="00AF0FEF">
        <w:rPr>
          <w:rStyle w:val="StyleUnderline"/>
        </w:rPr>
        <w:t xml:space="preserve">with </w:t>
      </w:r>
      <w:r w:rsidRPr="00496FD8">
        <w:rPr>
          <w:rStyle w:val="Emphasis"/>
        </w:rPr>
        <w:t>patents, prizes, grants, and tax incentives all playing a role</w:t>
      </w:r>
      <w:r w:rsidRPr="00AF0FEF">
        <w:rPr>
          <w:rStyle w:val="StyleUnderline"/>
        </w:rPr>
        <w:t xml:space="preserve"> in efforts </w:t>
      </w:r>
      <w:r w:rsidRPr="00390AA8">
        <w:rPr>
          <w:rStyle w:val="StyleUnderline"/>
          <w:highlight w:val="cyan"/>
        </w:rPr>
        <w:t>to encourage r</w:t>
      </w:r>
      <w:r w:rsidRPr="00AF0FEF">
        <w:rPr>
          <w:sz w:val="16"/>
        </w:rPr>
        <w:t xml:space="preserve">esearch </w:t>
      </w:r>
      <w:r w:rsidRPr="00390AA8">
        <w:rPr>
          <w:rStyle w:val="StyleUnderline"/>
          <w:highlight w:val="cyan"/>
        </w:rPr>
        <w:t>and d</w:t>
      </w:r>
      <w:r w:rsidRPr="00AF0FEF">
        <w:rPr>
          <w:sz w:val="16"/>
        </w:rPr>
        <w:t xml:space="preserve">evelopment. </w:t>
      </w:r>
      <w:r w:rsidRPr="00AF0FEF">
        <w:rPr>
          <w:rStyle w:val="StyleUnderline"/>
        </w:rPr>
        <w:t>With</w:t>
      </w:r>
      <w:r w:rsidRPr="00AF0FEF">
        <w:rPr>
          <w:sz w:val="16"/>
        </w:rPr>
        <w:t xml:space="preserve"> a more nuanced understanding of </w:t>
      </w:r>
      <w:r w:rsidRPr="00AF0FEF">
        <w:rPr>
          <w:rStyle w:val="StyleUnderline"/>
        </w:rPr>
        <w:t xml:space="preserve">the similarities and differences among </w:t>
      </w:r>
      <w:r w:rsidRPr="00AF0FEF">
        <w:rPr>
          <w:rStyle w:val="StyleUnderline"/>
        </w:rPr>
        <w:lastRenderedPageBreak/>
        <w:t>patents, prizes, grants, and tax credits,</w:t>
      </w:r>
      <w:r w:rsidRPr="00AF0FEF">
        <w:rPr>
          <w:sz w:val="16"/>
        </w:rPr>
        <w:t xml:space="preserve"> scholars and </w:t>
      </w:r>
      <w:r w:rsidRPr="00AF0FEF">
        <w:rPr>
          <w:rStyle w:val="StyleUnderline"/>
        </w:rPr>
        <w:t>policymakers</w:t>
      </w:r>
      <w:r w:rsidRPr="00AF0FEF">
        <w:rPr>
          <w:sz w:val="16"/>
        </w:rPr>
        <w:t xml:space="preserve"> will be </w:t>
      </w:r>
      <w:r w:rsidRPr="00AF0FEF">
        <w:rPr>
          <w:rStyle w:val="StyleUnderline"/>
        </w:rPr>
        <w:t>better positioned to imagine new combinations of innovation incentives that improve upon the status quo.</w:t>
      </w:r>
    </w:p>
    <w:p w14:paraId="08F687FF" w14:textId="77777777" w:rsidR="00496FD8" w:rsidRPr="00BA4FD1" w:rsidRDefault="00496FD8" w:rsidP="00496FD8"/>
    <w:p w14:paraId="74CBEFA4" w14:textId="77777777" w:rsidR="00496FD8" w:rsidRPr="00B53B0E" w:rsidRDefault="00496FD8" w:rsidP="00496FD8"/>
    <w:p w14:paraId="4EB554A6" w14:textId="77777777" w:rsidR="00496FD8" w:rsidRPr="00CC48DC" w:rsidRDefault="00496FD8" w:rsidP="00496FD8">
      <w:pPr>
        <w:pStyle w:val="Heading4"/>
      </w:pPr>
      <w:r>
        <w:t xml:space="preserve">The problem is that </w:t>
      </w:r>
      <w:proofErr w:type="spellStart"/>
      <w:r>
        <w:t>squo</w:t>
      </w:r>
      <w:proofErr w:type="spellEnd"/>
      <w:r>
        <w:t xml:space="preserve"> patent law is too </w:t>
      </w:r>
      <w:r w:rsidRPr="00496FD8">
        <w:rPr>
          <w:u w:val="single"/>
        </w:rPr>
        <w:t>rigid</w:t>
      </w:r>
      <w:r>
        <w:t xml:space="preserve"> – the counterplan solves.</w:t>
      </w:r>
    </w:p>
    <w:p w14:paraId="1D7D37B4" w14:textId="77777777" w:rsidR="00496FD8" w:rsidRPr="00CC48DC" w:rsidRDefault="00496FD8" w:rsidP="00496FD8">
      <w:r w:rsidRPr="00CC48DC">
        <w:rPr>
          <w:rStyle w:val="Style13ptBold"/>
        </w:rPr>
        <w:t>Grimes 21</w:t>
      </w:r>
      <w:r w:rsidRPr="00CC48DC">
        <w:t xml:space="preserve"> [</w:t>
      </w:r>
      <w:r>
        <w:t xml:space="preserve">Warren Grimes: </w:t>
      </w:r>
      <w:r w:rsidRPr="00CC48DC">
        <w:t>Irving D and Florence Rosenberg Professor of Law, Southwestern Law School, Los Angeles, USA) "Perverse Results from Pharmaceutical Patents in the United States,"</w:t>
      </w:r>
      <w:r>
        <w:t xml:space="preserve"> </w:t>
      </w:r>
      <w:r w:rsidRPr="00CC48DC">
        <w:t>International Review of Intellectual Property and Competition Law, 4-28-2021] SM</w:t>
      </w:r>
    </w:p>
    <w:p w14:paraId="67CEAE3C" w14:textId="77777777" w:rsidR="00496FD8" w:rsidRPr="00B53B0E" w:rsidRDefault="00496FD8" w:rsidP="00496FD8">
      <w:pPr>
        <w:rPr>
          <w:sz w:val="16"/>
        </w:rPr>
      </w:pPr>
      <w:r w:rsidRPr="00B53B0E">
        <w:rPr>
          <w:sz w:val="16"/>
        </w:rPr>
        <w:t xml:space="preserve">The </w:t>
      </w:r>
      <w:r w:rsidRPr="00B53B0E">
        <w:rPr>
          <w:rStyle w:val="StyleUnderline"/>
        </w:rPr>
        <w:t>Covid-19</w:t>
      </w:r>
      <w:r w:rsidRPr="00B53B0E">
        <w:rPr>
          <w:sz w:val="16"/>
        </w:rPr>
        <w:t xml:space="preserve"> pandemic </w:t>
      </w:r>
      <w:r w:rsidRPr="00B53B0E">
        <w:rPr>
          <w:rStyle w:val="StyleUnderline"/>
        </w:rPr>
        <w:t>points to a</w:t>
      </w:r>
      <w:r w:rsidRPr="00B53B0E">
        <w:rPr>
          <w:sz w:val="16"/>
        </w:rPr>
        <w:t xml:space="preserve"> generalized </w:t>
      </w:r>
      <w:r w:rsidRPr="00B53B0E">
        <w:rPr>
          <w:rStyle w:val="StyleUnderline"/>
        </w:rPr>
        <w:t xml:space="preserve">weakness in the patent system as it relates to </w:t>
      </w:r>
      <w:r w:rsidRPr="00B53B0E">
        <w:rPr>
          <w:rStyle w:val="StyleUnderline"/>
          <w:highlight w:val="cyan"/>
        </w:rPr>
        <w:t>pharma</w:t>
      </w:r>
      <w:r w:rsidRPr="00496FD8">
        <w:rPr>
          <w:rStyle w:val="StyleUnderline"/>
        </w:rPr>
        <w:t>ceutical</w:t>
      </w:r>
      <w:r w:rsidRPr="00B53B0E">
        <w:rPr>
          <w:rStyle w:val="StyleUnderline"/>
        </w:rPr>
        <w:t>s</w:t>
      </w:r>
      <w:r w:rsidRPr="00B53B0E">
        <w:rPr>
          <w:sz w:val="16"/>
        </w:rPr>
        <w:t xml:space="preserve">. Most </w:t>
      </w:r>
      <w:r w:rsidRPr="00B53B0E">
        <w:rPr>
          <w:rStyle w:val="StyleUnderline"/>
          <w:highlight w:val="cyan"/>
        </w:rPr>
        <w:t>patent s</w:t>
      </w:r>
      <w:r w:rsidRPr="00496FD8">
        <w:rPr>
          <w:rStyle w:val="StyleUnderline"/>
        </w:rPr>
        <w:t>ystems</w:t>
      </w:r>
      <w:r w:rsidRPr="00B53B0E">
        <w:rPr>
          <w:rStyle w:val="StyleUnderline"/>
        </w:rPr>
        <w:t xml:space="preserve"> invite bipolar results: </w:t>
      </w:r>
      <w:r w:rsidRPr="00B53B0E">
        <w:rPr>
          <w:rStyle w:val="StyleUnderline"/>
          <w:highlight w:val="cyan"/>
        </w:rPr>
        <w:t>either a patent is valid</w:t>
      </w:r>
      <w:r w:rsidRPr="00B53B0E">
        <w:rPr>
          <w:rStyle w:val="StyleUnderline"/>
        </w:rPr>
        <w:t xml:space="preserve">, </w:t>
      </w:r>
      <w:r w:rsidRPr="00B53B0E">
        <w:rPr>
          <w:rStyle w:val="StyleUnderline"/>
          <w:highlight w:val="cyan"/>
        </w:rPr>
        <w:t>or</w:t>
      </w:r>
      <w:r w:rsidRPr="00B53B0E">
        <w:rPr>
          <w:rStyle w:val="StyleUnderline"/>
        </w:rPr>
        <w:t xml:space="preserve"> it is </w:t>
      </w:r>
      <w:r w:rsidRPr="00B53B0E">
        <w:rPr>
          <w:rStyle w:val="StyleUnderline"/>
          <w:highlight w:val="cyan"/>
        </w:rPr>
        <w:t>not</w:t>
      </w:r>
      <w:r w:rsidRPr="00B53B0E">
        <w:rPr>
          <w:rStyle w:val="StyleUnderline"/>
        </w:rPr>
        <w:t xml:space="preserve"> valid. The period of patent protection is fixed and cannot be adjusted based on the value of the invention for society. Methods of exploiting the patent tend to be predetermined by existing statutory or case law. </w:t>
      </w:r>
      <w:r w:rsidRPr="00B53B0E">
        <w:rPr>
          <w:rStyle w:val="Emphasis"/>
        </w:rPr>
        <w:t xml:space="preserve">There is </w:t>
      </w:r>
      <w:r w:rsidRPr="00B53B0E">
        <w:rPr>
          <w:rStyle w:val="Emphasis"/>
          <w:highlight w:val="cyan"/>
        </w:rPr>
        <w:t>little room for</w:t>
      </w:r>
      <w:r w:rsidRPr="00B53B0E">
        <w:rPr>
          <w:rStyle w:val="Emphasis"/>
        </w:rPr>
        <w:t xml:space="preserve"> a more </w:t>
      </w:r>
      <w:r w:rsidRPr="00B53B0E">
        <w:rPr>
          <w:rStyle w:val="Emphasis"/>
          <w:highlight w:val="cyan"/>
        </w:rPr>
        <w:t>flex</w:t>
      </w:r>
      <w:r w:rsidRPr="00B53B0E">
        <w:rPr>
          <w:rStyle w:val="Emphasis"/>
        </w:rPr>
        <w:t xml:space="preserve">ible </w:t>
      </w:r>
      <w:r w:rsidRPr="00B53B0E">
        <w:rPr>
          <w:rStyle w:val="Emphasis"/>
          <w:highlight w:val="cyan"/>
        </w:rPr>
        <w:t>or nuance</w:t>
      </w:r>
      <w:r w:rsidRPr="00B53B0E">
        <w:rPr>
          <w:rStyle w:val="Emphasis"/>
        </w:rPr>
        <w:t>d system of rewarding valuable R&amp;D.</w:t>
      </w:r>
    </w:p>
    <w:p w14:paraId="7EFF1653" w14:textId="77777777" w:rsidR="00496FD8" w:rsidRPr="0059088C" w:rsidRDefault="00496FD8" w:rsidP="00496FD8">
      <w:pPr>
        <w:rPr>
          <w:sz w:val="16"/>
        </w:rPr>
      </w:pPr>
      <w:r w:rsidRPr="00B53B0E">
        <w:rPr>
          <w:rStyle w:val="StyleUnderline"/>
        </w:rPr>
        <w:t xml:space="preserve">When it comes to promoting drug research, governments have already </w:t>
      </w:r>
      <w:r w:rsidRPr="00B53B0E">
        <w:rPr>
          <w:rStyle w:val="StyleUnderline"/>
          <w:highlight w:val="cyan"/>
        </w:rPr>
        <w:t>move</w:t>
      </w:r>
      <w:r w:rsidRPr="00B53B0E">
        <w:rPr>
          <w:rStyle w:val="StyleUnderline"/>
        </w:rPr>
        <w:t xml:space="preserve">d </w:t>
      </w:r>
      <w:r w:rsidRPr="00B53B0E">
        <w:rPr>
          <w:rStyle w:val="StyleUnderline"/>
          <w:highlight w:val="cyan"/>
        </w:rPr>
        <w:t xml:space="preserve">away from </w:t>
      </w:r>
      <w:r w:rsidRPr="00B53B0E">
        <w:rPr>
          <w:rStyle w:val="Emphasis"/>
          <w:highlight w:val="cyan"/>
        </w:rPr>
        <w:t>exclusive reliance</w:t>
      </w:r>
      <w:r w:rsidRPr="00B53B0E">
        <w:rPr>
          <w:rStyle w:val="StyleUnderline"/>
          <w:highlight w:val="cyan"/>
        </w:rPr>
        <w:t xml:space="preserve"> on the patent system</w:t>
      </w:r>
      <w:r w:rsidRPr="00B53B0E">
        <w:rPr>
          <w:sz w:val="16"/>
        </w:rPr>
        <w:t xml:space="preserve">. In the United States, </w:t>
      </w:r>
      <w:r w:rsidRPr="00B53B0E">
        <w:rPr>
          <w:rStyle w:val="StyleUnderline"/>
          <w:highlight w:val="cyan"/>
        </w:rPr>
        <w:t>the N</w:t>
      </w:r>
      <w:r w:rsidRPr="00B53B0E">
        <w:rPr>
          <w:sz w:val="16"/>
        </w:rPr>
        <w:t xml:space="preserve">ational </w:t>
      </w:r>
      <w:r w:rsidRPr="00B53B0E">
        <w:rPr>
          <w:rStyle w:val="StyleUnderline"/>
          <w:highlight w:val="cyan"/>
        </w:rPr>
        <w:t>I</w:t>
      </w:r>
      <w:r w:rsidRPr="00B53B0E">
        <w:rPr>
          <w:sz w:val="16"/>
        </w:rPr>
        <w:t xml:space="preserve">nstitutes of </w:t>
      </w:r>
      <w:r w:rsidRPr="00B53B0E">
        <w:rPr>
          <w:rStyle w:val="StyleUnderline"/>
          <w:highlight w:val="cyan"/>
        </w:rPr>
        <w:t>H</w:t>
      </w:r>
      <w:r w:rsidRPr="00B53B0E">
        <w:rPr>
          <w:sz w:val="16"/>
        </w:rPr>
        <w:t xml:space="preserve">ealth, a government agency, </w:t>
      </w:r>
      <w:r w:rsidRPr="00B53B0E">
        <w:rPr>
          <w:rStyle w:val="StyleUnderline"/>
          <w:highlight w:val="cyan"/>
        </w:rPr>
        <w:t>subsidizes</w:t>
      </w:r>
      <w:r w:rsidRPr="00B53B0E">
        <w:rPr>
          <w:rStyle w:val="StyleUnderline"/>
        </w:rPr>
        <w:t xml:space="preserve"> </w:t>
      </w:r>
      <w:r w:rsidRPr="00B53B0E">
        <w:rPr>
          <w:rStyle w:val="StyleUnderline"/>
          <w:highlight w:val="cyan"/>
        </w:rPr>
        <w:t>certain</w:t>
      </w:r>
      <w:r w:rsidRPr="00B53B0E">
        <w:rPr>
          <w:rStyle w:val="StyleUnderline"/>
        </w:rPr>
        <w:t xml:space="preserve"> medical </w:t>
      </w:r>
      <w:r w:rsidRPr="00B53B0E">
        <w:rPr>
          <w:rStyle w:val="StyleUnderline"/>
          <w:highlight w:val="cyan"/>
        </w:rPr>
        <w:t>research</w:t>
      </w:r>
      <w:r w:rsidRPr="00B53B0E">
        <w:rPr>
          <w:sz w:val="16"/>
        </w:rPr>
        <w:t xml:space="preserve">. </w:t>
      </w:r>
      <w:r w:rsidRPr="00B53B0E">
        <w:rPr>
          <w:rStyle w:val="StyleUnderline"/>
        </w:rPr>
        <w:t xml:space="preserve">These </w:t>
      </w:r>
      <w:r w:rsidRPr="00B53B0E">
        <w:rPr>
          <w:rStyle w:val="StyleUnderline"/>
          <w:highlight w:val="cyan"/>
        </w:rPr>
        <w:t>schemes</w:t>
      </w:r>
      <w:r w:rsidRPr="00B53B0E">
        <w:rPr>
          <w:sz w:val="16"/>
        </w:rPr>
        <w:t xml:space="preserve">, however, </w:t>
      </w:r>
      <w:r w:rsidRPr="00B53B0E">
        <w:rPr>
          <w:rStyle w:val="StyleUnderline"/>
          <w:highlight w:val="cyan"/>
        </w:rPr>
        <w:t>have been</w:t>
      </w:r>
      <w:r w:rsidRPr="00B53B0E">
        <w:rPr>
          <w:sz w:val="16"/>
        </w:rPr>
        <w:t xml:space="preserve"> somewhat </w:t>
      </w:r>
      <w:r w:rsidRPr="00B53B0E">
        <w:rPr>
          <w:rStyle w:val="StyleUnderline"/>
          <w:highlight w:val="cyan"/>
        </w:rPr>
        <w:t>haphazard</w:t>
      </w:r>
      <w:r w:rsidRPr="00B53B0E">
        <w:rPr>
          <w:sz w:val="16"/>
        </w:rPr>
        <w:t xml:space="preserve">. </w:t>
      </w:r>
      <w:r w:rsidRPr="00B53B0E">
        <w:rPr>
          <w:rStyle w:val="Emphasis"/>
          <w:highlight w:val="cyan"/>
        </w:rPr>
        <w:t>Design</w:t>
      </w:r>
      <w:r w:rsidRPr="00B53B0E">
        <w:rPr>
          <w:rStyle w:val="Emphasis"/>
        </w:rPr>
        <w:t xml:space="preserve">ing </w:t>
      </w:r>
      <w:r w:rsidRPr="00A71318">
        <w:rPr>
          <w:rStyle w:val="Emphasis"/>
          <w:highlight w:val="cyan"/>
        </w:rPr>
        <w:t>an</w:t>
      </w:r>
      <w:r w:rsidRPr="00B53B0E">
        <w:rPr>
          <w:rStyle w:val="Emphasis"/>
        </w:rPr>
        <w:t xml:space="preserve"> overall </w:t>
      </w:r>
      <w:r w:rsidRPr="00A71318">
        <w:rPr>
          <w:rStyle w:val="Emphasis"/>
        </w:rPr>
        <w:t>system for rewarding medical R&amp;D deserves more serious reflection and analysis</w:t>
      </w:r>
      <w:r w:rsidRPr="00A71318">
        <w:rPr>
          <w:sz w:val="16"/>
        </w:rPr>
        <w:t xml:space="preserve">. It is time to </w:t>
      </w:r>
      <w:r w:rsidRPr="00A71318">
        <w:rPr>
          <w:rStyle w:val="Emphasis"/>
        </w:rPr>
        <w:t xml:space="preserve">consider </w:t>
      </w:r>
      <w:r w:rsidRPr="00A71318">
        <w:rPr>
          <w:rStyle w:val="Emphasis"/>
          <w:highlight w:val="cyan"/>
        </w:rPr>
        <w:t>alternative way</w:t>
      </w:r>
      <w:r w:rsidRPr="00A71318">
        <w:rPr>
          <w:rStyle w:val="Emphasis"/>
        </w:rPr>
        <w:t xml:space="preserve">s </w:t>
      </w:r>
      <w:r w:rsidRPr="00A71318">
        <w:rPr>
          <w:rStyle w:val="Emphasis"/>
          <w:highlight w:val="cyan"/>
        </w:rPr>
        <w:t>of rewarding</w:t>
      </w:r>
      <w:r w:rsidRPr="00593A37">
        <w:rPr>
          <w:rStyle w:val="Emphasis"/>
        </w:rPr>
        <w:t xml:space="preserve"> valuable </w:t>
      </w:r>
      <w:r w:rsidRPr="00A71318">
        <w:rPr>
          <w:rStyle w:val="Emphasis"/>
          <w:highlight w:val="cyan"/>
        </w:rPr>
        <w:t>R&amp;D</w:t>
      </w:r>
      <w:r w:rsidRPr="00B53B0E">
        <w:rPr>
          <w:sz w:val="16"/>
        </w:rPr>
        <w:t xml:space="preserve">, </w:t>
      </w:r>
      <w:r w:rsidRPr="00B53B0E">
        <w:rPr>
          <w:rStyle w:val="StyleUnderline"/>
        </w:rPr>
        <w:t xml:space="preserve">such as </w:t>
      </w:r>
      <w:r w:rsidRPr="00496FD8">
        <w:rPr>
          <w:rStyle w:val="StyleUnderline"/>
        </w:rPr>
        <w:t xml:space="preserve">a </w:t>
      </w:r>
      <w:r w:rsidRPr="00496FD8">
        <w:rPr>
          <w:rStyle w:val="Emphasis"/>
        </w:rPr>
        <w:t>prize system</w:t>
      </w:r>
      <w:r w:rsidRPr="00496FD8">
        <w:rPr>
          <w:sz w:val="16"/>
        </w:rPr>
        <w:t xml:space="preserve">, perhaps funded by nation states or by the WHO.Footnote22 Disinterested scientists or academics could be charged with awarding the prize funds for worthwhile research. </w:t>
      </w:r>
      <w:r w:rsidRPr="00496FD8">
        <w:rPr>
          <w:rStyle w:val="StyleUnderline"/>
        </w:rPr>
        <w:t>Such a system might partially replace the patent system or be supplementary to it.</w:t>
      </w:r>
    </w:p>
    <w:p w14:paraId="19AE1193" w14:textId="45E50673" w:rsidR="00496FD8" w:rsidRDefault="00496FD8" w:rsidP="00496FD8"/>
    <w:p w14:paraId="7E353FA4" w14:textId="669AD5AD" w:rsidR="00496FD8" w:rsidRDefault="002E5EC3" w:rsidP="002E5EC3">
      <w:pPr>
        <w:pStyle w:val="Heading4"/>
      </w:pPr>
      <w:r>
        <w:t xml:space="preserve">We don’t decrease intellectual property – the CP is in the opposite direction of the </w:t>
      </w:r>
      <w:proofErr w:type="spellStart"/>
      <w:r>
        <w:t>aff</w:t>
      </w:r>
      <w:proofErr w:type="spellEnd"/>
      <w:r w:rsidR="00CD4775">
        <w:t xml:space="preserve">, </w:t>
      </w:r>
      <w:r w:rsidR="00E9251D">
        <w:t xml:space="preserve">so </w:t>
      </w:r>
      <w:r w:rsidR="00CD4775">
        <w:t>the perm fails.</w:t>
      </w:r>
    </w:p>
    <w:p w14:paraId="74E05DCC" w14:textId="5E7B42CF" w:rsidR="00496FD8" w:rsidRDefault="00496FD8" w:rsidP="00496FD8"/>
    <w:p w14:paraId="57BDCDA6" w14:textId="3AE5D61E" w:rsidR="00407793" w:rsidRPr="00564C36" w:rsidRDefault="00407793" w:rsidP="00407793">
      <w:pPr>
        <w:pStyle w:val="Heading4"/>
        <w:rPr>
          <w:bCs w:val="0"/>
        </w:rPr>
      </w:pPr>
      <w:r w:rsidRPr="00564C36">
        <w:t xml:space="preserve">The </w:t>
      </w:r>
      <w:proofErr w:type="spellStart"/>
      <w:r w:rsidRPr="00564C36">
        <w:t>aff</w:t>
      </w:r>
      <w:proofErr w:type="spellEnd"/>
      <w:r w:rsidRPr="00564C36">
        <w:t xml:space="preserve"> </w:t>
      </w:r>
      <w:r>
        <w:t>reverses innovative potential</w:t>
      </w:r>
      <w:r>
        <w:t xml:space="preserve"> – strong IP protection is k2 innovation</w:t>
      </w:r>
      <w:r w:rsidR="005A2127">
        <w:t>.</w:t>
      </w:r>
    </w:p>
    <w:p w14:paraId="27873A44" w14:textId="77777777" w:rsidR="00407793" w:rsidRDefault="00407793" w:rsidP="00407793">
      <w:pPr>
        <w:rPr>
          <w:rStyle w:val="Style13ptBold"/>
          <w:rFonts w:ascii="Times New Roman" w:hAnsi="Times New Roman" w:cs="Times New Roman"/>
          <w:bCs/>
        </w:rPr>
      </w:pPr>
      <w:r>
        <w:rPr>
          <w:rStyle w:val="Style13ptBold"/>
        </w:rPr>
        <w:t xml:space="preserve">Cory 17 </w:t>
      </w:r>
      <w:r>
        <w:t xml:space="preserve">[Nigel Cory is a trade policy analyst at the Information Technology and Innovation </w:t>
      </w:r>
      <w:proofErr w:type="spellStart"/>
      <w:r>
        <w:t>Foundation.April</w:t>
      </w:r>
      <w:proofErr w:type="spellEnd"/>
      <w:r>
        <w:t xml:space="preserve"> 30, 2017, “How Intellectual Property Protection Incentivizes Innovation” </w:t>
      </w:r>
      <w:hyperlink r:id="rId20" w:history="1">
        <w:r>
          <w:rPr>
            <w:rStyle w:val="Hyperlink"/>
            <w:color w:val="000000"/>
            <w:u w:val="single"/>
          </w:rPr>
          <w:t>https://www.globaltrademag.com/intellectual-property-protection-incentivizes-innovation/</w:t>
        </w:r>
      </w:hyperlink>
      <w:r>
        <w:t xml:space="preserve"> //gord0]</w:t>
      </w:r>
    </w:p>
    <w:p w14:paraId="09D2F7D5" w14:textId="138555C4" w:rsidR="00407793" w:rsidRDefault="00407793" w:rsidP="00407793">
      <w:pPr>
        <w:rPr>
          <w:sz w:val="16"/>
          <w:szCs w:val="16"/>
        </w:rPr>
      </w:pPr>
      <w:r>
        <w:rPr>
          <w:sz w:val="16"/>
          <w:szCs w:val="16"/>
        </w:rPr>
        <w:t xml:space="preserve">World Intellectual Property Day was marked last week, an important moment to consider the critical relationship between </w:t>
      </w:r>
      <w:hyperlink r:id="rId21" w:history="1">
        <w:r>
          <w:rPr>
            <w:rStyle w:val="Hyperlink"/>
            <w:color w:val="000000"/>
            <w:sz w:val="16"/>
            <w:szCs w:val="16"/>
            <w:u w:val="single"/>
          </w:rPr>
          <w:t>intellectual property (IP) protection</w:t>
        </w:r>
      </w:hyperlink>
      <w:r>
        <w:rPr>
          <w:sz w:val="16"/>
          <w:szCs w:val="16"/>
        </w:rPr>
        <w:t xml:space="preserve"> and innovation. Just as we have in years past, the </w:t>
      </w:r>
      <w:hyperlink r:id="rId22" w:history="1">
        <w:r>
          <w:rPr>
            <w:rStyle w:val="Hyperlink"/>
            <w:color w:val="000000"/>
            <w:sz w:val="16"/>
            <w:szCs w:val="16"/>
            <w:u w:val="single"/>
          </w:rPr>
          <w:t>Information Technology and Innovation Foundation (ITIF)</w:t>
        </w:r>
      </w:hyperlink>
      <w:r>
        <w:rPr>
          <w:sz w:val="16"/>
          <w:szCs w:val="16"/>
        </w:rPr>
        <w:t xml:space="preserve"> took a deeper look at the latest data on the strength of IP laws and the amount of innovative, creative output around the word, and found that overall, </w:t>
      </w:r>
      <w:r>
        <w:rPr>
          <w:highlight w:val="green"/>
          <w:u w:val="single"/>
        </w:rPr>
        <w:t>countries with stronger IP protection</w:t>
      </w:r>
      <w:r>
        <w:rPr>
          <w:u w:val="single"/>
        </w:rPr>
        <w:t xml:space="preserve"> also </w:t>
      </w:r>
      <w:r>
        <w:rPr>
          <w:highlight w:val="green"/>
          <w:u w:val="single"/>
        </w:rPr>
        <w:t>have more creative output</w:t>
      </w:r>
      <w:r>
        <w:rPr>
          <w:u w:val="single"/>
        </w:rPr>
        <w:t xml:space="preserve">, even at </w:t>
      </w:r>
      <w:r>
        <w:rPr>
          <w:highlight w:val="green"/>
          <w:u w:val="single"/>
        </w:rPr>
        <w:t>varying levels of development</w:t>
      </w:r>
      <w:r>
        <w:rPr>
          <w:u w:val="single"/>
        </w:rPr>
        <w:t xml:space="preserve">. The results show </w:t>
      </w:r>
      <w:r>
        <w:rPr>
          <w:u w:val="single"/>
        </w:rPr>
        <w:lastRenderedPageBreak/>
        <w:t xml:space="preserve">why </w:t>
      </w:r>
      <w:r>
        <w:rPr>
          <w:highlight w:val="green"/>
          <w:u w:val="single"/>
        </w:rPr>
        <w:t>countries need to support</w:t>
      </w:r>
      <w:r>
        <w:rPr>
          <w:u w:val="single"/>
        </w:rPr>
        <w:t xml:space="preserve"> efforts to ensure international rules address new and </w:t>
      </w:r>
      <w:r>
        <w:rPr>
          <w:highlight w:val="green"/>
          <w:u w:val="single"/>
        </w:rPr>
        <w:t>emerging IP issues</w:t>
      </w:r>
      <w:r>
        <w:rPr>
          <w:u w:val="single"/>
        </w:rPr>
        <w:t xml:space="preserve"> in order </w:t>
      </w:r>
      <w:r>
        <w:rPr>
          <w:highlight w:val="green"/>
          <w:u w:val="single"/>
        </w:rPr>
        <w:t>to ensure that</w:t>
      </w:r>
      <w:r>
        <w:rPr>
          <w:u w:val="single"/>
        </w:rPr>
        <w:t xml:space="preserve"> firms and </w:t>
      </w:r>
      <w:r>
        <w:rPr>
          <w:highlight w:val="green"/>
          <w:u w:val="single"/>
        </w:rPr>
        <w:t>countries are maximizing</w:t>
      </w:r>
      <w:r>
        <w:rPr>
          <w:u w:val="single"/>
        </w:rPr>
        <w:t xml:space="preserve"> their </w:t>
      </w:r>
      <w:r>
        <w:rPr>
          <w:highlight w:val="green"/>
          <w:u w:val="single"/>
        </w:rPr>
        <w:t>innovative</w:t>
      </w:r>
      <w:r>
        <w:rPr>
          <w:u w:val="single"/>
        </w:rPr>
        <w:t xml:space="preserve"> and creative </w:t>
      </w:r>
      <w:r>
        <w:rPr>
          <w:highlight w:val="green"/>
          <w:u w:val="single"/>
        </w:rPr>
        <w:t>potential</w:t>
      </w:r>
      <w:r>
        <w:rPr>
          <w:u w:val="single"/>
        </w:rPr>
        <w:t>.</w:t>
      </w:r>
      <w:r>
        <w:rPr>
          <w:rFonts w:ascii="Times New Roman" w:hAnsi="Times New Roman" w:cs="Times New Roman"/>
        </w:rPr>
        <w:t xml:space="preserve"> </w:t>
      </w:r>
      <w:r>
        <w:t xml:space="preserve">ITIF compared the strength of IP laws and the effectiveness of anti-counterfeiting laws based on data from the World Economic Forum’s Global Competitiveness Report 2016-17 with creative output scores from the Global Innovation Index 2016, a report from Cornell University, INSEAD, and the World Intellectual Property Organization (WIPO). </w:t>
      </w:r>
      <w:r>
        <w:rPr>
          <w:u w:val="single"/>
        </w:rPr>
        <w:t xml:space="preserve">The Global Innovation Index combines </w:t>
      </w:r>
      <w:r>
        <w:rPr>
          <w:highlight w:val="green"/>
          <w:u w:val="single"/>
        </w:rPr>
        <w:t>three measures</w:t>
      </w:r>
      <w:r>
        <w:rPr>
          <w:u w:val="single"/>
        </w:rPr>
        <w:t xml:space="preserve"> of creativity. First, “</w:t>
      </w:r>
      <w:r>
        <w:rPr>
          <w:highlight w:val="green"/>
          <w:u w:val="single"/>
        </w:rPr>
        <w:t>intangible assets”</w:t>
      </w:r>
      <w:r>
        <w:rPr>
          <w:u w:val="single"/>
        </w:rPr>
        <w:t xml:space="preserve"> combines measures of domestic and international trademark applications and rates of information and communication technology adoption. Second, </w:t>
      </w:r>
      <w:r>
        <w:rPr>
          <w:highlight w:val="green"/>
          <w:u w:val="single"/>
        </w:rPr>
        <w:t>“creative goods and services”</w:t>
      </w:r>
      <w:r>
        <w:rPr>
          <w:u w:val="single"/>
        </w:rPr>
        <w:t xml:space="preserve"> measures trade in creative services and output by a nation’s media, printing and publishing, and entertainment industries. Finally, </w:t>
      </w:r>
      <w:r>
        <w:rPr>
          <w:highlight w:val="green"/>
          <w:u w:val="single"/>
        </w:rPr>
        <w:t>“online creativity”</w:t>
      </w:r>
      <w:r>
        <w:rPr>
          <w:u w:val="single"/>
        </w:rPr>
        <w:t xml:space="preserve"> measures a nation’s top-level internet domains, as well as the number of YouTube videos uploaded and Wikipedia pages edited. The key finding is that there is a </w:t>
      </w:r>
      <w:r>
        <w:rPr>
          <w:highlight w:val="green"/>
          <w:u w:val="single"/>
        </w:rPr>
        <w:t>strong positive correlation</w:t>
      </w:r>
      <w:r>
        <w:rPr>
          <w:u w:val="single"/>
        </w:rPr>
        <w:t xml:space="preserve"> (0.74) between the strength of IP protections and countries’ score on creative outputs, </w:t>
      </w:r>
      <w:r>
        <w:rPr>
          <w:highlight w:val="green"/>
          <w:u w:val="single"/>
        </w:rPr>
        <w:t>based on</w:t>
      </w:r>
      <w:r>
        <w:rPr>
          <w:u w:val="single"/>
        </w:rPr>
        <w:t xml:space="preserve"> a sample of </w:t>
      </w:r>
      <w:r>
        <w:rPr>
          <w:highlight w:val="green"/>
          <w:u w:val="single"/>
        </w:rPr>
        <w:t>119 countries</w:t>
      </w:r>
      <w:r>
        <w:rPr>
          <w:u w:val="single"/>
        </w:rPr>
        <w:t xml:space="preserve"> (only those countries which had all the necessary data).</w:t>
      </w:r>
      <w:r>
        <w:t xml:space="preserve"> ITIF assessments in 2016 and 2014 produced similar results of 0.70 (from a sample of 127 countries) and 0.72 (from a sample of 136). Some advocates that are opposed to IP protections claim IP only benefits high-income countries. To test whether the correlation was solely based on income, </w:t>
      </w:r>
      <w:r>
        <w:rPr>
          <w:u w:val="single"/>
        </w:rPr>
        <w:t xml:space="preserve">the </w:t>
      </w:r>
      <w:r>
        <w:rPr>
          <w:highlight w:val="green"/>
          <w:u w:val="single"/>
        </w:rPr>
        <w:t>data</w:t>
      </w:r>
      <w:r>
        <w:rPr>
          <w:u w:val="single"/>
        </w:rPr>
        <w:t xml:space="preserve"> were </w:t>
      </w:r>
      <w:r>
        <w:rPr>
          <w:highlight w:val="green"/>
          <w:u w:val="single"/>
        </w:rPr>
        <w:t>divided between high-</w:t>
      </w:r>
      <w:r>
        <w:rPr>
          <w:u w:val="single"/>
        </w:rPr>
        <w:t xml:space="preserve">income (&gt;$20,000 GDP per capita), </w:t>
      </w:r>
      <w:r>
        <w:rPr>
          <w:highlight w:val="green"/>
          <w:u w:val="single"/>
        </w:rPr>
        <w:t>middle</w:t>
      </w:r>
      <w:r>
        <w:rPr>
          <w:u w:val="single"/>
        </w:rPr>
        <w:t xml:space="preserve">-income ($5,000-$19,999 GDP per capita), </w:t>
      </w:r>
      <w:r>
        <w:rPr>
          <w:highlight w:val="green"/>
          <w:u w:val="single"/>
        </w:rPr>
        <w:t>and low-income nations</w:t>
      </w:r>
      <w:r>
        <w:rPr>
          <w:u w:val="single"/>
        </w:rPr>
        <w:t xml:space="preserve"> (&lt;$5,000 GDP per capita). The sample has 33 high-income countries, 37 middle-income countries, and 49 low-income countries. Similar to past years, </w:t>
      </w:r>
      <w:r>
        <w:rPr>
          <w:highlight w:val="green"/>
          <w:u w:val="single"/>
        </w:rPr>
        <w:t>the relationship</w:t>
      </w:r>
      <w:r>
        <w:rPr>
          <w:u w:val="single"/>
        </w:rPr>
        <w:t xml:space="preserve"> between IP protection and creative output was strongest in high-income countries, with a correlation of 0.51, but it </w:t>
      </w:r>
      <w:r>
        <w:rPr>
          <w:highlight w:val="green"/>
          <w:u w:val="single"/>
        </w:rPr>
        <w:t>was</w:t>
      </w:r>
      <w:r>
        <w:rPr>
          <w:u w:val="single"/>
        </w:rPr>
        <w:t xml:space="preserve"> </w:t>
      </w:r>
      <w:r>
        <w:rPr>
          <w:highlight w:val="green"/>
          <w:u w:val="single"/>
        </w:rPr>
        <w:t>still positive for</w:t>
      </w:r>
      <w:r>
        <w:rPr>
          <w:u w:val="single"/>
        </w:rPr>
        <w:t xml:space="preserve"> both </w:t>
      </w:r>
      <w:r>
        <w:rPr>
          <w:highlight w:val="green"/>
          <w:u w:val="single"/>
        </w:rPr>
        <w:t>middle</w:t>
      </w:r>
      <w:r>
        <w:rPr>
          <w:u w:val="single"/>
        </w:rPr>
        <w:t xml:space="preserve">-income (0.19) </w:t>
      </w:r>
      <w:r>
        <w:rPr>
          <w:highlight w:val="green"/>
          <w:u w:val="single"/>
        </w:rPr>
        <w:t>and low-income countries</w:t>
      </w:r>
      <w:r>
        <w:rPr>
          <w:u w:val="single"/>
        </w:rPr>
        <w:t xml:space="preserve"> </w:t>
      </w:r>
      <w:r>
        <w:t xml:space="preserve">(0.22). In other words, even for the poorest nations, stronger IP protection was associated with stronger creative outputs, which in turn lead to job creation and GDP growth. </w:t>
      </w:r>
      <w:r>
        <w:rPr>
          <w:sz w:val="12"/>
          <w:szCs w:val="12"/>
        </w:rPr>
        <w:t xml:space="preserve">As in past reports, the Global Competitiveness Report 2016-17 shows that it’s difficult for countries to score well in creative outputs without ranking highly in intellectual property protections. The average level of IP protection for the top 20 most-creative countries (5.85 out of 7) is well above the average (4.37). Delving deeper, the analysis shows that the 50 countries with above average total creative outputs also have above average intellectual property protections (5.01). </w:t>
      </w:r>
      <w:r>
        <w:rPr>
          <w:rStyle w:val="Strong"/>
          <w:i/>
          <w:iCs/>
          <w:sz w:val="12"/>
          <w:szCs w:val="12"/>
        </w:rPr>
        <w:t>Setting New International Norms: Analyzing IP, Creative Output, and Trade Agreements</w:t>
      </w:r>
      <w:r>
        <w:rPr>
          <w:sz w:val="12"/>
          <w:szCs w:val="12"/>
        </w:rPr>
        <w:t xml:space="preserve"> At the multilateral level, the World Intellectual Property Organization’s Copyright Treaty sets a basic framework for its 95 member-countries to enact to prevent unauthorized access to and use of creative works on the Internet, such as for computer programs and databases. Along with the Performances and Phonogram Treaty, it comprises WIPO’s “Internet Treaties,” which aim to update and supplement core international IP agreements—the Berne Convention and Rome Convention—which were adopted or last revised over 50 years ago. This year’s analysis shows the value of the Copyright Treaty’s basic levels of digital IP protections. Our analysis included 88 of the 95 WIPO Copyright Treaty members. These nations had a level of IP protection and creative output above the average for the entire sample: 4.5 vs. 4.37, and 93.5 vs. 87.7, respectively. Meanwhile, non-members (the sample included 31) had an average level of protection and creative output well below the average: 4 vs. 4.37, and 71 vs. 87, respectively. These results show why bilateral, regional, and multilateral efforts to update the issues addressed by the Copyright Treaty and other digital IP issues should be supported. Given that this treaty was negotiated in the 1990s and came into force in 2002, there are obvious needs for further updates given changes in technology and the digital economy. Efforts to set higher common levels of IP protection and enforcement have mainly occurred at the regional level, especially in the Asia-Pacific, with the </w:t>
      </w:r>
      <w:hyperlink r:id="rId23" w:history="1">
        <w:r>
          <w:rPr>
            <w:rStyle w:val="Hyperlink"/>
            <w:color w:val="000000"/>
            <w:sz w:val="12"/>
            <w:szCs w:val="12"/>
            <w:u w:val="single"/>
          </w:rPr>
          <w:t>Trans-Pacific Partnership (TPP)</w:t>
        </w:r>
      </w:hyperlink>
      <w:r>
        <w:rPr>
          <w:sz w:val="12"/>
          <w:szCs w:val="12"/>
        </w:rPr>
        <w:t xml:space="preserve"> leading the way and the Regional Comprehensive Economic Partnership (RCEP) addressing this as well. Unfortunately, the future of the TPP is in serious doubt given America’s withdrawal, but if the other 11 members were to decide to implement the agreement, it would hopefully include the TPP’s high-standard IP chapter. Still, the TPP’s developing-country members (Malaysia, Vietnam, and Peru) need to make significant progress to close the gap to developed-country-member levels of protection and creative output. In 2016, out 119 countries, Malaysia ranked 27th in IP protection and 42nd in output (both improvements from 109th and 34th in 2015, which had 127 countries), Vietnam ranked 92nd and 51st (up from 82nd and down from 54th), and Peru ranked 100th and 67th (slightly up from 96th and 61st). RCEP shows an even bigger gulf between leaders and laggards. The 16 members of RCEP include developed countries with high-standard free trade agreements and IP systems (such as Australia, Singapore, and Korea), but also a broader range of developing countries that do poorly with IP protection and creative output (such as Cambodia, China, India, the Philippines, and Thailand). Developing-country members of RCEP have a below-average level of IP protection (4.05) and total creative output (72.8). In reality, this underperformance is likely much worse given Laos and Myanmar are not included in the sample due to a lack of data. The membership complicates the potential for a high-standard IP chapter. While China has made efforts to improve its domestic IP and innovation systems, it has likewise sought to steal or coerce IP from foreign firms and has failed to push for strong IP as part of past trade agreements. Other RCEP members have also not prioritized IP in their past trade agreements, so the level of ambition in RCEP is going to be much lower than TPP if these members prevail over the countries with well-developed IP systems, such as Australia, Japan, Korea, and Singapore, especially if the RCEP succumbs to the same misguided scare campaign as the TPP’s IP chapter. However, IP is just one of many divisions that could prolong, or ultimately doom, RCEP’s future. </w:t>
      </w:r>
      <w:r>
        <w:rPr>
          <w:rStyle w:val="Strong"/>
          <w:i/>
          <w:iCs/>
          <w:sz w:val="16"/>
          <w:szCs w:val="16"/>
        </w:rPr>
        <w:t>Correlation Does Not Equal Causation, But IP is Key to Incentivizing Creativity and Innovation</w:t>
      </w:r>
      <w:r>
        <w:rPr>
          <w:sz w:val="16"/>
          <w:szCs w:val="16"/>
        </w:rPr>
        <w:t xml:space="preserve"> Of course, correlation does not equal causation, and enacting higher levels of intellectual property protections will not always automatically lead to greater creative output. IP does not function in a void without other policy support. An OECD literature review and empirical study found that efforts to strengthen IP protections over the last two decades had a positive economic impact but that variations were due to certain complementary factors, such as human capital, legal and institutional conditions, and fiscal incentives. This all leads back to a central point worth remembering this World Intellectual Property Day: Whether a country is trying to catch up to the technology frontier, or push it ahead</w:t>
      </w:r>
      <w:r>
        <w:rPr>
          <w:u w:val="single"/>
        </w:rPr>
        <w:t xml:space="preserve">, </w:t>
      </w:r>
      <w:r>
        <w:rPr>
          <w:highlight w:val="green"/>
          <w:u w:val="single"/>
        </w:rPr>
        <w:t>stronger</w:t>
      </w:r>
      <w:r>
        <w:rPr>
          <w:u w:val="single"/>
        </w:rPr>
        <w:t xml:space="preserve"> </w:t>
      </w:r>
      <w:r>
        <w:rPr>
          <w:highlight w:val="green"/>
          <w:u w:val="single"/>
        </w:rPr>
        <w:t>i</w:t>
      </w:r>
      <w:r>
        <w:rPr>
          <w:u w:val="single"/>
        </w:rPr>
        <w:t xml:space="preserve">ntellectual </w:t>
      </w:r>
      <w:r>
        <w:rPr>
          <w:highlight w:val="green"/>
          <w:u w:val="single"/>
        </w:rPr>
        <w:t>p</w:t>
      </w:r>
      <w:r>
        <w:rPr>
          <w:u w:val="single"/>
        </w:rPr>
        <w:t xml:space="preserve">roperty </w:t>
      </w:r>
      <w:r>
        <w:rPr>
          <w:highlight w:val="green"/>
          <w:u w:val="single"/>
        </w:rPr>
        <w:t>protections</w:t>
      </w:r>
      <w:r>
        <w:rPr>
          <w:u w:val="single"/>
        </w:rPr>
        <w:t xml:space="preserve"> are </w:t>
      </w:r>
      <w:r>
        <w:rPr>
          <w:highlight w:val="green"/>
          <w:u w:val="single"/>
        </w:rPr>
        <w:t>crucial to incentivizing</w:t>
      </w:r>
      <w:r>
        <w:rPr>
          <w:u w:val="single"/>
        </w:rPr>
        <w:t xml:space="preserve"> the creativity and </w:t>
      </w:r>
      <w:r>
        <w:rPr>
          <w:highlight w:val="green"/>
          <w:u w:val="single"/>
        </w:rPr>
        <w:t>innovation</w:t>
      </w:r>
      <w:r>
        <w:rPr>
          <w:u w:val="single"/>
        </w:rPr>
        <w:t xml:space="preserve"> </w:t>
      </w:r>
      <w:r>
        <w:rPr>
          <w:u w:val="single"/>
        </w:rPr>
        <w:lastRenderedPageBreak/>
        <w:t>that helps make this happen.</w:t>
      </w:r>
      <w:r>
        <w:t xml:space="preserve"> </w:t>
      </w:r>
      <w:r>
        <w:rPr>
          <w:sz w:val="16"/>
          <w:szCs w:val="16"/>
        </w:rPr>
        <w:t>Given this, countries—at all levels of development—that want to spur innovation need to support efforts to ensure international norms reflect the modern challenges facing IP protection and enforcement and help set better, shared IP rules in order to ensure that firms and countries are maximizing their innovative and creative potential.</w:t>
      </w:r>
    </w:p>
    <w:p w14:paraId="7D3800B7" w14:textId="68805561" w:rsidR="00BE1C12" w:rsidRDefault="00BE1C12" w:rsidP="00407793">
      <w:pPr>
        <w:rPr>
          <w:sz w:val="16"/>
          <w:szCs w:val="16"/>
        </w:rPr>
      </w:pPr>
    </w:p>
    <w:p w14:paraId="1E584F78" w14:textId="77777777" w:rsidR="00BE1C12" w:rsidRDefault="00BE1C12" w:rsidP="00407793"/>
    <w:p w14:paraId="0BD8F2C9" w14:textId="781393FC" w:rsidR="00407793" w:rsidRDefault="00960927" w:rsidP="00960927">
      <w:pPr>
        <w:pStyle w:val="Heading2"/>
      </w:pPr>
      <w:r>
        <w:lastRenderedPageBreak/>
        <w:t>3</w:t>
      </w:r>
    </w:p>
    <w:p w14:paraId="1AA9097C" w14:textId="77777777" w:rsidR="00960927" w:rsidRDefault="00960927" w:rsidP="00960927">
      <w:pPr>
        <w:pStyle w:val="Heading4"/>
      </w:pPr>
      <w:r>
        <w:t>Interpretation: The affirmative must specify which intellectual property rights they reduce and to what degree they reduce them.</w:t>
      </w:r>
    </w:p>
    <w:p w14:paraId="61DD9BC2" w14:textId="77777777" w:rsidR="00960927" w:rsidRDefault="00960927" w:rsidP="00960927">
      <w:pPr>
        <w:pStyle w:val="Heading4"/>
      </w:pPr>
      <w:r>
        <w:t>There’s no normal means.</w:t>
      </w:r>
    </w:p>
    <w:p w14:paraId="0DAD46C8" w14:textId="77777777" w:rsidR="00960927" w:rsidRPr="008F6B66" w:rsidRDefault="00960927" w:rsidP="00960927">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4B81304F" w14:textId="77777777" w:rsidR="00960927" w:rsidRPr="00D829C2" w:rsidRDefault="00960927" w:rsidP="00960927">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w:t>
      </w:r>
      <w:proofErr w:type="spellStart"/>
      <w:r w:rsidRPr="00D829C2">
        <w:rPr>
          <w:sz w:val="16"/>
          <w:szCs w:val="26"/>
        </w:rPr>
        <w:t>Landes</w:t>
      </w:r>
      <w:proofErr w:type="spellEnd"/>
      <w:r w:rsidRPr="00D829C2">
        <w:rPr>
          <w:sz w:val="16"/>
          <w:szCs w:val="26"/>
        </w:rPr>
        <w:t xml:space="preserve"> and Judge Richard Posner, ask: is ‘intellectual property’ the same kind of property as ‘tangible property’, and are legal protections </w:t>
      </w:r>
      <w:r w:rsidRPr="00504B32">
        <w:rPr>
          <w:sz w:val="16"/>
          <w:szCs w:val="26"/>
        </w:rPr>
        <w:t>for the latter appropriate for the former? And to that query, we can add</w:t>
      </w:r>
      <w:r w:rsidRPr="00504B32">
        <w:rPr>
          <w:rStyle w:val="StyleUnderline"/>
          <w:szCs w:val="26"/>
        </w:rPr>
        <w:t>: is ‘intellectual property’ an appropriate general term for the widely disparate areas of law it encompasses</w:t>
      </w:r>
      <w:r w:rsidRPr="00504B32">
        <w:rPr>
          <w:sz w:val="16"/>
          <w:szCs w:val="26"/>
        </w:rPr>
        <w:t xml:space="preserve">? The answer to all these questions is </w:t>
      </w:r>
      <w:r w:rsidRPr="00504B32">
        <w:rPr>
          <w:rStyle w:val="StyleUnderline"/>
          <w:szCs w:val="26"/>
        </w:rPr>
        <w:t>no</w:t>
      </w:r>
      <w:r w:rsidRPr="00504B32">
        <w:rPr>
          <w:sz w:val="16"/>
          <w:szCs w:val="26"/>
        </w:rPr>
        <w:t>. And answering the latter question will help to answer the former. Stallman is a computer hacker extraordinaire and the fieriest exponent of the free-software movement, which holds that computer users and programmers should be free to copy, share and distribute software source code.</w:t>
      </w:r>
      <w:r w:rsidRPr="00D829C2">
        <w:rPr>
          <w:sz w:val="16"/>
          <w:szCs w:val="26"/>
        </w:rPr>
        <w:t xml:space="preserve"> He has argued that the term ‘intellectual property’ be discarded in </w:t>
      </w:r>
      <w:proofErr w:type="spellStart"/>
      <w:r w:rsidRPr="00D829C2">
        <w:rPr>
          <w:sz w:val="16"/>
          <w:szCs w:val="26"/>
        </w:rPr>
        <w:t>favour</w:t>
      </w:r>
      <w:proofErr w:type="spellEnd"/>
      <w:r w:rsidRPr="00D829C2">
        <w:rPr>
          <w:sz w:val="16"/>
          <w:szCs w:val="2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763D70">
        <w:rPr>
          <w:rStyle w:val="StyleUnderline"/>
          <w:szCs w:val="26"/>
          <w:highlight w:val="cyan"/>
        </w:rPr>
        <w:t xml:space="preserve">copyright, patent, trademark </w:t>
      </w:r>
      <w:r w:rsidRPr="00504B32">
        <w:rPr>
          <w:rStyle w:val="StyleUnderline"/>
          <w:szCs w:val="26"/>
        </w:rPr>
        <w:t xml:space="preserve">and </w:t>
      </w:r>
      <w:r w:rsidRPr="00763D70">
        <w:rPr>
          <w:rStyle w:val="StyleUnderline"/>
          <w:szCs w:val="26"/>
          <w:highlight w:val="cyan"/>
        </w:rPr>
        <w:t>trade</w:t>
      </w:r>
      <w:r w:rsidRPr="00504B32">
        <w:rPr>
          <w:rStyle w:val="StyleUnderline"/>
          <w:szCs w:val="26"/>
        </w:rPr>
        <w:t xml:space="preserve"> secret law </w:t>
      </w:r>
      <w:r w:rsidRPr="00D829C2">
        <w:rPr>
          <w:rStyle w:val="StyleUnderline"/>
          <w:szCs w:val="26"/>
        </w:rPr>
        <w:t xml:space="preserve">were </w:t>
      </w:r>
      <w:r w:rsidRPr="00504B32">
        <w:rPr>
          <w:rStyle w:val="StyleUnderline"/>
          <w:szCs w:val="26"/>
        </w:rPr>
        <w:t>motivated by widely differing considerations</w:t>
      </w:r>
      <w:r w:rsidRPr="00504B32">
        <w:rPr>
          <w:sz w:val="16"/>
          <w:szCs w:val="26"/>
        </w:rPr>
        <w:t>. Their intended</w:t>
      </w:r>
      <w:r w:rsidRPr="00D829C2">
        <w:rPr>
          <w:sz w:val="16"/>
          <w:szCs w:val="26"/>
        </w:rPr>
        <w:t xml:space="preserve"> purposes, the objects covered and the permissible constraints all vary. In fact, knowledge </w:t>
      </w:r>
      <w:r w:rsidRPr="00504B32">
        <w:rPr>
          <w:sz w:val="16"/>
          <w:szCs w:val="26"/>
        </w:rPr>
        <w:t xml:space="preserve">of </w:t>
      </w:r>
      <w:r w:rsidRPr="00504B32">
        <w:rPr>
          <w:rStyle w:val="StyleUnderline"/>
          <w:szCs w:val="26"/>
        </w:rPr>
        <w:t>one body of law rarely carries over to another</w:t>
      </w:r>
      <w:r w:rsidRPr="00504B32">
        <w:rPr>
          <w:sz w:val="16"/>
          <w:szCs w:val="26"/>
        </w:rPr>
        <w:t>. (A</w:t>
      </w:r>
      <w:r w:rsidRPr="00D829C2">
        <w:rPr>
          <w:sz w:val="16"/>
          <w:szCs w:val="26"/>
        </w:rPr>
        <w:t xml:space="preserve"> common confusion is to imagine that an object protected by one area of law is actually protected by another: ‘McDonald’s’ is protected by trademark law, not copyright law, as many consumers seem to think.) Such diversity renders most ‘general statements … using “intellectual </w:t>
      </w:r>
      <w:proofErr w:type="gramStart"/>
      <w:r w:rsidRPr="00D829C2">
        <w:rPr>
          <w:sz w:val="16"/>
          <w:szCs w:val="26"/>
        </w:rPr>
        <w:t>property”…</w:t>
      </w:r>
      <w:proofErr w:type="gramEnd"/>
      <w:r w:rsidRPr="00D829C2">
        <w:rPr>
          <w:sz w:val="16"/>
          <w:szCs w:val="26"/>
        </w:rPr>
        <w:t xml:space="preserve"> false,’ Stallman </w:t>
      </w:r>
      <w:hyperlink r:id="rId24"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w:t>
      </w:r>
      <w:proofErr w:type="spellStart"/>
      <w:r w:rsidRPr="00D829C2">
        <w:rPr>
          <w:sz w:val="16"/>
          <w:szCs w:val="26"/>
        </w:rPr>
        <w:t>incentivises</w:t>
      </w:r>
      <w:proofErr w:type="spellEnd"/>
      <w:r w:rsidRPr="00D829C2">
        <w:rPr>
          <w:sz w:val="16"/>
          <w:szCs w:val="2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D829C2">
        <w:rPr>
          <w:sz w:val="16"/>
          <w:szCs w:val="26"/>
        </w:rPr>
        <w:t>generalised</w:t>
      </w:r>
      <w:proofErr w:type="spellEnd"/>
      <w:r w:rsidRPr="00D829C2">
        <w:rPr>
          <w:sz w:val="16"/>
          <w:szCs w:val="26"/>
        </w:rPr>
        <w:t xml:space="preserve">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763D70">
        <w:rPr>
          <w:rStyle w:val="StyleUnderline"/>
          <w:szCs w:val="26"/>
          <w:highlight w:val="cyan"/>
        </w:rPr>
        <w:t>generality</w:t>
      </w:r>
      <w:r w:rsidRPr="00763D70">
        <w:rPr>
          <w:sz w:val="16"/>
          <w:szCs w:val="26"/>
          <w:highlight w:val="cyan"/>
        </w:rPr>
        <w:t xml:space="preserve"> </w:t>
      </w:r>
      <w:r w:rsidRPr="00D829C2">
        <w:rPr>
          <w:sz w:val="16"/>
          <w:szCs w:val="26"/>
        </w:rPr>
        <w:t>encouraged by ‘</w:t>
      </w:r>
      <w:r w:rsidRPr="00504B32">
        <w:rPr>
          <w:sz w:val="16"/>
          <w:szCs w:val="26"/>
        </w:rPr>
        <w:t xml:space="preserve">intellectual property’ </w:t>
      </w:r>
      <w:r w:rsidRPr="00763D70">
        <w:rPr>
          <w:rStyle w:val="StyleUnderline"/>
          <w:szCs w:val="26"/>
          <w:highlight w:val="cyan"/>
        </w:rPr>
        <w:t>obscures</w:t>
      </w:r>
      <w:r w:rsidRPr="00504B32">
        <w:rPr>
          <w:b/>
          <w:bCs/>
          <w:sz w:val="16"/>
          <w:szCs w:val="26"/>
        </w:rPr>
        <w:t xml:space="preserve"> </w:t>
      </w:r>
      <w:r w:rsidRPr="00504B32">
        <w:rPr>
          <w:rStyle w:val="StyleUnderline"/>
          <w:szCs w:val="26"/>
        </w:rPr>
        <w:t xml:space="preserve">the specific areas of </w:t>
      </w:r>
      <w:r w:rsidRPr="00763D70">
        <w:rPr>
          <w:rStyle w:val="StyleUnderline"/>
          <w:szCs w:val="26"/>
          <w:highlight w:val="cyan"/>
        </w:rPr>
        <w:t>contention</w:t>
      </w:r>
      <w:r w:rsidRPr="00504B32">
        <w:rPr>
          <w:sz w:val="16"/>
          <w:szCs w:val="26"/>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763D70">
        <w:rPr>
          <w:rStyle w:val="StyleUnderline"/>
          <w:szCs w:val="26"/>
          <w:highlight w:val="cyan"/>
        </w:rPr>
        <w:t>patent law</w:t>
      </w:r>
      <w:r w:rsidRPr="00DD69BB">
        <w:rPr>
          <w:rStyle w:val="StyleUnderline"/>
          <w:szCs w:val="26"/>
        </w:rPr>
        <w:t xml:space="preserve"> wonder whether pharmaceutical companies should have to </w:t>
      </w:r>
      <w:r w:rsidRPr="00504B32">
        <w:rPr>
          <w:rStyle w:val="StyleUnderline"/>
          <w:szCs w:val="26"/>
        </w:rPr>
        <w:t xml:space="preserve">issue compulsory </w:t>
      </w:r>
      <w:proofErr w:type="spellStart"/>
      <w:r w:rsidRPr="00504B32">
        <w:rPr>
          <w:rStyle w:val="StyleUnderline"/>
          <w:szCs w:val="26"/>
        </w:rPr>
        <w:t>licences</w:t>
      </w:r>
      <w:proofErr w:type="spellEnd"/>
      <w:r w:rsidRPr="00504B32">
        <w:rPr>
          <w:sz w:val="16"/>
          <w:szCs w:val="26"/>
        </w:rPr>
        <w:t xml:space="preserve"> </w:t>
      </w:r>
      <w:r w:rsidRPr="00504B32">
        <w:rPr>
          <w:sz w:val="26"/>
          <w:szCs w:val="26"/>
          <w:u w:val="single"/>
        </w:rPr>
        <w:t>for</w:t>
      </w:r>
      <w:r w:rsidRPr="00D829C2">
        <w:rPr>
          <w:sz w:val="26"/>
          <w:szCs w:val="26"/>
          <w:u w:val="single"/>
        </w:rPr>
        <w:t xml:space="preserve"> life-saving drugs to poor countries; </w:t>
      </w:r>
      <w:r w:rsidRPr="00763D70">
        <w:rPr>
          <w:rStyle w:val="StyleUnderline"/>
          <w:szCs w:val="26"/>
          <w:highlight w:val="cyan"/>
        </w:rPr>
        <w:t>copyright law is irrelevant</w:t>
      </w:r>
      <w:r w:rsidRPr="00763D70">
        <w:rPr>
          <w:sz w:val="26"/>
          <w:szCs w:val="26"/>
          <w:highlight w:val="cyan"/>
          <w:u w:val="single"/>
        </w:rPr>
        <w:t xml:space="preserve"> </w:t>
      </w:r>
      <w:r w:rsidRPr="00D829C2">
        <w:rPr>
          <w:rStyle w:val="StyleUnderline"/>
          <w:szCs w:val="26"/>
        </w:rPr>
        <w:t>here</w:t>
      </w:r>
      <w:r w:rsidRPr="00D829C2">
        <w:rPr>
          <w:sz w:val="26"/>
          <w:szCs w:val="26"/>
          <w:u w:val="single"/>
        </w:rPr>
        <w:t>. ‘</w:t>
      </w:r>
      <w:r w:rsidRPr="00763D70">
        <w:rPr>
          <w:rStyle w:val="Emphasis"/>
          <w:b w:val="0"/>
          <w:bCs/>
          <w:highlight w:val="cyan"/>
        </w:rPr>
        <w:t>Fair use’</w:t>
      </w:r>
      <w:r w:rsidRPr="00504B32">
        <w:rPr>
          <w:rStyle w:val="Emphasis"/>
          <w:b w:val="0"/>
          <w:bCs/>
        </w:rPr>
        <w:t xml:space="preserve"> is contested in copyright litigation; there is no such notion in patent law. ‘</w:t>
      </w:r>
      <w:r w:rsidRPr="00763D70">
        <w:rPr>
          <w:rStyle w:val="Emphasis"/>
          <w:b w:val="0"/>
          <w:bCs/>
          <w:highlight w:val="cyan"/>
        </w:rPr>
        <w:t>Non-obviousness’</w:t>
      </w:r>
      <w:r w:rsidRPr="00504B32">
        <w:rPr>
          <w:rStyle w:val="Emphasis"/>
          <w:b w:val="0"/>
          <w:bCs/>
        </w:rPr>
        <w:t xml:space="preserve"> is </w:t>
      </w:r>
      <w:r w:rsidRPr="00763D70">
        <w:rPr>
          <w:rStyle w:val="Emphasis"/>
          <w:b w:val="0"/>
          <w:bCs/>
          <w:highlight w:val="cyan"/>
        </w:rPr>
        <w:t>contested</w:t>
      </w:r>
      <w:r w:rsidRPr="00504B32">
        <w:rPr>
          <w:rStyle w:val="Emphasis"/>
          <w:b w:val="0"/>
          <w:bCs/>
        </w:rPr>
        <w:t xml:space="preserve"> </w:t>
      </w:r>
      <w:r w:rsidRPr="00763D70">
        <w:rPr>
          <w:rStyle w:val="Emphasis"/>
          <w:b w:val="0"/>
          <w:bCs/>
          <w:highlight w:val="cyan"/>
        </w:rPr>
        <w:t>in patent law</w:t>
      </w:r>
      <w:r w:rsidRPr="00504B32">
        <w:rPr>
          <w:rStyle w:val="Emphasis"/>
          <w:b w:val="0"/>
          <w:bCs/>
        </w:rPr>
        <w:t xml:space="preserve">; there is </w:t>
      </w:r>
      <w:r w:rsidRPr="00504B32">
        <w:rPr>
          <w:rStyle w:val="Emphasis"/>
          <w:b w:val="0"/>
          <w:bCs/>
        </w:rPr>
        <w:lastRenderedPageBreak/>
        <w:t xml:space="preserve">no such notion in copyright law. </w:t>
      </w:r>
      <w:r w:rsidRPr="00763D70">
        <w:rPr>
          <w:rStyle w:val="Emphasis"/>
          <w:b w:val="0"/>
          <w:bCs/>
          <w:highlight w:val="cyan"/>
        </w:rPr>
        <w:t>Clubbing</w:t>
      </w:r>
      <w:r w:rsidRPr="00504B32">
        <w:rPr>
          <w:rStyle w:val="Emphasis"/>
          <w:b w:val="0"/>
          <w:bCs/>
        </w:rPr>
        <w:t xml:space="preserve"> these </w:t>
      </w:r>
      <w:r w:rsidRPr="00763D70">
        <w:rPr>
          <w:rStyle w:val="Emphasis"/>
          <w:b w:val="0"/>
          <w:bCs/>
          <w:highlight w:val="cyan"/>
        </w:rPr>
        <w:t>diversities</w:t>
      </w:r>
      <w:r w:rsidRPr="00504B32">
        <w:rPr>
          <w:rStyle w:val="Emphasis"/>
          <w:b w:val="0"/>
          <w:bCs/>
        </w:rPr>
        <w:t xml:space="preserve"> </w:t>
      </w:r>
      <w:r w:rsidRPr="00763D70">
        <w:rPr>
          <w:rStyle w:val="Emphasis"/>
          <w:b w:val="0"/>
          <w:bCs/>
          <w:highlight w:val="cyan"/>
        </w:rPr>
        <w:t>under</w:t>
      </w:r>
      <w:r w:rsidRPr="00504B32">
        <w:rPr>
          <w:rStyle w:val="Emphasis"/>
          <w:b w:val="0"/>
          <w:bCs/>
        </w:rPr>
        <w:t xml:space="preserve"> the term ‘</w:t>
      </w:r>
      <w:r w:rsidRPr="00763D70">
        <w:rPr>
          <w:rStyle w:val="Emphasis"/>
          <w:b w:val="0"/>
          <w:bCs/>
          <w:highlight w:val="cyan"/>
        </w:rPr>
        <w:t>i</w:t>
      </w:r>
      <w:r w:rsidRPr="00504B32">
        <w:rPr>
          <w:rStyle w:val="Emphasis"/>
          <w:b w:val="0"/>
          <w:bCs/>
        </w:rPr>
        <w:t xml:space="preserve">ntellectual </w:t>
      </w:r>
      <w:r w:rsidRPr="00763D70">
        <w:rPr>
          <w:rStyle w:val="Emphasis"/>
          <w:b w:val="0"/>
          <w:bCs/>
          <w:highlight w:val="cyan"/>
        </w:rPr>
        <w:t>p</w:t>
      </w:r>
      <w:r w:rsidRPr="00504B32">
        <w:rPr>
          <w:rStyle w:val="Emphasis"/>
          <w:b w:val="0"/>
          <w:bCs/>
        </w:rPr>
        <w:t xml:space="preserve">roperty’ has </w:t>
      </w:r>
      <w:r w:rsidRPr="00763D70">
        <w:rPr>
          <w:rStyle w:val="Emphasis"/>
          <w:b w:val="0"/>
          <w:bCs/>
          <w:highlight w:val="cyan"/>
        </w:rPr>
        <w:t>induced</w:t>
      </w:r>
      <w:r w:rsidRPr="00504B32">
        <w:rPr>
          <w:rStyle w:val="Emphasis"/>
          <w:b w:val="0"/>
          <w:bCs/>
        </w:rPr>
        <w:t xml:space="preserve"> a terrible intellectual error: </w:t>
      </w:r>
      <w:r w:rsidRPr="00763D70">
        <w:rPr>
          <w:rStyle w:val="Emphasis"/>
          <w:b w:val="0"/>
          <w:bCs/>
          <w:highlight w:val="cyan"/>
        </w:rPr>
        <w:t xml:space="preserve">facile and misleading </w:t>
      </w:r>
      <w:proofErr w:type="spellStart"/>
      <w:r w:rsidRPr="00763D70">
        <w:rPr>
          <w:rStyle w:val="Emphasis"/>
          <w:b w:val="0"/>
          <w:bCs/>
          <w:highlight w:val="cyan"/>
        </w:rPr>
        <w:t>overgeneralisation</w:t>
      </w:r>
      <w:proofErr w:type="spellEnd"/>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D829C2">
        <w:rPr>
          <w:sz w:val="26"/>
          <w:szCs w:val="26"/>
          <w:u w:val="single"/>
        </w:rPr>
        <w:t>authorises</w:t>
      </w:r>
      <w:proofErr w:type="spellEnd"/>
      <w:r w:rsidRPr="00D829C2">
        <w:rPr>
          <w:sz w:val="26"/>
          <w:szCs w:val="26"/>
          <w:u w:val="single"/>
        </w:rPr>
        <w:t xml:space="preserve">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362735BE" w14:textId="77777777" w:rsidR="00960927" w:rsidRDefault="00960927" w:rsidP="00960927">
      <w:pPr>
        <w:pStyle w:val="Heading4"/>
      </w:pPr>
      <w:r>
        <w:t xml:space="preserve">Reduce requires </w:t>
      </w:r>
      <w:r>
        <w:rPr>
          <w:u w:val="single"/>
        </w:rPr>
        <w:t>quantification</w:t>
      </w:r>
      <w:r>
        <w:t>.</w:t>
      </w:r>
    </w:p>
    <w:p w14:paraId="19459B35" w14:textId="77777777" w:rsidR="00960927" w:rsidRDefault="00960927" w:rsidP="00960927">
      <w:proofErr w:type="spellStart"/>
      <w:r w:rsidRPr="001E6AA7">
        <w:rPr>
          <w:rStyle w:val="Style13ptBold"/>
        </w:rPr>
        <w:t>Passarello</w:t>
      </w:r>
      <w:proofErr w:type="spellEnd"/>
      <w:r w:rsidRPr="001E6AA7">
        <w:rPr>
          <w:rStyle w:val="Style13ptBold"/>
        </w:rPr>
        <w:t xml:space="preserve"> 13</w:t>
      </w:r>
      <w:r>
        <w:t xml:space="preserve"> – J.D. Candidate, Duke University School of Law, 2013. (Nicholas, NOTE: THE ITEM VETO AND THE THREAT OF APPROPRIATIONS BUNDLING IN ALASKA, 30 Alaska L. Rev. 125, Lexis)//BB</w:t>
      </w:r>
    </w:p>
    <w:p w14:paraId="1E600A49" w14:textId="77777777" w:rsidR="00960927" w:rsidRPr="00DD69BB" w:rsidRDefault="00960927" w:rsidP="00960927">
      <w:pPr>
        <w:rPr>
          <w:sz w:val="16"/>
        </w:rPr>
      </w:pPr>
      <w:r w:rsidRPr="00DD69BB">
        <w:rPr>
          <w:sz w:val="16"/>
        </w:rPr>
        <w:t xml:space="preserve">With respect to the item veto power, the question in the case was whether or not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504B32">
        <w:rPr>
          <w:rStyle w:val="StyleUnderline"/>
        </w:rPr>
        <w:t>the use of the word "</w:t>
      </w:r>
      <w:r w:rsidRPr="00763D70">
        <w:rPr>
          <w:rStyle w:val="StyleUnderline"/>
          <w:highlight w:val="cyan"/>
        </w:rPr>
        <w:t>reduce</w:t>
      </w:r>
      <w:r w:rsidRPr="00504B32">
        <w:rPr>
          <w:rStyle w:val="StyleUnderline"/>
        </w:rPr>
        <w:t xml:space="preserve">" </w:t>
      </w:r>
      <w:r w:rsidRPr="00763D70">
        <w:rPr>
          <w:rStyle w:val="StyleUnderline"/>
          <w:highlight w:val="cyan"/>
        </w:rPr>
        <w:t>implies</w:t>
      </w:r>
      <w:r w:rsidRPr="00504B32">
        <w:rPr>
          <w:rStyle w:val="StyleUnderline"/>
        </w:rPr>
        <w:t xml:space="preserve"> a </w:t>
      </w:r>
      <w:r w:rsidRPr="00763D70">
        <w:rPr>
          <w:rStyle w:val="StyleUnderline"/>
          <w:highlight w:val="cyan"/>
        </w:rPr>
        <w:t>quantitative</w:t>
      </w:r>
      <w:r w:rsidRPr="00504B32">
        <w:rPr>
          <w:rStyle w:val="StyleUnderline"/>
        </w:rPr>
        <w:t xml:space="preserve"> effect,</w:t>
      </w:r>
      <w:r w:rsidRPr="00DD69BB">
        <w:rPr>
          <w:sz w:val="16"/>
        </w:rPr>
        <w:t xml:space="preserve"> and the drafters likely intended the companion word "strike" </w:t>
      </w:r>
      <w:proofErr w:type="gramStart"/>
      <w:r w:rsidRPr="00DD69BB">
        <w:rPr>
          <w:sz w:val="16"/>
        </w:rPr>
        <w:t>to  [</w:t>
      </w:r>
      <w:proofErr w:type="gramEnd"/>
      <w:r w:rsidRPr="00DD69BB">
        <w:rPr>
          <w:sz w:val="16"/>
        </w:rPr>
        <w:t xml:space="preserve">*136]  have the same type of effect as well. 67 </w:t>
      </w:r>
      <w:r w:rsidRPr="00504B32">
        <w:rPr>
          <w:rStyle w:val="StyleUnderline"/>
        </w:rPr>
        <w:t>Third, "</w:t>
      </w:r>
      <w:r w:rsidRPr="00763D70">
        <w:rPr>
          <w:rStyle w:val="StyleUnderline"/>
          <w:highlight w:val="cyan"/>
        </w:rPr>
        <w:t>reduce" and "strike" describe</w:t>
      </w:r>
      <w:r w:rsidRPr="00504B32">
        <w:rPr>
          <w:rStyle w:val="StyleUnderline"/>
        </w:rPr>
        <w:t xml:space="preserve"> the </w:t>
      </w:r>
      <w:r w:rsidRPr="00763D70">
        <w:rPr>
          <w:rStyle w:val="StyleUnderline"/>
          <w:highlight w:val="cyan"/>
        </w:rPr>
        <w:t>same action</w:t>
      </w:r>
      <w:r w:rsidRPr="00504B32">
        <w:rPr>
          <w:rStyle w:val="StyleUnderline"/>
        </w:rPr>
        <w:t xml:space="preserve"> applied </w:t>
      </w:r>
      <w:r w:rsidRPr="00763D70">
        <w:rPr>
          <w:rStyle w:val="StyleUnderline"/>
          <w:highlight w:val="cyan"/>
        </w:rPr>
        <w:t>to</w:t>
      </w:r>
      <w:r w:rsidRPr="00504B32">
        <w:rPr>
          <w:rStyle w:val="StyleUnderline"/>
        </w:rPr>
        <w:t xml:space="preserve"> </w:t>
      </w:r>
      <w:r w:rsidRPr="00763D70">
        <w:rPr>
          <w:rStyle w:val="StyleUnderline"/>
          <w:highlight w:val="cyan"/>
        </w:rPr>
        <w:t>different extents</w:t>
      </w:r>
      <w:r w:rsidRPr="00504B32">
        <w:rPr>
          <w:rStyle w:val="StyleUnderline"/>
        </w:rPr>
        <w:t xml:space="preserve">: when an amount is "reduced" to the point where it is lessened to nothing, it is effectively "struck." 68 Thus, the </w:t>
      </w:r>
      <w:r w:rsidRPr="00763D70">
        <w:rPr>
          <w:rStyle w:val="StyleUnderline"/>
          <w:highlight w:val="cyan"/>
        </w:rPr>
        <w:t>object</w:t>
      </w:r>
      <w:r w:rsidRPr="00763D70">
        <w:rPr>
          <w:highlight w:val="cyan"/>
          <w:u w:val="single"/>
        </w:rPr>
        <w:t xml:space="preserve"> </w:t>
      </w:r>
      <w:r w:rsidRPr="00DD69BB">
        <w:rPr>
          <w:sz w:val="16"/>
        </w:rPr>
        <w:t>of the "strike"</w:t>
      </w:r>
      <w:r w:rsidRPr="00763D70">
        <w:rPr>
          <w:b/>
          <w:sz w:val="26"/>
          <w:highlight w:val="cyan"/>
          <w:u w:val="single"/>
        </w:rPr>
        <w:t xml:space="preserve"> </w:t>
      </w:r>
      <w:r w:rsidRPr="00763D70">
        <w:rPr>
          <w:rStyle w:val="StyleUnderline"/>
          <w:highlight w:val="cyan"/>
        </w:rPr>
        <w:t xml:space="preserve">must </w:t>
      </w:r>
      <w:r w:rsidRPr="00504B32">
        <w:rPr>
          <w:rStyle w:val="StyleUnderline"/>
        </w:rPr>
        <w:t xml:space="preserve">be </w:t>
      </w:r>
      <w:r w:rsidRPr="00763D70">
        <w:rPr>
          <w:rStyle w:val="StyleUnderline"/>
          <w:highlight w:val="cyan"/>
        </w:rPr>
        <w:t>associate</w:t>
      </w:r>
      <w:r w:rsidRPr="00504B32">
        <w:rPr>
          <w:rStyle w:val="StyleUnderline"/>
        </w:rPr>
        <w:t xml:space="preserve">d with an amount of money to </w:t>
      </w:r>
      <w:r w:rsidRPr="00763D70">
        <w:rPr>
          <w:rStyle w:val="StyleUnderline"/>
          <w:highlight w:val="cyan"/>
        </w:rPr>
        <w:t xml:space="preserve">the extent </w:t>
      </w:r>
      <w:r w:rsidRPr="00504B32">
        <w:rPr>
          <w:rStyle w:val="StyleUnderline"/>
        </w:rPr>
        <w:t xml:space="preserve">that </w:t>
      </w:r>
      <w:r w:rsidRPr="00763D70">
        <w:rPr>
          <w:rStyle w:val="StyleUnderline"/>
          <w:highlight w:val="cyan"/>
        </w:rPr>
        <w:t>it can be lessened</w:t>
      </w:r>
      <w:r w:rsidRPr="00DD69BB">
        <w:rPr>
          <w:sz w:val="16"/>
        </w:rPr>
        <w:t>. 69 Fourth, the historical purpose of the item veto was to curtail the amount of state spending by mitigating the effects of log-rolling,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657757AD" w14:textId="77777777" w:rsidR="00960927" w:rsidRDefault="00960927" w:rsidP="00960927">
      <w:pPr>
        <w:pStyle w:val="Heading4"/>
      </w:pPr>
      <w:r>
        <w:lastRenderedPageBreak/>
        <w:t>Violation: they don’t</w:t>
      </w:r>
    </w:p>
    <w:p w14:paraId="2E6B7ACA" w14:textId="77777777" w:rsidR="00960927" w:rsidRDefault="00960927" w:rsidP="00960927">
      <w:pPr>
        <w:pStyle w:val="Heading4"/>
      </w:pPr>
      <w:r>
        <w:t>Standards</w:t>
      </w:r>
    </w:p>
    <w:p w14:paraId="6C526348" w14:textId="77777777" w:rsidR="00960927" w:rsidRDefault="00960927" w:rsidP="00960927">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w:t>
      </w:r>
      <w:proofErr w:type="gramStart"/>
      <w:r>
        <w:t>effect</w:t>
      </w:r>
      <w:proofErr w:type="gramEnd"/>
      <w:r>
        <w:t xml:space="preserve"> a certain protection or they don’t reduce IP enough to trigger the link. </w:t>
      </w:r>
    </w:p>
    <w:p w14:paraId="2FB7C16F" w14:textId="77777777" w:rsidR="00960927" w:rsidRPr="00DA200A" w:rsidRDefault="00960927" w:rsidP="00960927">
      <w:pPr>
        <w:pStyle w:val="Heading4"/>
      </w:pPr>
      <w:r>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378497F7" w14:textId="77777777" w:rsidR="00960927" w:rsidRDefault="00960927" w:rsidP="00960927">
      <w:pPr>
        <w:pStyle w:val="Heading4"/>
      </w:pPr>
      <w:r>
        <w:t xml:space="preserve">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74C6B3FF" w14:textId="77777777" w:rsidR="00960927" w:rsidRDefault="00960927" w:rsidP="00960927">
      <w:pPr>
        <w:pStyle w:val="Heading4"/>
      </w:pPr>
      <w:r>
        <w:t xml:space="preserve">CX doesn’t check - 1] </w:t>
      </w:r>
      <w:proofErr w:type="gramStart"/>
      <w:r>
        <w:t>Skews</w:t>
      </w:r>
      <w:proofErr w:type="gramEnd"/>
      <w:r>
        <w:t xml:space="preserve"> pre-round prep – key to in-depth clash, 2] Judges don’t flow CX which makes it unverifiable </w:t>
      </w:r>
    </w:p>
    <w:p w14:paraId="05F4329B" w14:textId="77777777" w:rsidR="00960927" w:rsidRDefault="00960927" w:rsidP="00960927"/>
    <w:p w14:paraId="04460641" w14:textId="77777777" w:rsidR="00960927" w:rsidRDefault="00960927" w:rsidP="00960927">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0D6AA9F5" w14:textId="77777777" w:rsidR="00960927" w:rsidRDefault="00960927" w:rsidP="00960927"/>
    <w:p w14:paraId="5006D446" w14:textId="77777777" w:rsidR="00960927" w:rsidRDefault="00960927" w:rsidP="00960927">
      <w:pPr>
        <w:pStyle w:val="Heading4"/>
      </w:pPr>
      <w:r>
        <w:lastRenderedPageBreak/>
        <w:t>Drop the debater – a] deters future abuse through a loss and b] set better norms for debate since you are less likely to repeat a practice you can lose for</w:t>
      </w:r>
    </w:p>
    <w:p w14:paraId="310A6B14" w14:textId="77777777" w:rsidR="00960927" w:rsidRDefault="00960927" w:rsidP="00960927">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77BABC73" w14:textId="77777777" w:rsidR="00960927" w:rsidRPr="0049144A" w:rsidRDefault="00960927" w:rsidP="00960927">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22213145" w14:textId="77777777" w:rsidR="00960927" w:rsidRPr="00960927" w:rsidRDefault="00960927" w:rsidP="00960927"/>
    <w:p w14:paraId="5A6211DB" w14:textId="45720137" w:rsidR="00496FD8" w:rsidRDefault="00496FD8" w:rsidP="00496FD8">
      <w:pPr>
        <w:pStyle w:val="Heading1"/>
      </w:pPr>
      <w:r>
        <w:lastRenderedPageBreak/>
        <w:t>CASE</w:t>
      </w:r>
    </w:p>
    <w:p w14:paraId="3F7ED7D5" w14:textId="0BFB9DAB" w:rsidR="001D2539" w:rsidRPr="001D2539" w:rsidRDefault="001D2539" w:rsidP="001D2539">
      <w:pPr>
        <w:pStyle w:val="Heading4"/>
      </w:pPr>
      <w:r>
        <w:t xml:space="preserve">Medical marijuana is </w:t>
      </w:r>
      <w:r>
        <w:rPr>
          <w:u w:val="single"/>
        </w:rPr>
        <w:t>not</w:t>
      </w:r>
      <w:r>
        <w:t xml:space="preserve"> the solution</w:t>
      </w:r>
      <w:r w:rsidR="00794DB7">
        <w:t xml:space="preserve"> – don’t replace one drug with another</w:t>
      </w:r>
    </w:p>
    <w:p w14:paraId="3340FEA9" w14:textId="2731E083" w:rsidR="00BE1C12" w:rsidRDefault="001D2539" w:rsidP="00BE1C12">
      <w:r w:rsidRPr="001D2539">
        <w:t>https://www.caron.org/blog/medical-marijuana-is-not-the-solution-to-the-opioid-crisis</w:t>
      </w:r>
    </w:p>
    <w:p w14:paraId="4887B899" w14:textId="3523A36B" w:rsidR="00BE1C12" w:rsidRDefault="00BE1C12" w:rsidP="00BE1C12">
      <w:r>
        <w:t xml:space="preserve">Other potentially dangerous consequences include an increase in infants born with THC, marijuana’s main psychoactive ingredient, in their systems. Studies show that </w:t>
      </w:r>
      <w:r w:rsidRPr="00BE1C12">
        <w:rPr>
          <w:highlight w:val="cyan"/>
        </w:rPr>
        <w:t>marijuana use</w:t>
      </w:r>
      <w:r>
        <w:t xml:space="preserve"> by mothers during pregnancy </w:t>
      </w:r>
      <w:r w:rsidRPr="00BE1C12">
        <w:rPr>
          <w:highlight w:val="cyan"/>
        </w:rPr>
        <w:t>can cause changes in the brains</w:t>
      </w:r>
      <w:r>
        <w:t xml:space="preserve"> of developing fetuses, while children born to mothers who smoked marijuana while pregnant have difficulty with reading and listening comprehension, impulsivity and attention.</w:t>
      </w:r>
    </w:p>
    <w:p w14:paraId="326CF6A9" w14:textId="10F1ED5E" w:rsidR="00BE1C12" w:rsidRDefault="00BE1C12" w:rsidP="00BE1C12">
      <w:r>
        <w:t xml:space="preserve">We agree with Dr. Boxer that </w:t>
      </w:r>
      <w:r w:rsidRPr="00BE1C12">
        <w:rPr>
          <w:highlight w:val="cyan"/>
        </w:rPr>
        <w:t>alternative approaches</w:t>
      </w:r>
      <w:r>
        <w:t xml:space="preserve"> to treating chronic pain are an important </w:t>
      </w:r>
      <w:r w:rsidRPr="00BE1C12">
        <w:rPr>
          <w:highlight w:val="cyan"/>
        </w:rPr>
        <w:t>part of the solution to the opioid crisis</w:t>
      </w:r>
      <w:r>
        <w:t xml:space="preserve">. However, we also believe that </w:t>
      </w:r>
      <w:r w:rsidRPr="00BE1C12">
        <w:rPr>
          <w:highlight w:val="cyan"/>
        </w:rPr>
        <w:t>swapping out one addictive substance for another carries significant risk</w:t>
      </w:r>
      <w:r>
        <w:t xml:space="preserve">. Proven alternative pain management strategies, such as </w:t>
      </w:r>
      <w:r w:rsidRPr="00BE1C12">
        <w:rPr>
          <w:highlight w:val="cyan"/>
        </w:rPr>
        <w:t>cognitive behavioral therapy, acupuncture, medical massage, physical therapy, should be mandated</w:t>
      </w:r>
      <w:r>
        <w:t xml:space="preserve"> by the government as well as covered by insurance companies.</w:t>
      </w:r>
    </w:p>
    <w:p w14:paraId="41A57E30" w14:textId="240D1F47" w:rsidR="00496FD8" w:rsidRDefault="00BE1C12" w:rsidP="00BE1C12">
      <w:r>
        <w:t>Two decades ago, opioids were considered the most effective way to manage pain, and now we are experiencing an unprecedented epidemic. We need to proceed with caution to ensure we don’t develop “solutions” that only serve to deepen the addiction crisis.</w:t>
      </w:r>
    </w:p>
    <w:p w14:paraId="26759D1E" w14:textId="091955D4" w:rsidR="00794DB7" w:rsidRDefault="00794DB7" w:rsidP="00BE1C12"/>
    <w:p w14:paraId="5C202371" w14:textId="6BC44AB7" w:rsidR="00794DB7" w:rsidRDefault="00794DB7" w:rsidP="00794DB7">
      <w:pPr>
        <w:pStyle w:val="Heading4"/>
      </w:pPr>
      <w:r>
        <w:t xml:space="preserve">NO warrant in the entirety of the 1AC that describes why ppl w opioid addictions will switch to marijuana – even if it’s a better option, the </w:t>
      </w:r>
      <w:proofErr w:type="spellStart"/>
      <w:r>
        <w:t>aff</w:t>
      </w:r>
      <w:proofErr w:type="spellEnd"/>
      <w:r>
        <w:t xml:space="preserve"> has no reason to think ppl who are horribly affected by drugs can make logical decisions</w:t>
      </w:r>
    </w:p>
    <w:p w14:paraId="64733FFF" w14:textId="346AFAAB" w:rsidR="00794DB7" w:rsidRDefault="00794DB7" w:rsidP="00794DB7"/>
    <w:p w14:paraId="071F5495" w14:textId="35ADEE29" w:rsidR="00794DB7" w:rsidRDefault="00794DB7" w:rsidP="00794DB7">
      <w:pPr>
        <w:pStyle w:val="Heading4"/>
      </w:pPr>
      <w:r>
        <w:t xml:space="preserve">NO warrant for why ppl wouldn’t both switch to </w:t>
      </w:r>
      <w:proofErr w:type="spellStart"/>
      <w:r>
        <w:t>mj</w:t>
      </w:r>
      <w:proofErr w:type="spellEnd"/>
      <w:r>
        <w:t xml:space="preserve"> and use opioids</w:t>
      </w:r>
      <w:r w:rsidR="004145C8">
        <w:t xml:space="preserve"> – </w:t>
      </w:r>
    </w:p>
    <w:p w14:paraId="56C44AE4" w14:textId="437A0264" w:rsidR="00794DB7" w:rsidRDefault="00794DB7" w:rsidP="00794DB7"/>
    <w:p w14:paraId="3ABA8FF1" w14:textId="49F9C4F8" w:rsidR="00794DB7" w:rsidRDefault="00794DB7" w:rsidP="00794DB7">
      <w:pPr>
        <w:pStyle w:val="Heading4"/>
      </w:pPr>
      <w:r>
        <w:t>Their terrorist scenario can happen with laced weed</w:t>
      </w:r>
    </w:p>
    <w:p w14:paraId="0E062E0C" w14:textId="1E212E92" w:rsidR="00794DB7" w:rsidRDefault="00794DB7" w:rsidP="00794DB7"/>
    <w:p w14:paraId="7A0450F5" w14:textId="34421831" w:rsidR="00794DB7" w:rsidRDefault="00794DB7" w:rsidP="00794DB7">
      <w:pPr>
        <w:pStyle w:val="Heading4"/>
      </w:pPr>
      <w:r>
        <w:t xml:space="preserve">Laced opioids from individuals and small groups are FAR different from nerve agents in Syria – totally different groups and motivations, don’t let them retain an </w:t>
      </w:r>
      <w:proofErr w:type="spellStart"/>
      <w:r>
        <w:t>i</w:t>
      </w:r>
      <w:proofErr w:type="spellEnd"/>
      <w:r>
        <w:t>/l between them</w:t>
      </w:r>
    </w:p>
    <w:p w14:paraId="66A6ECEF" w14:textId="2CDC8490" w:rsidR="00794DB7" w:rsidRDefault="00794DB7" w:rsidP="00794DB7"/>
    <w:p w14:paraId="22D645D5" w14:textId="6B0BB657" w:rsidR="00794DB7" w:rsidRDefault="00794DB7" w:rsidP="00794DB7">
      <w:pPr>
        <w:pStyle w:val="Heading4"/>
      </w:pPr>
      <w:r>
        <w:lastRenderedPageBreak/>
        <w:t>No warrant for why monopolies wouldn’t innovate – plenty of big companies hav</w:t>
      </w:r>
      <w:r w:rsidR="00960927">
        <w:t xml:space="preserve">e innovated. </w:t>
      </w:r>
    </w:p>
    <w:p w14:paraId="4D73FC47" w14:textId="77777777" w:rsidR="00794DB7" w:rsidRDefault="00794DB7" w:rsidP="00794DB7"/>
    <w:p w14:paraId="5C8231B7" w14:textId="77777777" w:rsidR="00794DB7" w:rsidRDefault="00794DB7" w:rsidP="00794DB7">
      <w:pPr>
        <w:pStyle w:val="Heading4"/>
      </w:pPr>
      <w:r>
        <w:t>Circumvention and they don’t solve – even if they say “durable fiat”, they have not defined the scope of the plan in the 1AC so you don’t know what the plan would materially look like</w:t>
      </w:r>
    </w:p>
    <w:p w14:paraId="09BA2010" w14:textId="77777777" w:rsidR="00794DB7" w:rsidRPr="00EC7DE5" w:rsidRDefault="00794DB7" w:rsidP="00794DB7">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25" w:history="1">
        <w:r w:rsidRPr="00251760">
          <w:rPr>
            <w:rStyle w:val="Hyperlink"/>
          </w:rPr>
          <w:t>https://www.ncbi.nlm.nih.gov/pmc/articles/PMC8223179/</w:t>
        </w:r>
      </w:hyperlink>
      <w:r>
        <w:t xml:space="preserve"> Accessed 8/25 //gord0]</w:t>
      </w:r>
    </w:p>
    <w:p w14:paraId="446CAC7A" w14:textId="77777777" w:rsidR="00794DB7" w:rsidRPr="00A82157" w:rsidRDefault="00794DB7" w:rsidP="00794DB7">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6"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27"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28"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29"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0"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31"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2"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3"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34"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35"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36"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7"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38"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39"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40"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1"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w:t>
      </w:r>
      <w:r w:rsidRPr="00CC3E18">
        <w:rPr>
          <w:rFonts w:asciiTheme="minorHAnsi" w:hAnsiTheme="minorHAnsi" w:cstheme="minorHAnsi"/>
          <w:u w:val="single"/>
        </w:rPr>
        <w:lastRenderedPageBreak/>
        <w:t xml:space="preserve">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2"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43"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4"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45"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46"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47"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48"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49"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182193AC" w14:textId="77777777" w:rsidR="00794DB7" w:rsidRPr="0024494A" w:rsidRDefault="00794DB7" w:rsidP="00794DB7">
      <w:pPr>
        <w:pStyle w:val="Heading4"/>
        <w:rPr>
          <w:strike/>
        </w:rPr>
      </w:pPr>
      <w:r w:rsidRPr="0024494A">
        <w:rPr>
          <w:strike/>
        </w:rPr>
        <w:t>TRIPS alone is too ambiguous to serve as a sufficient legal standard</w:t>
      </w:r>
    </w:p>
    <w:p w14:paraId="5B2AEEAC" w14:textId="77777777" w:rsidR="00794DB7" w:rsidRPr="0024494A" w:rsidRDefault="00794DB7" w:rsidP="00794DB7">
      <w:pPr>
        <w:rPr>
          <w:rStyle w:val="Style13ptBold"/>
          <w:strike/>
        </w:rPr>
      </w:pPr>
      <w:proofErr w:type="spellStart"/>
      <w:r w:rsidRPr="0024494A">
        <w:rPr>
          <w:rStyle w:val="Style13ptBold"/>
          <w:strike/>
        </w:rPr>
        <w:t>Halaijan</w:t>
      </w:r>
      <w:proofErr w:type="spellEnd"/>
      <w:r w:rsidRPr="0024494A">
        <w:rPr>
          <w:rStyle w:val="Style13ptBold"/>
          <w:strike/>
        </w:rPr>
        <w:t xml:space="preserve"> 13</w:t>
      </w:r>
    </w:p>
    <w:p w14:paraId="19131760" w14:textId="77777777" w:rsidR="00794DB7" w:rsidRPr="0024494A" w:rsidRDefault="00794DB7" w:rsidP="00794DB7">
      <w:pPr>
        <w:rPr>
          <w:strike/>
          <w:sz w:val="16"/>
        </w:rPr>
      </w:pPr>
      <w:r w:rsidRPr="0024494A">
        <w:rPr>
          <w:strike/>
          <w:sz w:val="16"/>
        </w:rPr>
        <w:t xml:space="preserve">Dina </w:t>
      </w:r>
      <w:proofErr w:type="spellStart"/>
      <w:r w:rsidRPr="0024494A">
        <w:rPr>
          <w:strike/>
          <w:sz w:val="16"/>
        </w:rPr>
        <w:t>Halaijan</w:t>
      </w:r>
      <w:proofErr w:type="spellEnd"/>
      <w:r w:rsidRPr="0024494A">
        <w:rPr>
          <w:strike/>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50" w:history="1">
        <w:r w:rsidRPr="0024494A">
          <w:rPr>
            <w:rStyle w:val="Hyperlink"/>
            <w:strike/>
            <w:sz w:val="16"/>
          </w:rPr>
          <w:t>https://brooklynworks.brooklaw.edu/cgi/viewcontent.cgi?article=1050&amp;context=bjil</w:t>
        </w:r>
      </w:hyperlink>
    </w:p>
    <w:p w14:paraId="0C747E04" w14:textId="77777777" w:rsidR="00794DB7" w:rsidRPr="0024494A" w:rsidRDefault="00794DB7" w:rsidP="00794DB7">
      <w:pPr>
        <w:rPr>
          <w:strike/>
        </w:rPr>
      </w:pPr>
    </w:p>
    <w:p w14:paraId="6C132582" w14:textId="77777777" w:rsidR="00794DB7" w:rsidRPr="0024494A" w:rsidRDefault="00794DB7" w:rsidP="00794DB7">
      <w:pPr>
        <w:rPr>
          <w:strike/>
          <w:sz w:val="16"/>
        </w:rPr>
      </w:pPr>
      <w:r w:rsidRPr="0024494A">
        <w:rPr>
          <w:strike/>
          <w:sz w:val="16"/>
        </w:rPr>
        <w:t xml:space="preserve">3. Definitional Ambiguities &amp; Ambiguities in Scope </w:t>
      </w:r>
    </w:p>
    <w:p w14:paraId="3592E610" w14:textId="77777777" w:rsidR="00794DB7" w:rsidRPr="0024494A" w:rsidRDefault="00794DB7" w:rsidP="00794DB7">
      <w:pPr>
        <w:rPr>
          <w:strike/>
          <w:sz w:val="16"/>
        </w:rPr>
      </w:pPr>
      <w:r w:rsidRPr="0024494A">
        <w:rPr>
          <w:strike/>
          <w:highlight w:val="yellow"/>
          <w:u w:val="single"/>
        </w:rPr>
        <w:lastRenderedPageBreak/>
        <w:t>Ambiguities in</w:t>
      </w:r>
      <w:r w:rsidRPr="0024494A">
        <w:rPr>
          <w:strike/>
          <w:u w:val="single"/>
        </w:rPr>
        <w:t xml:space="preserve"> the interpretation of </w:t>
      </w:r>
      <w:r w:rsidRPr="0024494A">
        <w:rPr>
          <w:strike/>
          <w:highlight w:val="yellow"/>
          <w:u w:val="single"/>
        </w:rPr>
        <w:t>TRIPS</w:t>
      </w:r>
      <w:r w:rsidRPr="0024494A">
        <w:rPr>
          <w:strike/>
          <w:u w:val="single"/>
        </w:rPr>
        <w:t xml:space="preserve"> due to the lack of substantive guidelines or definitions also </w:t>
      </w:r>
      <w:r w:rsidRPr="0024494A">
        <w:rPr>
          <w:strike/>
          <w:highlight w:val="yellow"/>
          <w:u w:val="single"/>
        </w:rPr>
        <w:t xml:space="preserve">hinder its effective use by </w:t>
      </w:r>
      <w:r w:rsidRPr="0024494A">
        <w:rPr>
          <w:b/>
          <w:strike/>
          <w:highlight w:val="yellow"/>
          <w:u w:val="single"/>
          <w:bdr w:val="single" w:sz="18" w:space="0" w:color="auto"/>
        </w:rPr>
        <w:t>increasing the risk of litigation.</w:t>
      </w:r>
      <w:r w:rsidRPr="0024494A">
        <w:rPr>
          <w:strike/>
          <w:sz w:val="16"/>
        </w:rPr>
        <w:t xml:space="preserve">111 </w:t>
      </w:r>
      <w:r w:rsidRPr="0024494A">
        <w:rPr>
          <w:strike/>
          <w:u w:val="single"/>
        </w:rPr>
        <w:t xml:space="preserve">The Doha Declaration merely stated that </w:t>
      </w:r>
      <w:r w:rsidRPr="0024494A">
        <w:rPr>
          <w:strike/>
          <w:highlight w:val="yellow"/>
          <w:u w:val="single"/>
        </w:rPr>
        <w:t>individual countries have “the right to determine what constitutes</w:t>
      </w:r>
      <w:r w:rsidRPr="0024494A">
        <w:rPr>
          <w:strike/>
          <w:u w:val="single"/>
        </w:rPr>
        <w:t xml:space="preserve"> a national </w:t>
      </w:r>
      <w:r w:rsidRPr="0024494A">
        <w:rPr>
          <w:strike/>
          <w:highlight w:val="yellow"/>
          <w:u w:val="single"/>
        </w:rPr>
        <w:t>emergency</w:t>
      </w:r>
      <w:r w:rsidRPr="0024494A">
        <w:rPr>
          <w:strike/>
          <w:u w:val="single"/>
        </w:rPr>
        <w:t xml:space="preserve"> or other circumstances of extreme urgency”</w:t>
      </w:r>
      <w:r w:rsidRPr="0024494A">
        <w:rPr>
          <w:strike/>
          <w:sz w:val="16"/>
        </w:rPr>
        <w:t xml:space="preserve"> in deciding to grant a compulsory license, </w:t>
      </w:r>
      <w:r w:rsidRPr="0024494A">
        <w:rPr>
          <w:strike/>
          <w:u w:val="single"/>
        </w:rPr>
        <w:t>and thus did little to ameliorate the different interpretive approaches of developed and developing countries.</w:t>
      </w:r>
      <w:r w:rsidRPr="0024494A">
        <w:rPr>
          <w:strike/>
          <w:sz w:val="16"/>
        </w:rPr>
        <w:t xml:space="preserve">112 </w:t>
      </w:r>
      <w:r w:rsidRPr="0024494A">
        <w:rPr>
          <w:b/>
          <w:strike/>
          <w:highlight w:val="yellow"/>
          <w:u w:val="single"/>
          <w:bdr w:val="single" w:sz="18" w:space="0" w:color="auto"/>
        </w:rPr>
        <w:t>The flexible scope</w:t>
      </w:r>
      <w:r w:rsidRPr="0024494A">
        <w:rPr>
          <w:strike/>
          <w:sz w:val="16"/>
          <w:bdr w:val="single" w:sz="18" w:space="0" w:color="auto"/>
        </w:rPr>
        <w:t xml:space="preserve"> of compulsory licenses </w:t>
      </w:r>
      <w:r w:rsidRPr="0024494A">
        <w:rPr>
          <w:b/>
          <w:strike/>
          <w:highlight w:val="yellow"/>
          <w:u w:val="single"/>
          <w:bdr w:val="single" w:sz="18" w:space="0" w:color="auto"/>
        </w:rPr>
        <w:t>lends to abuse which further instills resistance and suspicion</w:t>
      </w:r>
      <w:r w:rsidRPr="0024494A">
        <w:rPr>
          <w:strike/>
          <w:sz w:val="16"/>
        </w:rPr>
        <w:t xml:space="preserve"> </w:t>
      </w:r>
      <w:r w:rsidRPr="0024494A">
        <w:rPr>
          <w:strike/>
          <w:u w:val="single"/>
        </w:rPr>
        <w:t>from pharmaceutical companies.</w:t>
      </w:r>
      <w:r w:rsidRPr="0024494A">
        <w:rPr>
          <w:strike/>
          <w:sz w:val="16"/>
        </w:rPr>
        <w:t xml:space="preserve">113 </w:t>
      </w:r>
      <w:r w:rsidRPr="0024494A">
        <w:rPr>
          <w:strike/>
          <w:u w:val="single"/>
        </w:rPr>
        <w:t xml:space="preserve">For example, </w:t>
      </w:r>
      <w:r w:rsidRPr="0024494A">
        <w:rPr>
          <w:strike/>
          <w:highlight w:val="yellow"/>
          <w:u w:val="single"/>
        </w:rPr>
        <w:t>Egypt’s compulsory license for</w:t>
      </w:r>
      <w:r w:rsidRPr="0024494A">
        <w:rPr>
          <w:strike/>
          <w:u w:val="single"/>
        </w:rPr>
        <w:t xml:space="preserve"> Pfizer’s </w:t>
      </w:r>
      <w:r w:rsidRPr="0024494A">
        <w:rPr>
          <w:strike/>
          <w:highlight w:val="yellow"/>
          <w:u w:val="single"/>
        </w:rPr>
        <w:t>Viagra tarnishes the reputation</w:t>
      </w:r>
      <w:r w:rsidRPr="0024494A">
        <w:rPr>
          <w:strike/>
          <w:u w:val="single"/>
        </w:rPr>
        <w:t xml:space="preserve"> of compulsory licensing because erectile dysfunction is clearly a less dire situation and one likely not intended to be covered by the public health exception of TRIPS.</w:t>
      </w:r>
      <w:r w:rsidRPr="0024494A">
        <w:rPr>
          <w:strike/>
          <w:sz w:val="16"/>
        </w:rPr>
        <w:t xml:space="preserve">114 </w:t>
      </w:r>
      <w:r w:rsidRPr="0024494A">
        <w:rPr>
          <w:strike/>
          <w:highlight w:val="yellow"/>
          <w:u w:val="single"/>
        </w:rPr>
        <w:t>Such</w:t>
      </w:r>
      <w:r w:rsidRPr="0024494A">
        <w:rPr>
          <w:strike/>
          <w:u w:val="single"/>
        </w:rPr>
        <w:t xml:space="preserve"> excessive </w:t>
      </w:r>
      <w:r w:rsidRPr="0024494A">
        <w:rPr>
          <w:strike/>
          <w:highlight w:val="yellow"/>
          <w:u w:val="single"/>
        </w:rPr>
        <w:t>abuse</w:t>
      </w:r>
      <w:r w:rsidRPr="0024494A">
        <w:rPr>
          <w:strike/>
          <w:u w:val="single"/>
        </w:rPr>
        <w:t xml:space="preserve"> and over-use of compulsory licensing likely </w:t>
      </w:r>
      <w:r w:rsidRPr="0024494A">
        <w:rPr>
          <w:strike/>
          <w:highlight w:val="yellow"/>
          <w:u w:val="single"/>
        </w:rPr>
        <w:t>encourages</w:t>
      </w:r>
      <w:r w:rsidRPr="0024494A">
        <w:rPr>
          <w:strike/>
          <w:u w:val="single"/>
        </w:rPr>
        <w:t xml:space="preserve"> pharmaceutical </w:t>
      </w:r>
      <w:r w:rsidRPr="0024494A">
        <w:rPr>
          <w:strike/>
          <w:highlight w:val="yellow"/>
          <w:u w:val="single"/>
        </w:rPr>
        <w:t>companies to aggressively resist valid uses of</w:t>
      </w:r>
      <w:r w:rsidRPr="0024494A">
        <w:rPr>
          <w:strike/>
          <w:u w:val="single"/>
        </w:rPr>
        <w:t xml:space="preserve"> compulsory </w:t>
      </w:r>
      <w:r w:rsidRPr="0024494A">
        <w:rPr>
          <w:strike/>
          <w:highlight w:val="yellow"/>
          <w:u w:val="single"/>
        </w:rPr>
        <w:t xml:space="preserve">licenses to prevent </w:t>
      </w:r>
      <w:r w:rsidRPr="0024494A">
        <w:rPr>
          <w:b/>
          <w:strike/>
          <w:highlight w:val="yellow"/>
          <w:u w:val="single"/>
          <w:bdr w:val="single" w:sz="18" w:space="0" w:color="auto"/>
        </w:rPr>
        <w:t>over-expansion of scope.</w:t>
      </w:r>
      <w:r w:rsidRPr="0024494A">
        <w:rPr>
          <w:strike/>
          <w:sz w:val="16"/>
        </w:rPr>
        <w:t xml:space="preserve">115 </w:t>
      </w:r>
      <w:r w:rsidRPr="0024494A">
        <w:rPr>
          <w:strike/>
          <w:u w:val="single"/>
        </w:rPr>
        <w:t>In addition to ambiguity</w:t>
      </w:r>
      <w:r w:rsidRPr="0024494A">
        <w:rPr>
          <w:strike/>
          <w:sz w:val="16"/>
        </w:rPr>
        <w:t xml:space="preserve"> in the scope of intended diseases, </w:t>
      </w:r>
      <w:r w:rsidRPr="0024494A">
        <w:rPr>
          <w:strike/>
          <w:u w:val="single"/>
        </w:rPr>
        <w:t>conflicting interpretations exist in the type of pharmaceutical products intended for compulsory licensing.</w:t>
      </w:r>
      <w:r w:rsidRPr="0024494A">
        <w:rPr>
          <w:strike/>
          <w:sz w:val="16"/>
        </w:rPr>
        <w:t xml:space="preserve">116 </w:t>
      </w:r>
      <w:r w:rsidRPr="0024494A">
        <w:rPr>
          <w:strike/>
          <w:highlight w:val="yellow"/>
          <w:u w:val="single"/>
        </w:rPr>
        <w:t>The scope of countries that should benefit</w:t>
      </w:r>
      <w:r w:rsidRPr="0024494A">
        <w:rPr>
          <w:strike/>
          <w:u w:val="single"/>
        </w:rPr>
        <w:t xml:space="preserve"> from compulsory licensing </w:t>
      </w:r>
      <w:r w:rsidRPr="0024494A">
        <w:rPr>
          <w:strike/>
          <w:highlight w:val="yellow"/>
          <w:u w:val="single"/>
        </w:rPr>
        <w:t>remains another area of contention.</w:t>
      </w:r>
      <w:r w:rsidRPr="0024494A">
        <w:rPr>
          <w:strike/>
          <w:sz w:val="16"/>
        </w:rPr>
        <w:t xml:space="preserve">117 </w:t>
      </w:r>
      <w:r w:rsidRPr="0024494A">
        <w:rPr>
          <w:strike/>
          <w:highlight w:val="yellow"/>
          <w:u w:val="single"/>
        </w:rPr>
        <w:t>Not limiting the scope</w:t>
      </w:r>
      <w:r w:rsidRPr="0024494A">
        <w:rPr>
          <w:strike/>
          <w:u w:val="single"/>
        </w:rPr>
        <w:t xml:space="preserve"> of applicable nations </w:t>
      </w:r>
      <w:r w:rsidRPr="0024494A">
        <w:rPr>
          <w:strike/>
          <w:highlight w:val="yellow"/>
          <w:u w:val="single"/>
        </w:rPr>
        <w:t xml:space="preserve">may create a </w:t>
      </w:r>
      <w:r w:rsidRPr="0024494A">
        <w:rPr>
          <w:b/>
          <w:strike/>
          <w:highlight w:val="yellow"/>
          <w:u w:val="single"/>
          <w:bdr w:val="single" w:sz="18" w:space="0" w:color="auto"/>
        </w:rPr>
        <w:t>chilling effect</w:t>
      </w:r>
      <w:r w:rsidRPr="0024494A">
        <w:rPr>
          <w:strike/>
          <w:highlight w:val="yellow"/>
          <w:u w:val="single"/>
        </w:rPr>
        <w:t xml:space="preserve"> on the types of drugs</w:t>
      </w:r>
      <w:r w:rsidRPr="0024494A">
        <w:rPr>
          <w:strike/>
          <w:u w:val="single"/>
        </w:rPr>
        <w:t xml:space="preserve"> pharmaceutical </w:t>
      </w:r>
      <w:r w:rsidRPr="0024494A">
        <w:rPr>
          <w:strike/>
          <w:highlight w:val="yellow"/>
          <w:u w:val="single"/>
        </w:rPr>
        <w:t>companies</w:t>
      </w:r>
      <w:r w:rsidRPr="0024494A">
        <w:rPr>
          <w:strike/>
          <w:u w:val="single"/>
        </w:rPr>
        <w:t xml:space="preserve"> choose to </w:t>
      </w:r>
      <w:r w:rsidRPr="0024494A">
        <w:rPr>
          <w:strike/>
          <w:highlight w:val="yellow"/>
          <w:u w:val="single"/>
        </w:rPr>
        <w:t>invest in</w:t>
      </w:r>
      <w:r w:rsidRPr="0024494A">
        <w:rPr>
          <w:strike/>
          <w:u w:val="single"/>
        </w:rPr>
        <w:t xml:space="preserve"> and develop to avoid the potential for a compulsory license, </w:t>
      </w:r>
      <w:r w:rsidRPr="0024494A">
        <w:rPr>
          <w:b/>
          <w:strike/>
          <w:highlight w:val="yellow"/>
          <w:u w:val="single"/>
          <w:bdr w:val="single" w:sz="18" w:space="0" w:color="auto"/>
        </w:rPr>
        <w:t>which hurts developing nations most in need of help.</w:t>
      </w:r>
      <w:r w:rsidRPr="0024494A">
        <w:rPr>
          <w:strike/>
          <w:sz w:val="16"/>
        </w:rPr>
        <w:t xml:space="preserve">118 </w:t>
      </w:r>
      <w:r w:rsidRPr="0024494A">
        <w:rPr>
          <w:strike/>
          <w:highlight w:val="yellow"/>
          <w:u w:val="single"/>
        </w:rPr>
        <w:t>Interpreting the morality exclusion</w:t>
      </w:r>
      <w:r w:rsidRPr="0024494A">
        <w:rPr>
          <w:strike/>
          <w:u w:val="single"/>
        </w:rPr>
        <w:t xml:space="preserve"> in Article 27(2) </w:t>
      </w:r>
      <w:r w:rsidRPr="0024494A">
        <w:rPr>
          <w:strike/>
          <w:highlight w:val="yellow"/>
          <w:u w:val="single"/>
        </w:rPr>
        <w:t xml:space="preserve">also proves difficult, as </w:t>
      </w:r>
      <w:r w:rsidRPr="0024494A">
        <w:rPr>
          <w:b/>
          <w:strike/>
          <w:highlight w:val="yellow"/>
          <w:u w:val="single"/>
          <w:bdr w:val="single" w:sz="18" w:space="0" w:color="auto"/>
        </w:rPr>
        <w:t>there is no universally accepted definition.</w:t>
      </w:r>
      <w:r w:rsidRPr="0024494A">
        <w:rPr>
          <w:strike/>
          <w:sz w:val="16"/>
        </w:rPr>
        <w:t xml:space="preserve">119 </w:t>
      </w:r>
      <w:r w:rsidRPr="0024494A">
        <w:rPr>
          <w:strike/>
          <w:u w:val="single"/>
        </w:rPr>
        <w:t xml:space="preserve">In addition to causing differing interpretations between countries, the </w:t>
      </w:r>
      <w:r w:rsidRPr="0024494A">
        <w:rPr>
          <w:strike/>
          <w:highlight w:val="yellow"/>
          <w:u w:val="single"/>
        </w:rPr>
        <w:t>lack of concrete definitions allows countries to alter their position to fit their self-interest</w:t>
      </w:r>
      <w:r w:rsidRPr="0024494A">
        <w:rPr>
          <w:strike/>
          <w:u w:val="single"/>
        </w:rPr>
        <w:t xml:space="preserve"> and creates potential for abuse.</w:t>
      </w:r>
      <w:r w:rsidRPr="0024494A">
        <w:rPr>
          <w:strike/>
          <w:sz w:val="16"/>
        </w:rPr>
        <w:t xml:space="preserve">120 </w:t>
      </w:r>
      <w:r w:rsidRPr="0024494A">
        <w:rPr>
          <w:strike/>
          <w:u w:val="single"/>
        </w:rPr>
        <w:t>For example, despite the United States’ narrow interpretation of TRIPS flexibilities, the U</w:t>
      </w:r>
      <w:r w:rsidRPr="0024494A">
        <w:rPr>
          <w:strike/>
          <w:sz w:val="16"/>
        </w:rPr>
        <w:t xml:space="preserve">nited </w:t>
      </w:r>
      <w:r w:rsidRPr="0024494A">
        <w:rPr>
          <w:strike/>
          <w:u w:val="single"/>
        </w:rPr>
        <w:t>S</w:t>
      </w:r>
      <w:r w:rsidRPr="0024494A">
        <w:rPr>
          <w:strike/>
          <w:sz w:val="16"/>
        </w:rPr>
        <w:t xml:space="preserve">tates </w:t>
      </w:r>
      <w:r w:rsidRPr="0024494A">
        <w:rPr>
          <w:strike/>
          <w:u w:val="single"/>
        </w:rPr>
        <w:t>contradicted itself during the 2001 anthrax scare by suggesting use of a compulsory license for Cipro</w:t>
      </w:r>
      <w:r w:rsidRPr="0024494A">
        <w:rPr>
          <w:strike/>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24494A">
        <w:rPr>
          <w:strike/>
          <w:sz w:val="16"/>
        </w:rPr>
        <w:t>selfinterest</w:t>
      </w:r>
      <w:proofErr w:type="spellEnd"/>
      <w:r w:rsidRPr="0024494A">
        <w:rPr>
          <w:strike/>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24494A">
        <w:rPr>
          <w:strike/>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24494A">
        <w:rPr>
          <w:strike/>
          <w:sz w:val="16"/>
        </w:rPr>
        <w:t xml:space="preserve">125 </w:t>
      </w:r>
      <w:r w:rsidRPr="0024494A">
        <w:rPr>
          <w:strike/>
          <w:u w:val="single"/>
        </w:rPr>
        <w:t>The WTO members’ inability to reach a decision regarding parallel importation created a “fundamental flaw” of ambiguity.</w:t>
      </w:r>
      <w:r w:rsidRPr="0024494A">
        <w:rPr>
          <w:strike/>
          <w:sz w:val="16"/>
        </w:rPr>
        <w:t xml:space="preserve">126 In regard to compulsory licensing under the Paragraph 6 Decision, drugs made for export must be distinguishable by special labels, colors, or shapes to prevent trade diversion.127 However, </w:t>
      </w:r>
      <w:r w:rsidRPr="0024494A">
        <w:rPr>
          <w:strike/>
          <w:highlight w:val="yellow"/>
          <w:u w:val="single"/>
        </w:rPr>
        <w:t>lack of monitoring guidelines and repercussions makes the</w:t>
      </w:r>
      <w:r w:rsidRPr="0024494A">
        <w:rPr>
          <w:strike/>
          <w:u w:val="single"/>
        </w:rPr>
        <w:t xml:space="preserve"> re-exportation </w:t>
      </w:r>
      <w:r w:rsidRPr="0024494A">
        <w:rPr>
          <w:strike/>
          <w:highlight w:val="yellow"/>
          <w:u w:val="single"/>
        </w:rPr>
        <w:t>issue troubling.</w:t>
      </w:r>
      <w:r w:rsidRPr="0024494A">
        <w:rPr>
          <w:strike/>
          <w:sz w:val="16"/>
        </w:rPr>
        <w:t>128</w:t>
      </w:r>
    </w:p>
    <w:p w14:paraId="20BF0DD4" w14:textId="77777777" w:rsidR="00794DB7" w:rsidRPr="00794DB7" w:rsidRDefault="00794DB7" w:rsidP="00794DB7"/>
    <w:sectPr w:rsidR="00794DB7" w:rsidRPr="00794D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5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539"/>
    <w:rsid w:val="001D36BF"/>
    <w:rsid w:val="001D4C28"/>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4494A"/>
    <w:rsid w:val="002502CF"/>
    <w:rsid w:val="00257440"/>
    <w:rsid w:val="00267EBB"/>
    <w:rsid w:val="0027023B"/>
    <w:rsid w:val="00272F3F"/>
    <w:rsid w:val="00274EDB"/>
    <w:rsid w:val="0027729E"/>
    <w:rsid w:val="002843B2"/>
    <w:rsid w:val="00284ED6"/>
    <w:rsid w:val="00290C5A"/>
    <w:rsid w:val="00290C92"/>
    <w:rsid w:val="0029647A"/>
    <w:rsid w:val="00296504"/>
    <w:rsid w:val="002B185A"/>
    <w:rsid w:val="002B5511"/>
    <w:rsid w:val="002B7ACF"/>
    <w:rsid w:val="002E0643"/>
    <w:rsid w:val="002E392E"/>
    <w:rsid w:val="002E4980"/>
    <w:rsid w:val="002E5EC3"/>
    <w:rsid w:val="002E6BBC"/>
    <w:rsid w:val="002F1BA9"/>
    <w:rsid w:val="002F6E74"/>
    <w:rsid w:val="003106B3"/>
    <w:rsid w:val="0031385D"/>
    <w:rsid w:val="003171AB"/>
    <w:rsid w:val="00321928"/>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793"/>
    <w:rsid w:val="00407AFF"/>
    <w:rsid w:val="0041155D"/>
    <w:rsid w:val="00411A1D"/>
    <w:rsid w:val="004145C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96FD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A37"/>
    <w:rsid w:val="005A21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94DB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0927"/>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A17A8"/>
    <w:rsid w:val="00BA3C33"/>
    <w:rsid w:val="00BB0878"/>
    <w:rsid w:val="00BB1879"/>
    <w:rsid w:val="00BC0ABE"/>
    <w:rsid w:val="00BC30DB"/>
    <w:rsid w:val="00BC64FF"/>
    <w:rsid w:val="00BC7C37"/>
    <w:rsid w:val="00BD2244"/>
    <w:rsid w:val="00BE1C12"/>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775"/>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51D"/>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1F5F"/>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653B"/>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DF97A"/>
  <w14:defaultImageDpi w14:val="300"/>
  <w15:docId w15:val="{35EEA341-DE52-8E4C-BC7D-D71696F9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53B"/>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F565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5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65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5653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F565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53B"/>
  </w:style>
  <w:style w:type="character" w:customStyle="1" w:styleId="Heading1Char">
    <w:name w:val="Heading 1 Char"/>
    <w:aliases w:val="Pocket Char"/>
    <w:basedOn w:val="DefaultParagraphFont"/>
    <w:link w:val="Heading1"/>
    <w:uiPriority w:val="9"/>
    <w:rsid w:val="00F5653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5653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5653B"/>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5653B"/>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5653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5653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F5653B"/>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F5653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F5653B"/>
    <w:rPr>
      <w:color w:val="auto"/>
      <w:u w:val="none"/>
    </w:rPr>
  </w:style>
  <w:style w:type="paragraph" w:styleId="DocumentMap">
    <w:name w:val="Document Map"/>
    <w:basedOn w:val="Normal"/>
    <w:link w:val="DocumentMapChar"/>
    <w:uiPriority w:val="99"/>
    <w:semiHidden/>
    <w:unhideWhenUsed/>
    <w:rsid w:val="00F565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53B"/>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4077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407793"/>
    <w:rPr>
      <w:b/>
      <w:bCs/>
    </w:rPr>
  </w:style>
  <w:style w:type="paragraph" w:customStyle="1" w:styleId="Emphasis1">
    <w:name w:val="Emphasis1"/>
    <w:basedOn w:val="Normal"/>
    <w:link w:val="Emphasis"/>
    <w:autoRedefine/>
    <w:uiPriority w:val="20"/>
    <w:qFormat/>
    <w:rsid w:val="00794DB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p">
    <w:name w:val="p"/>
    <w:basedOn w:val="Normal"/>
    <w:rsid w:val="00794DB7"/>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uiPriority w:val="20"/>
    <w:qFormat/>
    <w:rsid w:val="00960927"/>
    <w:pPr>
      <w:pBdr>
        <w:top w:val="single" w:sz="4" w:space="0" w:color="auto"/>
        <w:left w:val="single" w:sz="4" w:space="0" w:color="auto"/>
        <w:bottom w:val="single" w:sz="4" w:space="0" w:color="auto"/>
        <w:right w:val="single" w:sz="4" w:space="0"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4850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ncbi.nlm.nih.gov/pmc/articles/PMC8223179/"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globaltrademag.com/global-trade-daily/commentary/free-trade-and-the-threat-to-intellectual-property-protection-in-china"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brooklynworks.brooklaw.edu/cgi/viewcontent.cgi?article=1050&amp;context=bji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ncbi.nlm.nih.gov/pmc/articles/PMC8223179/"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gnu.org/philosophy/not-ipr.en.html"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globaltrademag.com/global-trade-daily/commentary/trans-pacific-partnership-questions-answers"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globaltrademag.com/global-trade-daily/trump-right-china-poses-economic-threat"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20" Type="http://schemas.openxmlformats.org/officeDocument/2006/relationships/hyperlink" Target="https://www.globaltrademag.com/intellectual-property-protection-incentivizes-innovation/" TargetMode="External"/><Relationship Id="rId41"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16</Pages>
  <Words>7578</Words>
  <Characters>43195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14</cp:revision>
  <dcterms:created xsi:type="dcterms:W3CDTF">2021-09-05T01:31:00Z</dcterms:created>
  <dcterms:modified xsi:type="dcterms:W3CDTF">2021-09-05T02:18:00Z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