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C67D1" w14:textId="77777777" w:rsidR="00240AEB" w:rsidRDefault="00240AEB" w:rsidP="00240AEB">
      <w:pPr>
        <w:pStyle w:val="Heading2"/>
      </w:pPr>
      <w:r>
        <w:t>1AC</w:t>
      </w:r>
    </w:p>
    <w:p w14:paraId="6F577C9D" w14:textId="77777777" w:rsidR="00240AEB" w:rsidRDefault="00240AEB" w:rsidP="00240AEB">
      <w:pPr>
        <w:pStyle w:val="Heading3"/>
      </w:pPr>
      <w:r>
        <w:lastRenderedPageBreak/>
        <w:t>1AC – Framing</w:t>
      </w:r>
    </w:p>
    <w:p w14:paraId="0A547C03" w14:textId="77777777" w:rsidR="00240AEB" w:rsidRPr="00D8228C" w:rsidRDefault="00240AEB" w:rsidP="00240AEB">
      <w:pPr>
        <w:pStyle w:val="Heading4"/>
      </w:pPr>
      <w:r>
        <w:t xml:space="preserve">Prioritize </w:t>
      </w:r>
      <w:r w:rsidRPr="00E92D9F">
        <w:rPr>
          <w:u w:val="single"/>
        </w:rPr>
        <w:t>probability</w:t>
      </w:r>
      <w:r>
        <w:t>.</w:t>
      </w:r>
    </w:p>
    <w:p w14:paraId="662644FF" w14:textId="77777777" w:rsidR="00240AEB" w:rsidRPr="00D8228C" w:rsidRDefault="00240AEB" w:rsidP="00240AEB">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531D688" w14:textId="77777777" w:rsidR="00240AEB" w:rsidRDefault="00240AEB" w:rsidP="00240AEB">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w:t>
      </w:r>
      <w:r w:rsidRPr="00D8228C">
        <w:rPr>
          <w:sz w:val="16"/>
        </w:rPr>
        <w:lastRenderedPageBreak/>
        <w:t xml:space="preserve">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44000ED3" w14:textId="77777777" w:rsidR="00240AEB" w:rsidRDefault="00240AEB" w:rsidP="00240AEB">
      <w:pPr>
        <w:pStyle w:val="Heading4"/>
        <w:tabs>
          <w:tab w:val="left" w:pos="0"/>
        </w:tabs>
      </w:pPr>
      <w:r>
        <w:t xml:space="preserve">Structural violence is the most important impact – ignoring them actively exacerbates exclusion </w:t>
      </w:r>
    </w:p>
    <w:p w14:paraId="51459250" w14:textId="77777777" w:rsidR="00240AEB" w:rsidRDefault="00240AEB" w:rsidP="00240AEB">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750AE2D9" w14:textId="77777777" w:rsidR="00240AEB" w:rsidRDefault="00240AEB" w:rsidP="00240AEB">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w:t>
      </w:r>
      <w:r w:rsidRPr="00155F10">
        <w:lastRenderedPageBreak/>
        <w:t>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w:t>
      </w:r>
      <w:r>
        <w:lastRenderedPageBreak/>
        <w:t xml:space="preserve">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3DAD8C3A" w14:textId="77777777" w:rsidR="00240AEB" w:rsidRPr="001F14F9" w:rsidRDefault="00240AEB" w:rsidP="00240AEB">
      <w:pPr>
        <w:pStyle w:val="Heading4"/>
      </w:pPr>
      <w:r w:rsidRPr="001F14F9">
        <w:t>Particularity is the best standard</w:t>
      </w:r>
    </w:p>
    <w:p w14:paraId="45E96E67" w14:textId="77777777" w:rsidR="00240AEB" w:rsidRPr="001F14F9" w:rsidRDefault="00240AEB" w:rsidP="00240AEB">
      <w:pPr>
        <w:rPr>
          <w:b/>
        </w:rPr>
      </w:pPr>
      <w:r w:rsidRPr="001F14F9">
        <w:rPr>
          <w:rStyle w:val="Style13ptBold"/>
        </w:rPr>
        <w:t xml:space="preserve">Price 98 </w:t>
      </w:r>
      <w:r w:rsidRPr="001F14F9">
        <w:rPr>
          <w:sz w:val="16"/>
          <w:szCs w:val="16"/>
        </w:rPr>
        <w:t xml:space="preserve">[(RICHARD PRICE is a former prof in the Department of Anthropology at Yale University. Later, he moved to Johns Hopkins University to </w:t>
      </w:r>
      <w:proofErr w:type="gramStart"/>
      <w:r w:rsidRPr="001F14F9">
        <w:rPr>
          <w:sz w:val="16"/>
          <w:szCs w:val="16"/>
        </w:rPr>
        <w:t>found</w:t>
      </w:r>
      <w:proofErr w:type="gramEnd"/>
      <w:r w:rsidRPr="001F14F9">
        <w:rPr>
          <w:sz w:val="16"/>
          <w:szCs w:val="16"/>
        </w:rPr>
        <w:t xml:space="preserve"> the Department of Anthropology, where he served three terms as chair. A decade of freelance teaching (University of Minnesota, Stanford University, Princeton University, University of Florida, </w:t>
      </w:r>
      <w:proofErr w:type="spellStart"/>
      <w:r w:rsidRPr="001F14F9">
        <w:rPr>
          <w:sz w:val="16"/>
          <w:szCs w:val="16"/>
        </w:rPr>
        <w:t>Universidade</w:t>
      </w:r>
      <w:proofErr w:type="spellEnd"/>
      <w:r w:rsidRPr="001F14F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273D3D63" w14:textId="77777777" w:rsidR="00240AEB" w:rsidRDefault="00240AEB" w:rsidP="00240AEB">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proofErr w:type="gramStart"/>
      <w:r w:rsidRPr="00037222">
        <w:rPr>
          <w:rStyle w:val="StyleUnderline"/>
          <w:szCs w:val="28"/>
          <w:highlight w:val="green"/>
        </w:rPr>
        <w:t>events</w:t>
      </w:r>
      <w:proofErr w:type="gramEnd"/>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1F14F9">
        <w:rPr>
          <w:sz w:val="12"/>
          <w:szCs w:val="28"/>
        </w:rPr>
        <w:t>With the possible exception of</w:t>
      </w:r>
      <w:proofErr w:type="gramEnd"/>
      <w:r w:rsidRPr="001F14F9">
        <w:rPr>
          <w:sz w:val="12"/>
          <w:szCs w:val="28"/>
        </w:rPr>
        <w:t xml:space="preserve">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w:t>
      </w:r>
      <w:proofErr w:type="gramStart"/>
      <w:r w:rsidRPr="001F14F9">
        <w:rPr>
          <w:sz w:val="12"/>
          <w:szCs w:val="28"/>
        </w:rPr>
        <w:t>struggles</w:t>
      </w:r>
      <w:proofErr w:type="gramEnd"/>
      <w:r w:rsidRPr="001F14F9">
        <w:rPr>
          <w:sz w:val="12"/>
          <w:szCs w:val="28"/>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7368BBE1" w14:textId="77777777" w:rsidR="00240AEB" w:rsidRPr="00442419" w:rsidRDefault="00240AEB" w:rsidP="00240AEB">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13FC9A6E" w14:textId="77777777" w:rsidR="00240AEB" w:rsidRPr="008F0228" w:rsidRDefault="00240AEB" w:rsidP="00240AEB">
      <w:r w:rsidRPr="008F0228">
        <w:rPr>
          <w:rStyle w:val="Style13ptBold"/>
        </w:rPr>
        <w:t>Medina 11</w:t>
      </w:r>
      <w:r w:rsidRPr="008F0228">
        <w:t xml:space="preserve"> Medina, J. (2011). Toward a </w:t>
      </w:r>
      <w:proofErr w:type="spellStart"/>
      <w:r w:rsidRPr="008F0228">
        <w:t>Foucaultian</w:t>
      </w:r>
      <w:proofErr w:type="spellEnd"/>
      <w:r w:rsidRPr="008F0228">
        <w:t xml:space="preserve"> Epistemology of Resistance: Counter-Memory, Epistemic Friction, and Guerrilla Pluralism. Foucault Studies, 1(12), 9–35.</w:t>
      </w:r>
    </w:p>
    <w:p w14:paraId="5CBD32D2" w14:textId="77777777" w:rsidR="00240AEB" w:rsidRDefault="00240AEB" w:rsidP="00240AEB">
      <w:pPr>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w:t>
      </w:r>
      <w:r w:rsidRPr="006F2AB1">
        <w:rPr>
          <w:sz w:val="16"/>
        </w:rPr>
        <w:lastRenderedPageBreak/>
        <w:t xml:space="preserve">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 xml:space="preserve">contain </w:t>
      </w:r>
      <w:proofErr w:type="gramStart"/>
      <w:r w:rsidRPr="00037222">
        <w:rPr>
          <w:rStyle w:val="StyleUnderline"/>
          <w:highlight w:val="green"/>
        </w:rPr>
        <w:t>particular discursive</w:t>
      </w:r>
      <w:proofErr w:type="gramEnd"/>
      <w:r w:rsidRPr="00037222">
        <w:rPr>
          <w:rStyle w:val="StyleUnderline"/>
          <w:highlight w:val="green"/>
        </w:rPr>
        <w:t xml:space="preser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which are critical interventions that disrupt and interrogate epistemic hegemonies and mainstream perspectives (</w:t>
      </w:r>
      <w:proofErr w:type="gramStart"/>
      <w:r w:rsidRPr="006F2AB1">
        <w:rPr>
          <w:sz w:val="16"/>
        </w:rPr>
        <w:t>e.g.</w:t>
      </w:r>
      <w:proofErr w:type="gramEnd"/>
      <w:r w:rsidRPr="006F2AB1">
        <w:rPr>
          <w:sz w:val="16"/>
        </w:rPr>
        <w:t xml:space="preserve"> official histories, standard interpretations, ossified exclusionary meanings, </w:t>
      </w:r>
      <w:proofErr w:type="spellStart"/>
      <w:r w:rsidRPr="006F2AB1">
        <w:rPr>
          <w:sz w:val="16"/>
        </w:rPr>
        <w:t>etc</w:t>
      </w:r>
      <w:proofErr w:type="spellEnd"/>
      <w:r w:rsidRPr="006F2AB1">
        <w:rPr>
          <w:sz w:val="16"/>
        </w:rPr>
        <w:t xml:space="preserve">).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6153795B" w14:textId="77777777" w:rsidR="00240AEB" w:rsidRDefault="00240AEB" w:rsidP="00240AEB">
      <w:pPr>
        <w:pStyle w:val="Heading4"/>
        <w:spacing w:line="276" w:lineRule="auto"/>
      </w:pPr>
      <w:r>
        <w:t>Racism is the biggest impact – it makes all violence structurally inevitable and is the basis for all morality. Memmi 2k</w:t>
      </w:r>
    </w:p>
    <w:p w14:paraId="5A637472" w14:textId="77777777" w:rsidR="00240AEB" w:rsidRPr="00C320DE" w:rsidRDefault="00240AEB" w:rsidP="00240AEB">
      <w:pPr>
        <w:spacing w:line="276" w:lineRule="auto"/>
      </w:pP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347711D5" w14:textId="77777777" w:rsidR="00240AEB" w:rsidRDefault="00240AEB" w:rsidP="00240AEB">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 xml:space="preserve">to be undertaken </w:t>
      </w:r>
      <w:proofErr w:type="spellStart"/>
      <w:r w:rsidRPr="00037222">
        <w:rPr>
          <w:rStyle w:val="Emphasis"/>
          <w:highlight w:val="green"/>
          <w:shd w:val="clear" w:color="auto" w:fill="FFFF00"/>
        </w:rPr>
        <w:t>without</w:t>
      </w:r>
      <w:r w:rsidRPr="003F6F7E">
        <w:rPr>
          <w:sz w:val="14"/>
          <w:szCs w:val="16"/>
        </w:rPr>
        <w:t>urcease</w:t>
      </w:r>
      <w:proofErr w:type="spellEnd"/>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 xml:space="preserve">it remains true that one’s moral conduit only emerges from </w:t>
      </w:r>
      <w:r w:rsidRPr="00013E24">
        <w:rPr>
          <w:rStyle w:val="StyleUnderline"/>
        </w:rPr>
        <w:lastRenderedPageBreak/>
        <w:t>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 xml:space="preserve">One cannot </w:t>
      </w:r>
      <w:proofErr w:type="gramStart"/>
      <w:r w:rsidRPr="00037222">
        <w:rPr>
          <w:rStyle w:val="StyleUnderline"/>
          <w:highlight w:val="green"/>
          <w:shd w:val="clear" w:color="auto" w:fill="FFFF00"/>
        </w:rPr>
        <w:t>found</w:t>
      </w:r>
      <w:proofErr w:type="gramEnd"/>
      <w:r w:rsidRPr="00037222">
        <w:rPr>
          <w:rStyle w:val="StyleUnderline"/>
          <w:highlight w:val="green"/>
          <w:shd w:val="clear" w:color="auto" w:fill="FFFF00"/>
        </w:rPr>
        <w:t xml:space="preserve">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56F3D8BE" w14:textId="77777777" w:rsidR="00240AEB" w:rsidRPr="00B321A2" w:rsidRDefault="00240AEB" w:rsidP="00240AEB">
      <w:pPr>
        <w:pStyle w:val="Heading4"/>
      </w:pPr>
      <w:r>
        <w:t>Large scale extinction impacts are impossible to predict or simulate and will almost always be wrong – prefer impacts we know are happening</w:t>
      </w:r>
    </w:p>
    <w:p w14:paraId="63CECBFC" w14:textId="77777777" w:rsidR="00240AEB" w:rsidRDefault="00240AEB" w:rsidP="00240AEB">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0F747005" w14:textId="77777777" w:rsidR="00240AEB" w:rsidRPr="006612F9" w:rsidRDefault="00240AEB" w:rsidP="00240AEB">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w:t>
      </w:r>
      <w:r w:rsidRPr="00BF2D6A">
        <w:rPr>
          <w:rStyle w:val="StyleUnderline"/>
          <w:lang w:eastAsia="ja-JP"/>
        </w:rPr>
        <w:lastRenderedPageBreak/>
        <w:t>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00FA31C2" w14:textId="77777777" w:rsidR="00240AEB" w:rsidRPr="000572ED" w:rsidRDefault="00240AEB" w:rsidP="00240AEB">
      <w:pPr>
        <w:spacing w:line="276" w:lineRule="auto"/>
        <w:rPr>
          <w:sz w:val="14"/>
        </w:rPr>
      </w:pPr>
    </w:p>
    <w:p w14:paraId="19538CF6" w14:textId="77777777" w:rsidR="00240AEB" w:rsidRPr="00FF3EBE" w:rsidRDefault="00240AEB" w:rsidP="00240AEB">
      <w:pPr>
        <w:pStyle w:val="Heading3"/>
      </w:pPr>
      <w:r>
        <w:lastRenderedPageBreak/>
        <w:t xml:space="preserve">1AC – Advantage </w:t>
      </w:r>
    </w:p>
    <w:p w14:paraId="355376A9" w14:textId="77777777" w:rsidR="00240AEB" w:rsidRDefault="00240AEB" w:rsidP="00240AEB">
      <w:pPr>
        <w:pStyle w:val="Heading4"/>
      </w:pPr>
      <w:r>
        <w:t>The status quo ensures vaccine imperialism. Intellectual property law is the lynchpin of North-South health inequality and has empirically resulted in disparate life outcomes, accelerating disease spread.</w:t>
      </w:r>
    </w:p>
    <w:p w14:paraId="5DFC06B3" w14:textId="77777777" w:rsidR="00240AEB" w:rsidRDefault="00240AEB" w:rsidP="00240AEB">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2899E64B" w14:textId="77777777" w:rsidR="00240AEB" w:rsidRDefault="00240AEB" w:rsidP="00240AEB">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3324A490" w14:textId="77777777" w:rsidR="00240AEB" w:rsidRDefault="00240AEB" w:rsidP="00240AEB">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1FC9EF92" w14:textId="77777777" w:rsidR="00240AEB" w:rsidRDefault="00240AEB" w:rsidP="00240AEB">
      <w:r>
        <w:lastRenderedPageBreak/>
        <w:t xml:space="preserve">As </w:t>
      </w:r>
      <w:proofErr w:type="spellStart"/>
      <w:r>
        <w:t>Kimberlé</w:t>
      </w:r>
      <w:proofErr w:type="spellEnd"/>
      <w:r>
        <w:t xml:space="preserve">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20F883EA" w14:textId="77777777" w:rsidR="00240AEB" w:rsidRDefault="00240AEB" w:rsidP="00240AEB">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78E9739B" w14:textId="77777777" w:rsidR="00240AEB" w:rsidRDefault="00240AEB" w:rsidP="00240AEB"/>
    <w:p w14:paraId="2F050C14" w14:textId="77777777" w:rsidR="00240AEB" w:rsidRDefault="00240AEB" w:rsidP="00240AEB">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6FAD1E06" w14:textId="77777777" w:rsidR="00240AEB" w:rsidRDefault="00240AEB" w:rsidP="00240AEB">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5F65C650" w14:textId="77777777" w:rsidR="00240AEB" w:rsidRPr="006A00B3" w:rsidRDefault="00240AEB" w:rsidP="00240AEB">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w:t>
      </w:r>
      <w:r w:rsidRPr="006A00B3">
        <w:lastRenderedPageBreak/>
        <w:t xml:space="preserve">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5E75C7E6" w14:textId="77777777" w:rsidR="00240AEB" w:rsidRDefault="00240AEB" w:rsidP="00240AEB">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67829E6A" w14:textId="77777777" w:rsidR="00240AEB" w:rsidRPr="006A00B3" w:rsidRDefault="00240AEB" w:rsidP="00240AEB">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w:t>
      </w:r>
      <w:r w:rsidRPr="006A00B3">
        <w:lastRenderedPageBreak/>
        <w:t>oral cancer drug Revlimid® (used in the treatment of multiple myeloma) extending its monopoly until the end of 2036 – a patent lifespan of 40 years. In addition to excessive patenting and pricing, we have also come to understand the power of data in this context.</w:t>
      </w:r>
    </w:p>
    <w:p w14:paraId="19043CE0" w14:textId="77777777" w:rsidR="00240AEB" w:rsidRDefault="00240AEB" w:rsidP="00240AEB">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52A01439" w14:textId="77777777" w:rsidR="00240AEB" w:rsidRDefault="00240AEB" w:rsidP="00240AEB">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6234A70C" w14:textId="77777777" w:rsidR="00240AEB" w:rsidRPr="006A00B3" w:rsidRDefault="00240AEB" w:rsidP="00240AEB">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xml:space="preserve">. For </w:t>
      </w:r>
      <w:r w:rsidRPr="006A00B3">
        <w:lastRenderedPageBreak/>
        <w:t>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18F9571F" w14:textId="77777777" w:rsidR="00240AEB" w:rsidRDefault="00240AEB" w:rsidP="00240AEB">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308FF8FC" w14:textId="77777777" w:rsidR="00240AEB" w:rsidRDefault="00240AEB" w:rsidP="00240AEB">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1E4FA248" w14:textId="77777777" w:rsidR="00240AEB" w:rsidRDefault="00240AEB" w:rsidP="00240AEB"/>
    <w:p w14:paraId="7011699D" w14:textId="77777777" w:rsidR="00240AEB" w:rsidRPr="00B40755" w:rsidRDefault="00240AEB" w:rsidP="00240AEB"/>
    <w:p w14:paraId="670D947C" w14:textId="77777777" w:rsidR="00240AEB" w:rsidRPr="005C0339" w:rsidRDefault="00240AEB" w:rsidP="00240AEB">
      <w:pPr>
        <w:pStyle w:val="Heading4"/>
      </w:pPr>
      <w:r>
        <w:lastRenderedPageBreak/>
        <w:t>Status quo distribution results in disparities between nations. That results in colonial hierarchies of health.</w:t>
      </w:r>
    </w:p>
    <w:p w14:paraId="0F063AFB" w14:textId="77777777" w:rsidR="00240AEB" w:rsidRPr="005C0339" w:rsidRDefault="00240AEB" w:rsidP="00240AEB">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7D11722B" w14:textId="77777777" w:rsidR="00240AEB" w:rsidRPr="005C0339" w:rsidRDefault="00240AEB" w:rsidP="00240AEB">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2155C44C" w14:textId="77777777" w:rsidR="00240AEB" w:rsidRPr="005C0339" w:rsidRDefault="00240AEB" w:rsidP="00240AEB">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72586801" w14:textId="77777777" w:rsidR="00240AEB" w:rsidRPr="005C0339" w:rsidRDefault="00240AEB" w:rsidP="00240AEB">
      <w:r w:rsidRPr="005C0339">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449AEABF" w14:textId="77777777" w:rsidR="00240AEB" w:rsidRPr="00B40755" w:rsidRDefault="00240AEB" w:rsidP="00240AEB"/>
    <w:p w14:paraId="062C68F2" w14:textId="77777777" w:rsidR="00240AEB" w:rsidRDefault="00240AEB" w:rsidP="00240AEB">
      <w:pPr>
        <w:pStyle w:val="Heading4"/>
      </w:pPr>
      <w:r>
        <w:t xml:space="preserve">It also results in inequalities within nations. Politicians create a hierarchy of access, which feeds racism, classism, and corruption. </w:t>
      </w:r>
    </w:p>
    <w:p w14:paraId="70C2D14C" w14:textId="77777777" w:rsidR="00240AEB" w:rsidRDefault="00240AEB" w:rsidP="00240AEB">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7CE43216" w14:textId="77777777" w:rsidR="00240AEB" w:rsidRPr="00B82C8E" w:rsidRDefault="00240AEB" w:rsidP="00240AEB">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 xml:space="preserve">using complex arrangements that </w:t>
      </w:r>
      <w:proofErr w:type="spellStart"/>
      <w:r w:rsidRPr="00037222">
        <w:rPr>
          <w:rStyle w:val="Emphasis"/>
          <w:highlight w:val="green"/>
        </w:rPr>
        <w:t>prioritise</w:t>
      </w:r>
      <w:proofErr w:type="spellEnd"/>
      <w:r w:rsidRPr="00037222">
        <w:rPr>
          <w:rStyle w:val="Emphasis"/>
          <w:highlight w:val="green"/>
        </w:rPr>
        <w:t xml:space="preserv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59628255" w14:textId="77777777" w:rsidR="00240AEB" w:rsidRPr="00B82C8E" w:rsidRDefault="00240AEB" w:rsidP="00240AEB">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proofErr w:type="spellStart"/>
      <w:r w:rsidRPr="00037222">
        <w:rPr>
          <w:rStyle w:val="StyleUnderline"/>
          <w:highlight w:val="green"/>
        </w:rPr>
        <w:t>prioritised</w:t>
      </w:r>
      <w:proofErr w:type="spellEnd"/>
      <w:r w:rsidRPr="00037222">
        <w:rPr>
          <w:rStyle w:val="StyleUnderline"/>
          <w:highlight w:val="green"/>
        </w:rPr>
        <w:t xml:space="preserve">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other 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332ED8F6" w14:textId="77777777" w:rsidR="00240AEB" w:rsidRPr="00B82C8E" w:rsidRDefault="00240AEB" w:rsidP="00240AEB">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 xml:space="preserve">Vaccination disparities both within and between countries mean that many people in LMICs are unlikely to be vaccinated </w:t>
      </w:r>
      <w:r w:rsidRPr="00C759E1">
        <w:rPr>
          <w:rStyle w:val="StyleUnderline"/>
        </w:rPr>
        <w:lastRenderedPageBreak/>
        <w:t>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2746264B" w14:textId="77777777" w:rsidR="00240AEB" w:rsidRDefault="00240AEB" w:rsidP="00240AEB"/>
    <w:p w14:paraId="4937C551" w14:textId="77777777" w:rsidR="00240AEB" w:rsidRPr="00A77AC2" w:rsidRDefault="00240AEB" w:rsidP="00240AEB">
      <w:pPr>
        <w:pStyle w:val="Heading4"/>
      </w:pPr>
      <w:r>
        <w:t xml:space="preserve">This means COVID and future pandemics will reproduce untenable working conditions and racialized and classed life outcomes. </w:t>
      </w:r>
    </w:p>
    <w:p w14:paraId="7B99857F" w14:textId="77777777" w:rsidR="00240AEB" w:rsidRPr="00681A90" w:rsidRDefault="00240AEB" w:rsidP="00240AEB">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4BA34781" w14:textId="77777777" w:rsidR="00240AEB" w:rsidRPr="00A77AC2" w:rsidRDefault="00240AEB" w:rsidP="00240AEB">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51FB0F22" w14:textId="77777777" w:rsidR="00240AEB" w:rsidRPr="00A77AC2" w:rsidRDefault="00240AEB" w:rsidP="00240AEB">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27805B14" w14:textId="77777777" w:rsidR="00240AEB" w:rsidRPr="006A00B3" w:rsidRDefault="00240AEB" w:rsidP="00240AEB">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xml:space="preserve">. The meat processing industry is </w:t>
      </w:r>
      <w:r w:rsidRPr="00A77AC2">
        <w:lastRenderedPageBreak/>
        <w:t>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0232CBF0" w14:textId="77777777" w:rsidR="00240AEB" w:rsidRDefault="00240AEB" w:rsidP="00240AEB"/>
    <w:p w14:paraId="71C6561B" w14:textId="77777777" w:rsidR="00240AEB" w:rsidRDefault="00240AEB" w:rsidP="00240AEB">
      <w:pPr>
        <w:pStyle w:val="Heading4"/>
      </w:pPr>
      <w:r>
        <w:t>The plan reverse casually ensures the reduction of vaccine imperialism.</w:t>
      </w:r>
    </w:p>
    <w:p w14:paraId="60E2322F" w14:textId="77777777" w:rsidR="00240AEB" w:rsidRDefault="00240AEB" w:rsidP="00240AEB">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60AC26E3" w14:textId="77777777" w:rsidR="00240AEB" w:rsidRDefault="00240AEB" w:rsidP="00240AEB">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w:t>
      </w:r>
      <w:proofErr w:type="gramStart"/>
      <w:r w:rsidRPr="00FD7445">
        <w:rPr>
          <w:rStyle w:val="Emphasis"/>
        </w:rPr>
        <w:t xml:space="preserve">particular </w:t>
      </w:r>
      <w:r w:rsidRPr="00037222">
        <w:rPr>
          <w:rStyle w:val="Emphasis"/>
          <w:highlight w:val="green"/>
        </w:rPr>
        <w:t>corporate</w:t>
      </w:r>
      <w:proofErr w:type="gramEnd"/>
      <w:r w:rsidRPr="00037222">
        <w:rPr>
          <w:rStyle w:val="Emphasis"/>
          <w:highlight w:val="gree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DC21DC">
        <w:t>, but</w:t>
      </w:r>
      <w:proofErr w:type="gramEnd"/>
      <w:r w:rsidRPr="00DC21DC">
        <w:t xml:space="preserve"> helps frame our understanding about the creation and management of </w:t>
      </w:r>
      <w:r w:rsidRPr="00DC21DC">
        <w:lastRenderedPageBreak/>
        <w:t xml:space="preserve">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475CCF4C" w14:textId="77777777" w:rsidR="00240AEB" w:rsidRDefault="00240AEB" w:rsidP="00240AEB">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4E89619D" w14:textId="77777777" w:rsidR="00240AEB" w:rsidRDefault="00240AEB" w:rsidP="00240AEB">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w:t>
      </w:r>
      <w:r>
        <w:lastRenderedPageBreak/>
        <w:t xml:space="preserve">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0772970F" w14:textId="77777777" w:rsidR="00240AEB" w:rsidRDefault="00240AEB" w:rsidP="00240AEB">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5219D7D1" w14:textId="77777777" w:rsidR="00240AEB" w:rsidRDefault="00240AEB" w:rsidP="00240AEB">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w:t>
      </w:r>
      <w:r>
        <w:lastRenderedPageBreak/>
        <w:t xml:space="preserve">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44793DB3" w14:textId="77777777" w:rsidR="00240AEB" w:rsidRPr="009147D7" w:rsidRDefault="00240AEB" w:rsidP="00240AEB">
      <w:pPr>
        <w:pStyle w:val="Heading3"/>
      </w:pPr>
      <w:r>
        <w:lastRenderedPageBreak/>
        <w:t>1AC – Plan</w:t>
      </w:r>
    </w:p>
    <w:p w14:paraId="7A40CE85" w14:textId="77777777" w:rsidR="00240AEB" w:rsidRPr="00FF3EBE" w:rsidRDefault="00240AEB" w:rsidP="00240AEB">
      <w:pPr>
        <w:pStyle w:val="Heading4"/>
      </w:pPr>
      <w:r>
        <w:t>Plan: The member nations of the World Trade Organization ought to eliminate patent protections for medicines.</w:t>
      </w:r>
    </w:p>
    <w:p w14:paraId="233FC3FF" w14:textId="77777777" w:rsidR="00240AEB" w:rsidRDefault="00240AEB" w:rsidP="00240AEB">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604ED4E4" w14:textId="77777777" w:rsidR="00240AEB" w:rsidRDefault="00240AEB" w:rsidP="00240AEB">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4B4A2511" w14:textId="77777777" w:rsidR="00240AEB" w:rsidRDefault="00240AEB" w:rsidP="00240AEB">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767CC8C7" w14:textId="77777777" w:rsidR="00240AEB" w:rsidRDefault="00240AEB" w:rsidP="00240AEB">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2C2F5EB3" w14:textId="77777777" w:rsidR="00240AEB" w:rsidRDefault="00240AEB" w:rsidP="00240AEB"/>
    <w:p w14:paraId="3050BBCA" w14:textId="77777777" w:rsidR="00240AEB" w:rsidRPr="00B95FC3" w:rsidRDefault="00240AEB" w:rsidP="00240AEB">
      <w:pPr>
        <w:pStyle w:val="Heading4"/>
      </w:pPr>
      <w:r>
        <w:t xml:space="preserve">Prioritize our impacts. Intellectual monopoly capitalism prioritizes profitability over health, which blurs the lines between life and death. </w:t>
      </w:r>
    </w:p>
    <w:p w14:paraId="24410828" w14:textId="77777777" w:rsidR="00240AEB" w:rsidRPr="00681A90" w:rsidRDefault="00240AEB" w:rsidP="00240AEB">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6DE29CDA" w14:textId="77777777" w:rsidR="00240AEB" w:rsidRDefault="00240AEB" w:rsidP="00240AEB">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 xml:space="preserve">They sought the incorporation of IP into the trade regime </w:t>
      </w:r>
      <w:r w:rsidRPr="00EE7BA4">
        <w:rPr>
          <w:rStyle w:val="StyleUnderline"/>
        </w:rPr>
        <w:lastRenderedPageBreak/>
        <w:t>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B95FC3">
        <w:t xml:space="preserve">; it is binding and enforceable. It mandates 20 years of patent protection for pharmaceutical products. Violations result in trade sanctions. </w:t>
      </w:r>
    </w:p>
    <w:p w14:paraId="29A84B7C" w14:textId="77777777" w:rsidR="00240AEB" w:rsidRDefault="00240AEB" w:rsidP="00240AEB">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3864AA4A" w14:textId="77777777" w:rsidR="00240AEB" w:rsidRDefault="00240AEB" w:rsidP="00240AEB">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08E5B559" w14:textId="77777777" w:rsidR="00240AEB" w:rsidRDefault="00240AEB" w:rsidP="00240AEB">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6F6AD05A" w14:textId="77777777" w:rsidR="00240AEB" w:rsidRDefault="00240AEB" w:rsidP="00240AEB">
      <w:r>
        <w:lastRenderedPageBreak/>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6FC7EF4C" w14:textId="77777777" w:rsidR="00240AEB" w:rsidRDefault="00240AEB" w:rsidP="00240AEB">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6434384F" w14:textId="77777777" w:rsidR="00240AEB" w:rsidRDefault="00240AEB" w:rsidP="00240AEB"/>
    <w:p w14:paraId="426118B9" w14:textId="77777777" w:rsidR="00240AEB" w:rsidRPr="006F2390" w:rsidRDefault="00240AEB" w:rsidP="00240AEB">
      <w:pPr>
        <w:pStyle w:val="Heading4"/>
      </w:pPr>
      <w:r>
        <w:t xml:space="preserve">Status quo medical innovation results in inequality, which the </w:t>
      </w:r>
      <w:proofErr w:type="spellStart"/>
      <w:r>
        <w:t>aff</w:t>
      </w:r>
      <w:proofErr w:type="spellEnd"/>
      <w:r>
        <w:t xml:space="preserve"> corrects. </w:t>
      </w:r>
    </w:p>
    <w:p w14:paraId="21FE4BDF" w14:textId="77777777" w:rsidR="00240AEB" w:rsidRPr="006F2390" w:rsidRDefault="00240AEB" w:rsidP="00240AEB">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33B17B9C" w14:textId="77777777" w:rsidR="00240AEB" w:rsidRPr="006F2390" w:rsidRDefault="00240AEB" w:rsidP="00240AEB">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t>
      </w:r>
      <w:r w:rsidRPr="006F2390">
        <w:lastRenderedPageBreak/>
        <w:t xml:space="preserve">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3ADFE218" w14:textId="77777777" w:rsidR="00240AEB" w:rsidRPr="006F2390" w:rsidRDefault="00240AEB" w:rsidP="00240AEB">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39F18511" w14:textId="77777777" w:rsidR="00240AEB" w:rsidRPr="006F2390" w:rsidRDefault="00240AEB" w:rsidP="00240AEB">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018AA88F" w14:textId="77777777" w:rsidR="00240AEB" w:rsidRPr="006F2390" w:rsidRDefault="00240AEB" w:rsidP="00240AEB">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037222">
        <w:rPr>
          <w:rStyle w:val="StyleUnderline"/>
          <w:highlight w:val="green"/>
        </w:rPr>
        <w:t>market</w:t>
      </w:r>
      <w:r w:rsidRPr="00037222">
        <w:rPr>
          <w:highlight w:val="green"/>
        </w:rPr>
        <w:t>-</w:t>
      </w:r>
      <w:r w:rsidRPr="00037222">
        <w:rPr>
          <w:rStyle w:val="StyleUnderline"/>
          <w:highlight w:val="green"/>
        </w:rPr>
        <w:t>driven</w:t>
      </w:r>
      <w:proofErr w:type="gramEnd"/>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037222">
        <w:rPr>
          <w:rStyle w:val="StyleUnderline"/>
          <w:highlight w:val="green"/>
        </w:rPr>
        <w:t>white</w:t>
      </w:r>
      <w:proofErr w:type="gramEnd"/>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3F711F16" w14:textId="77777777" w:rsidR="00240AEB" w:rsidRPr="006F2390" w:rsidRDefault="00240AEB" w:rsidP="00240AEB">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w:t>
      </w:r>
      <w:r w:rsidRPr="006F2390">
        <w:lastRenderedPageBreak/>
        <w:t xml:space="preserve">them. Ultimately, testing was plentiful and widespread, and the government implemented a companion contact-tracing program that minimized the number of COVID-19 cases and deaths. </w:t>
      </w:r>
    </w:p>
    <w:p w14:paraId="71C25E1D" w14:textId="77777777" w:rsidR="00240AEB" w:rsidRPr="006F2390" w:rsidRDefault="00240AEB" w:rsidP="00240AEB">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48A18302" w14:textId="77777777" w:rsidR="00240AEB" w:rsidRDefault="00240AEB" w:rsidP="00240AEB">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w:t>
      </w:r>
      <w:proofErr w:type="spellStart"/>
      <w:r w:rsidRPr="006F2390">
        <w:t>remdesivir</w:t>
      </w:r>
      <w:proofErr w:type="spellEnd"/>
      <w:r w:rsidRPr="006F2390">
        <w:t xml:space="preserve">,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772BC2F5" w14:textId="77777777" w:rsidR="00240AEB" w:rsidRDefault="00240AEB" w:rsidP="00240AEB"/>
    <w:p w14:paraId="64E32C09" w14:textId="77777777" w:rsidR="00240AEB" w:rsidRDefault="00240AEB" w:rsidP="00240AEB">
      <w:pPr>
        <w:pStyle w:val="Heading4"/>
      </w:pPr>
      <w:r>
        <w:t xml:space="preserve">Flexibilities are insufficient. </w:t>
      </w:r>
    </w:p>
    <w:p w14:paraId="7A1D38FF" w14:textId="77777777" w:rsidR="00240AEB" w:rsidRDefault="00240AEB" w:rsidP="00240AEB">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4E2085C6" w14:textId="77777777" w:rsidR="00240AEB" w:rsidRPr="005C0339" w:rsidRDefault="00240AEB" w:rsidP="00240AEB">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w:t>
      </w:r>
      <w:r w:rsidRPr="005C0339">
        <w:lastRenderedPageBreak/>
        <w:t xml:space="preserve">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w:t>
      </w:r>
      <w:proofErr w:type="gramStart"/>
      <w:r w:rsidRPr="00912E7D">
        <w:rPr>
          <w:rStyle w:val="StyleUnderline"/>
        </w:rPr>
        <w:t>in order to</w:t>
      </w:r>
      <w:proofErr w:type="gramEnd"/>
      <w:r w:rsidRPr="00912E7D">
        <w:rPr>
          <w:rStyle w:val="StyleUnderline"/>
        </w:rPr>
        <w:t xml:space="preserve">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50B8CF93" w14:textId="77777777" w:rsidR="00240AEB" w:rsidRPr="00C10443" w:rsidRDefault="00240AEB" w:rsidP="00240AEB">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5D0021A7" w14:textId="77777777" w:rsidR="00240AEB" w:rsidRPr="00F601E6" w:rsidRDefault="00240AEB" w:rsidP="00240AEB"/>
    <w:p w14:paraId="6917E90B" w14:textId="77777777" w:rsidR="00240AEB" w:rsidRPr="00F601E6" w:rsidRDefault="00240AEB" w:rsidP="00240AEB"/>
    <w:p w14:paraId="555441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4DB3"/>
    <w:multiLevelType w:val="hybridMultilevel"/>
    <w:tmpl w:val="B83ED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436EFE"/>
    <w:multiLevelType w:val="hybridMultilevel"/>
    <w:tmpl w:val="C888B406"/>
    <w:lvl w:ilvl="0" w:tplc="A37E8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13"/>
  </w:num>
  <w:num w:numId="15">
    <w:abstractNumId w:val="22"/>
  </w:num>
  <w:num w:numId="16">
    <w:abstractNumId w:val="24"/>
  </w:num>
  <w:num w:numId="17">
    <w:abstractNumId w:val="23"/>
  </w:num>
  <w:num w:numId="18">
    <w:abstractNumId w:val="12"/>
  </w:num>
  <w:num w:numId="19">
    <w:abstractNumId w:val="14"/>
  </w:num>
  <w:num w:numId="20">
    <w:abstractNumId w:val="17"/>
  </w:num>
  <w:num w:numId="21">
    <w:abstractNumId w:val="11"/>
  </w:num>
  <w:num w:numId="22">
    <w:abstractNumId w:val="21"/>
  </w:num>
  <w:num w:numId="23">
    <w:abstractNumId w:val="19"/>
  </w:num>
  <w:num w:numId="24">
    <w:abstractNumId w:val="1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64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E1"/>
    <w:rsid w:val="0022589F"/>
    <w:rsid w:val="002343FE"/>
    <w:rsid w:val="00235F7B"/>
    <w:rsid w:val="00240AE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4B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08D84"/>
  <w14:defaultImageDpi w14:val="300"/>
  <w15:docId w15:val="{7A57501D-7907-6D4B-94B8-1D4F0DC83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64B4"/>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D764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764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D764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D764B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240AE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764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64B4"/>
  </w:style>
  <w:style w:type="character" w:customStyle="1" w:styleId="Heading1Char">
    <w:name w:val="Heading 1 Char"/>
    <w:aliases w:val="Pocket Char"/>
    <w:basedOn w:val="DefaultParagraphFont"/>
    <w:link w:val="Heading1"/>
    <w:uiPriority w:val="9"/>
    <w:rsid w:val="00D764B4"/>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D764B4"/>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764B4"/>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D764B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764B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764B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D764B4"/>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D764B4"/>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D764B4"/>
    <w:rPr>
      <w:color w:val="auto"/>
      <w:u w:val="none"/>
    </w:rPr>
  </w:style>
  <w:style w:type="paragraph" w:styleId="DocumentMap">
    <w:name w:val="Document Map"/>
    <w:basedOn w:val="Normal"/>
    <w:link w:val="DocumentMapChar"/>
    <w:uiPriority w:val="99"/>
    <w:semiHidden/>
    <w:unhideWhenUsed/>
    <w:rsid w:val="00D764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64B4"/>
    <w:rPr>
      <w:rFonts w:ascii="Lucida Grande" w:hAnsi="Lucida Grande" w:cs="Lucida Grande"/>
    </w:rPr>
  </w:style>
  <w:style w:type="character" w:customStyle="1" w:styleId="Heading5Char">
    <w:name w:val="Heading 5 Char"/>
    <w:basedOn w:val="DefaultParagraphFont"/>
    <w:link w:val="Heading5"/>
    <w:uiPriority w:val="99"/>
    <w:semiHidden/>
    <w:rsid w:val="00240AEB"/>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240AEB"/>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0AEB"/>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240AEB"/>
    <w:rPr>
      <w:rFonts w:ascii="Times New Roman" w:eastAsia="Times New Roman" w:hAnsi="Times New Roman" w:cs="Times New Roman"/>
      <w:sz w:val="22"/>
    </w:rPr>
  </w:style>
  <w:style w:type="paragraph" w:customStyle="1" w:styleId="BigJr">
    <w:name w:val="Big Jr."/>
    <w:basedOn w:val="Normal"/>
    <w:autoRedefine/>
    <w:qFormat/>
    <w:rsid w:val="00240AEB"/>
    <w:pPr>
      <w:spacing w:after="0"/>
    </w:pPr>
    <w:rPr>
      <w:b/>
      <w:color w:val="000000"/>
      <w:szCs w:val="28"/>
    </w:rPr>
  </w:style>
  <w:style w:type="character" w:styleId="UnresolvedMention">
    <w:name w:val="Unresolved Mention"/>
    <w:basedOn w:val="DefaultParagraphFont"/>
    <w:uiPriority w:val="99"/>
    <w:unhideWhenUsed/>
    <w:rsid w:val="00240AEB"/>
    <w:rPr>
      <w:color w:val="605E5C"/>
      <w:shd w:val="clear" w:color="auto" w:fill="E1DFDD"/>
    </w:rPr>
  </w:style>
  <w:style w:type="paragraph" w:styleId="ListParagraph">
    <w:name w:val="List Paragraph"/>
    <w:aliases w:val="6 font"/>
    <w:basedOn w:val="Normal"/>
    <w:uiPriority w:val="99"/>
    <w:qFormat/>
    <w:rsid w:val="00240AEB"/>
    <w:pPr>
      <w:ind w:left="720"/>
      <w:contextualSpacing/>
    </w:pPr>
  </w:style>
  <w:style w:type="paragraph" w:customStyle="1" w:styleId="dropcap">
    <w:name w:val="dropcap"/>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240AEB"/>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240AEB"/>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240AEB"/>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240AE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240AEB"/>
    <w:rPr>
      <w:b/>
      <w:bCs/>
    </w:rPr>
  </w:style>
  <w:style w:type="character" w:customStyle="1" w:styleId="image-source-caption">
    <w:name w:val="image-source-caption"/>
    <w:basedOn w:val="DefaultParagraphFont"/>
    <w:rsid w:val="00240AEB"/>
  </w:style>
  <w:style w:type="character" w:customStyle="1" w:styleId="image-source">
    <w:name w:val="image-source"/>
    <w:basedOn w:val="DefaultParagraphFont"/>
    <w:rsid w:val="00240AEB"/>
  </w:style>
  <w:style w:type="paragraph" w:customStyle="1" w:styleId="body-text">
    <w:name w:val="body-text"/>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240AEB"/>
  </w:style>
  <w:style w:type="paragraph" w:customStyle="1" w:styleId="video-title">
    <w:name w:val="video-title"/>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240AEB"/>
  </w:style>
  <w:style w:type="paragraph" w:customStyle="1" w:styleId="element">
    <w:name w:val="element"/>
    <w:basedOn w:val="Normal"/>
    <w:rsid w:val="00240AEB"/>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240AEB"/>
  </w:style>
  <w:style w:type="character" w:customStyle="1" w:styleId="author-name">
    <w:name w:val="author-name"/>
    <w:basedOn w:val="DefaultParagraphFont"/>
    <w:rsid w:val="00240AEB"/>
  </w:style>
  <w:style w:type="character" w:customStyle="1" w:styleId="Title1">
    <w:name w:val="Title1"/>
    <w:basedOn w:val="DefaultParagraphFont"/>
    <w:rsid w:val="00240AEB"/>
  </w:style>
  <w:style w:type="paragraph" w:styleId="z-TopofForm">
    <w:name w:val="HTML Top of Form"/>
    <w:basedOn w:val="Normal"/>
    <w:next w:val="Normal"/>
    <w:link w:val="z-TopofFormChar"/>
    <w:hidden/>
    <w:uiPriority w:val="99"/>
    <w:semiHidden/>
    <w:unhideWhenUsed/>
    <w:rsid w:val="00240AE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40AE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40AE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40AEB"/>
    <w:rPr>
      <w:rFonts w:ascii="Arial" w:eastAsia="Times New Roman" w:hAnsi="Arial" w:cs="Arial"/>
      <w:vanish/>
      <w:sz w:val="16"/>
      <w:szCs w:val="16"/>
    </w:rPr>
  </w:style>
  <w:style w:type="paragraph" w:customStyle="1" w:styleId="drop-cap">
    <w:name w:val="drop-cap"/>
    <w:basedOn w:val="Normal"/>
    <w:rsid w:val="00240AEB"/>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240AEB"/>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qFormat/>
    <w:rsid w:val="00240AEB"/>
    <w:rPr>
      <w:bCs w:val="0"/>
      <w:iCs/>
      <w:color w:val="000000" w:themeColor="text1"/>
    </w:rPr>
  </w:style>
  <w:style w:type="character" w:customStyle="1" w:styleId="AnalyticChar">
    <w:name w:val="Analytic Char"/>
    <w:basedOn w:val="DefaultParagraphFont"/>
    <w:link w:val="Analytic"/>
    <w:rsid w:val="00240AEB"/>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240AEB"/>
    <w:rPr>
      <w:rFonts w:ascii="Garamond" w:hAnsi="Garamond" w:cs="Garamond"/>
      <w:sz w:val="20"/>
      <w:u w:val="single"/>
    </w:rPr>
  </w:style>
  <w:style w:type="character" w:customStyle="1" w:styleId="dt">
    <w:name w:val="dt"/>
    <w:basedOn w:val="DefaultParagraphFont"/>
    <w:rsid w:val="00240AEB"/>
  </w:style>
  <w:style w:type="paragraph" w:customStyle="1" w:styleId="function-label">
    <w:name w:val="function-label"/>
    <w:basedOn w:val="Normal"/>
    <w:rsid w:val="00240AEB"/>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ca"/>
    <w:basedOn w:val="Heading1"/>
    <w:autoRedefine/>
    <w:uiPriority w:val="99"/>
    <w:qFormat/>
    <w:rsid w:val="00240A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240AEB"/>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240AEB"/>
  </w:style>
  <w:style w:type="character" w:customStyle="1" w:styleId="css-1uk1gs8">
    <w:name w:val="css-1uk1gs8"/>
    <w:basedOn w:val="DefaultParagraphFont"/>
    <w:rsid w:val="00240AEB"/>
  </w:style>
  <w:style w:type="character" w:customStyle="1" w:styleId="css-1ly73wi">
    <w:name w:val="css-1ly73wi"/>
    <w:basedOn w:val="DefaultParagraphFont"/>
    <w:rsid w:val="00240AEB"/>
  </w:style>
  <w:style w:type="character" w:customStyle="1" w:styleId="css-cnj6d5">
    <w:name w:val="css-cnj6d5"/>
    <w:basedOn w:val="DefaultParagraphFont"/>
    <w:rsid w:val="00240AEB"/>
  </w:style>
  <w:style w:type="paragraph" w:customStyle="1" w:styleId="wordsection1">
    <w:name w:val="wordsection1"/>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240AEB"/>
  </w:style>
  <w:style w:type="character" w:customStyle="1" w:styleId="Emph">
    <w:name w:val="Emph"/>
    <w:uiPriority w:val="1"/>
    <w:rsid w:val="00240AEB"/>
    <w:rPr>
      <w:rFonts w:ascii="Arial" w:hAnsi="Arial"/>
      <w:b/>
      <w:sz w:val="20"/>
      <w:u w:val="single"/>
      <w:bdr w:val="single" w:sz="8" w:space="0" w:color="auto"/>
    </w:rPr>
  </w:style>
  <w:style w:type="paragraph" w:customStyle="1" w:styleId="selectionshareable">
    <w:name w:val="selectionshareable"/>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240AEB"/>
  </w:style>
  <w:style w:type="character" w:customStyle="1" w:styleId="pull-quote-sidebar">
    <w:name w:val="pull-quote-sidebar"/>
    <w:basedOn w:val="DefaultParagraphFont"/>
    <w:rsid w:val="00240AEB"/>
  </w:style>
  <w:style w:type="paragraph" w:customStyle="1" w:styleId="Body">
    <w:name w:val="Body"/>
    <w:link w:val="BodyChar"/>
    <w:autoRedefine/>
    <w:rsid w:val="00240AEB"/>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240AEB"/>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240AEB"/>
  </w:style>
  <w:style w:type="character" w:customStyle="1" w:styleId="apple-style-span">
    <w:name w:val="apple-style-span"/>
    <w:basedOn w:val="DefaultParagraphFont"/>
    <w:rsid w:val="00240AEB"/>
    <w:rPr>
      <w:rFonts w:cs="Times New Roman"/>
    </w:rPr>
  </w:style>
  <w:style w:type="paragraph" w:customStyle="1" w:styleId="noindent">
    <w:name w:val="noindent"/>
    <w:basedOn w:val="Normal"/>
    <w:rsid w:val="00240AEB"/>
    <w:pPr>
      <w:spacing w:before="100" w:beforeAutospacing="1" w:after="100" w:afterAutospacing="1"/>
    </w:pPr>
    <w:rPr>
      <w:rFonts w:eastAsia="Times New Roman"/>
    </w:rPr>
  </w:style>
  <w:style w:type="paragraph" w:styleId="Header">
    <w:name w:val="header"/>
    <w:basedOn w:val="Normal"/>
    <w:link w:val="HeaderChar"/>
    <w:uiPriority w:val="99"/>
    <w:unhideWhenUsed/>
    <w:rsid w:val="00240A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AEB"/>
    <w:rPr>
      <w:rFonts w:ascii="Georgia" w:hAnsi="Georgia"/>
      <w:sz w:val="22"/>
    </w:rPr>
  </w:style>
  <w:style w:type="paragraph" w:styleId="Footer">
    <w:name w:val="footer"/>
    <w:basedOn w:val="Normal"/>
    <w:link w:val="FooterChar"/>
    <w:uiPriority w:val="99"/>
    <w:unhideWhenUsed/>
    <w:rsid w:val="00240A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AEB"/>
    <w:rPr>
      <w:rFonts w:ascii="Georgia" w:hAnsi="Georgia"/>
      <w:sz w:val="22"/>
    </w:rPr>
  </w:style>
  <w:style w:type="paragraph" w:styleId="BodyText">
    <w:name w:val="Body Text"/>
    <w:basedOn w:val="Normal"/>
    <w:link w:val="BodyTextChar"/>
    <w:uiPriority w:val="1"/>
    <w:qFormat/>
    <w:rsid w:val="00240AEB"/>
    <w:pPr>
      <w:spacing w:after="140" w:line="276" w:lineRule="auto"/>
    </w:pPr>
    <w:rPr>
      <w:rFonts w:eastAsia="Calibri" w:cs="Times New Roman"/>
    </w:rPr>
  </w:style>
  <w:style w:type="character" w:customStyle="1" w:styleId="BodyTextChar">
    <w:name w:val="Body Text Char"/>
    <w:basedOn w:val="DefaultParagraphFont"/>
    <w:link w:val="BodyText"/>
    <w:uiPriority w:val="1"/>
    <w:rsid w:val="00240AEB"/>
    <w:rPr>
      <w:rFonts w:ascii="Georgia" w:eastAsia="Calibri" w:hAnsi="Georgia" w:cs="Times New Roman"/>
      <w:sz w:val="22"/>
    </w:rPr>
  </w:style>
  <w:style w:type="paragraph" w:customStyle="1" w:styleId="UnderlinePara">
    <w:name w:val="Underline Para"/>
    <w:basedOn w:val="Normal"/>
    <w:uiPriority w:val="1"/>
    <w:qFormat/>
    <w:rsid w:val="00240AEB"/>
    <w:pPr>
      <w:widowControl w:val="0"/>
      <w:suppressAutoHyphens/>
      <w:spacing w:after="200"/>
      <w:contextualSpacing/>
    </w:pPr>
    <w:rPr>
      <w:u w:val="single"/>
    </w:rPr>
  </w:style>
  <w:style w:type="paragraph" w:customStyle="1" w:styleId="analytics">
    <w:name w:val="analytics"/>
    <w:basedOn w:val="Normal"/>
    <w:link w:val="analyticsChar"/>
    <w:uiPriority w:val="4"/>
    <w:qFormat/>
    <w:rsid w:val="00240AEB"/>
    <w:rPr>
      <w:b/>
      <w:color w:val="C00000"/>
      <w:sz w:val="26"/>
    </w:rPr>
  </w:style>
  <w:style w:type="character" w:customStyle="1" w:styleId="analyticsChar">
    <w:name w:val="analytics Char"/>
    <w:basedOn w:val="DefaultParagraphFont"/>
    <w:link w:val="analytics"/>
    <w:uiPriority w:val="4"/>
    <w:rsid w:val="00240AEB"/>
    <w:rPr>
      <w:rFonts w:ascii="Georgia" w:hAnsi="Georgia"/>
      <w:b/>
      <w:color w:val="C00000"/>
      <w:sz w:val="26"/>
    </w:rPr>
  </w:style>
  <w:style w:type="paragraph" w:customStyle="1" w:styleId="Small">
    <w:name w:val="Small"/>
    <w:basedOn w:val="Normal"/>
    <w:qFormat/>
    <w:rsid w:val="00240AEB"/>
    <w:pPr>
      <w:spacing w:after="0" w:line="240" w:lineRule="auto"/>
    </w:pPr>
    <w:rPr>
      <w:sz w:val="14"/>
    </w:rPr>
  </w:style>
  <w:style w:type="paragraph" w:customStyle="1" w:styleId="cardtext">
    <w:name w:val="card text"/>
    <w:basedOn w:val="Normal"/>
    <w:link w:val="cardtextChar"/>
    <w:qFormat/>
    <w:rsid w:val="00240AEB"/>
    <w:pPr>
      <w:widowControl w:val="0"/>
      <w:ind w:left="288" w:right="288"/>
    </w:pPr>
    <w:rPr>
      <w:rFonts w:eastAsia="Calibri"/>
    </w:rPr>
  </w:style>
  <w:style w:type="character" w:customStyle="1" w:styleId="cardtextChar">
    <w:name w:val="card text Char"/>
    <w:basedOn w:val="DefaultParagraphFont"/>
    <w:link w:val="cardtext"/>
    <w:rsid w:val="00240AEB"/>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240AEB"/>
    <w:rPr>
      <w:b/>
      <w:bCs/>
      <w:strike w:val="0"/>
      <w:dstrike w:val="0"/>
      <w:sz w:val="26"/>
      <w:u w:val="none"/>
      <w:effect w:val="none"/>
    </w:rPr>
  </w:style>
  <w:style w:type="character" w:customStyle="1" w:styleId="oecd-shared-footercopyright-first">
    <w:name w:val="oecd-shared-footer__copyright-first"/>
    <w:basedOn w:val="DefaultParagraphFont"/>
    <w:rsid w:val="00240AEB"/>
  </w:style>
  <w:style w:type="character" w:customStyle="1" w:styleId="oecd-shared-footercopyright-second">
    <w:name w:val="oecd-shared-footer__copyright-second"/>
    <w:basedOn w:val="DefaultParagraphFont"/>
    <w:rsid w:val="00240AEB"/>
  </w:style>
  <w:style w:type="paragraph" w:customStyle="1" w:styleId="font--body">
    <w:name w:val="font--body"/>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240AEB"/>
  </w:style>
  <w:style w:type="character" w:customStyle="1" w:styleId="education">
    <w:name w:val="education"/>
    <w:basedOn w:val="DefaultParagraphFont"/>
    <w:rsid w:val="00240AEB"/>
  </w:style>
  <w:style w:type="character" w:customStyle="1" w:styleId="longbio">
    <w:name w:val="long_bio"/>
    <w:basedOn w:val="DefaultParagraphFont"/>
    <w:rsid w:val="00240AEB"/>
  </w:style>
  <w:style w:type="paragraph" w:styleId="FootnoteText">
    <w:name w:val="footnote text"/>
    <w:basedOn w:val="Normal"/>
    <w:link w:val="FootnoteTextChar"/>
    <w:uiPriority w:val="99"/>
    <w:unhideWhenUsed/>
    <w:qFormat/>
    <w:rsid w:val="00240AEB"/>
    <w:pPr>
      <w:spacing w:after="0" w:line="240" w:lineRule="auto"/>
    </w:pPr>
    <w:rPr>
      <w:sz w:val="20"/>
      <w:szCs w:val="20"/>
    </w:rPr>
  </w:style>
  <w:style w:type="character" w:customStyle="1" w:styleId="FootnoteTextChar">
    <w:name w:val="Footnote Text Char"/>
    <w:basedOn w:val="DefaultParagraphFont"/>
    <w:link w:val="FootnoteText"/>
    <w:uiPriority w:val="99"/>
    <w:rsid w:val="00240AEB"/>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240AEB"/>
    <w:rPr>
      <w:vertAlign w:val="superscript"/>
    </w:rPr>
  </w:style>
  <w:style w:type="character" w:customStyle="1" w:styleId="Minimize">
    <w:name w:val="Minimize"/>
    <w:aliases w:val="Style Minimize"/>
    <w:uiPriority w:val="1"/>
    <w:qFormat/>
    <w:rsid w:val="00240AEB"/>
    <w:rPr>
      <w:rFonts w:asciiTheme="minorHAnsi" w:hAnsiTheme="minorHAnsi"/>
      <w:sz w:val="16"/>
    </w:rPr>
  </w:style>
  <w:style w:type="paragraph" w:customStyle="1" w:styleId="css-axufdj">
    <w:name w:val="css-axufdj"/>
    <w:basedOn w:val="Normal"/>
    <w:rsid w:val="00240AEB"/>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240AEB"/>
    <w:rPr>
      <w:rFonts w:ascii="Calibri" w:eastAsiaTheme="minorHAnsi" w:hAnsi="Calibri" w:cs="Calibri"/>
      <w:sz w:val="22"/>
      <w:szCs w:val="22"/>
    </w:rPr>
  </w:style>
  <w:style w:type="paragraph" w:customStyle="1" w:styleId="Nothing">
    <w:name w:val="Nothing"/>
    <w:link w:val="NothingChar"/>
    <w:rsid w:val="00240AEB"/>
    <w:pPr>
      <w:jc w:val="both"/>
    </w:pPr>
    <w:rPr>
      <w:rFonts w:ascii="Times New Roman" w:eastAsia="Times New Roman" w:hAnsi="Times New Roman" w:cs="Times New Roman"/>
      <w:sz w:val="20"/>
    </w:rPr>
  </w:style>
  <w:style w:type="character" w:customStyle="1" w:styleId="NothingChar">
    <w:name w:val="Nothing Char"/>
    <w:link w:val="Nothing"/>
    <w:locked/>
    <w:rsid w:val="00240AEB"/>
    <w:rPr>
      <w:rFonts w:ascii="Times New Roman" w:eastAsia="Times New Roman" w:hAnsi="Times New Roman" w:cs="Times New Roman"/>
      <w:sz w:val="20"/>
    </w:rPr>
  </w:style>
  <w:style w:type="character" w:customStyle="1" w:styleId="hvr">
    <w:name w:val="hvr"/>
    <w:basedOn w:val="DefaultParagraphFont"/>
    <w:rsid w:val="00240AEB"/>
  </w:style>
  <w:style w:type="character" w:customStyle="1" w:styleId="idir">
    <w:name w:val="idir"/>
    <w:basedOn w:val="DefaultParagraphFont"/>
    <w:rsid w:val="00240AEB"/>
  </w:style>
  <w:style w:type="character" w:customStyle="1" w:styleId="illustration">
    <w:name w:val="illustration"/>
    <w:basedOn w:val="DefaultParagraphFont"/>
    <w:rsid w:val="00240AEB"/>
  </w:style>
  <w:style w:type="character" w:customStyle="1" w:styleId="span">
    <w:name w:val="span"/>
    <w:basedOn w:val="DefaultParagraphFont"/>
    <w:rsid w:val="00240AEB"/>
  </w:style>
  <w:style w:type="character" w:customStyle="1" w:styleId="tb">
    <w:name w:val="tb"/>
    <w:basedOn w:val="DefaultParagraphFont"/>
    <w:rsid w:val="00240AEB"/>
  </w:style>
  <w:style w:type="character" w:customStyle="1" w:styleId="target">
    <w:name w:val="target"/>
    <w:basedOn w:val="DefaultParagraphFont"/>
    <w:rsid w:val="00240AEB"/>
  </w:style>
  <w:style w:type="character" w:customStyle="1" w:styleId="panel-title">
    <w:name w:val="panel-title"/>
    <w:basedOn w:val="DefaultParagraphFont"/>
    <w:rsid w:val="00240AEB"/>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1"/>
    <w:qFormat/>
    <w:rsid w:val="00240AEB"/>
    <w:rPr>
      <w:u w:val="single"/>
    </w:rPr>
  </w:style>
  <w:style w:type="paragraph" w:customStyle="1" w:styleId="UnderlinedText">
    <w:name w:val="Underlined Text"/>
    <w:link w:val="IntenseEmphasis"/>
    <w:uiPriority w:val="1"/>
    <w:qFormat/>
    <w:rsid w:val="00240AEB"/>
    <w:pPr>
      <w:suppressAutoHyphens/>
      <w:autoSpaceDN w:val="0"/>
      <w:textAlignment w:val="baseline"/>
    </w:pPr>
    <w:rPr>
      <w:u w:val="single"/>
    </w:rPr>
  </w:style>
  <w:style w:type="paragraph" w:customStyle="1" w:styleId="gntarbp">
    <w:name w:val="gnt_ar_b_p"/>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240AEB"/>
  </w:style>
  <w:style w:type="character" w:customStyle="1" w:styleId="credit">
    <w:name w:val="credit"/>
    <w:basedOn w:val="DefaultParagraphFont"/>
    <w:rsid w:val="00240AEB"/>
  </w:style>
  <w:style w:type="character" w:customStyle="1" w:styleId="num">
    <w:name w:val="num"/>
    <w:basedOn w:val="DefaultParagraphFont"/>
    <w:rsid w:val="00240AEB"/>
  </w:style>
  <w:style w:type="character" w:customStyle="1" w:styleId="letter">
    <w:name w:val="letter"/>
    <w:basedOn w:val="DefaultParagraphFont"/>
    <w:rsid w:val="00240AEB"/>
  </w:style>
  <w:style w:type="character" w:customStyle="1" w:styleId="dttext">
    <w:name w:val="dttext"/>
    <w:basedOn w:val="DefaultParagraphFont"/>
    <w:rsid w:val="00240AEB"/>
  </w:style>
  <w:style w:type="character" w:customStyle="1" w:styleId="ex-sent">
    <w:name w:val="ex-sent"/>
    <w:basedOn w:val="DefaultParagraphFont"/>
    <w:rsid w:val="00240AEB"/>
  </w:style>
  <w:style w:type="character" w:customStyle="1" w:styleId="mwtwi">
    <w:name w:val="mw_t_wi"/>
    <w:basedOn w:val="DefaultParagraphFont"/>
    <w:rsid w:val="00240AEB"/>
  </w:style>
  <w:style w:type="character" w:customStyle="1" w:styleId="auth">
    <w:name w:val="auth"/>
    <w:basedOn w:val="DefaultParagraphFont"/>
    <w:rsid w:val="00240AEB"/>
  </w:style>
  <w:style w:type="character" w:customStyle="1" w:styleId="sdsense">
    <w:name w:val="sdsense"/>
    <w:basedOn w:val="DefaultParagraphFont"/>
    <w:rsid w:val="00240AEB"/>
  </w:style>
  <w:style w:type="character" w:customStyle="1" w:styleId="sd">
    <w:name w:val="sd"/>
    <w:basedOn w:val="DefaultParagraphFont"/>
    <w:rsid w:val="00240AEB"/>
  </w:style>
  <w:style w:type="paragraph" w:customStyle="1" w:styleId="NOTES">
    <w:name w:val="NOTES"/>
    <w:basedOn w:val="Normal"/>
    <w:autoRedefine/>
    <w:qFormat/>
    <w:rsid w:val="00240AEB"/>
    <w:rPr>
      <w:sz w:val="26"/>
    </w:rPr>
  </w:style>
  <w:style w:type="paragraph" w:customStyle="1" w:styleId="Style2">
    <w:name w:val="Style2"/>
    <w:basedOn w:val="Normal"/>
    <w:qFormat/>
    <w:rsid w:val="00240AEB"/>
  </w:style>
  <w:style w:type="paragraph" w:styleId="BalloonText">
    <w:name w:val="Balloon Text"/>
    <w:basedOn w:val="Normal"/>
    <w:link w:val="BalloonTextChar"/>
    <w:uiPriority w:val="99"/>
    <w:semiHidden/>
    <w:unhideWhenUsed/>
    <w:rsid w:val="00240AEB"/>
    <w:rPr>
      <w:sz w:val="18"/>
      <w:szCs w:val="18"/>
    </w:rPr>
  </w:style>
  <w:style w:type="character" w:customStyle="1" w:styleId="BalloonTextChar">
    <w:name w:val="Balloon Text Char"/>
    <w:basedOn w:val="DefaultParagraphFont"/>
    <w:link w:val="BalloonText"/>
    <w:uiPriority w:val="99"/>
    <w:semiHidden/>
    <w:rsid w:val="00240AEB"/>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240AEB"/>
    <w:pPr>
      <w:autoSpaceDE w:val="0"/>
      <w:autoSpaceDN w:val="0"/>
      <w:adjustRightInd w:val="0"/>
      <w:jc w:val="both"/>
    </w:pPr>
    <w:rPr>
      <w:rFonts w:asciiTheme="minorHAnsi" w:hAnsiTheme="minorHAnsi"/>
      <w:u w:val="single"/>
    </w:rPr>
  </w:style>
  <w:style w:type="character" w:customStyle="1" w:styleId="fn">
    <w:name w:val="fn"/>
    <w:basedOn w:val="DefaultParagraphFont"/>
    <w:rsid w:val="00240AEB"/>
  </w:style>
  <w:style w:type="paragraph" w:customStyle="1" w:styleId="Analytics0">
    <w:name w:val="Analytics"/>
    <w:basedOn w:val="Heading4"/>
    <w:link w:val="AnalyticsChar0"/>
    <w:uiPriority w:val="4"/>
    <w:qFormat/>
    <w:rsid w:val="00240AEB"/>
    <w:rPr>
      <w:color w:val="6666FF"/>
    </w:rPr>
  </w:style>
  <w:style w:type="character" w:customStyle="1" w:styleId="AnalyticsChar0">
    <w:name w:val="Analytics Char"/>
    <w:basedOn w:val="DefaultParagraphFont"/>
    <w:link w:val="Analytics0"/>
    <w:uiPriority w:val="4"/>
    <w:rsid w:val="00240AEB"/>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240AEB"/>
    <w:rPr>
      <w:sz w:val="16"/>
      <w:szCs w:val="10"/>
    </w:rPr>
  </w:style>
  <w:style w:type="character" w:customStyle="1" w:styleId="AuthorQualsChar">
    <w:name w:val="Author Quals Char"/>
    <w:basedOn w:val="DefaultParagraphFont"/>
    <w:link w:val="AuthorQuals"/>
    <w:uiPriority w:val="4"/>
    <w:rsid w:val="00240AEB"/>
    <w:rPr>
      <w:rFonts w:ascii="Georgia" w:hAnsi="Georgia"/>
      <w:sz w:val="16"/>
      <w:szCs w:val="10"/>
    </w:rPr>
  </w:style>
  <w:style w:type="paragraph" w:customStyle="1" w:styleId="faculty-title">
    <w:name w:val="faculty-title"/>
    <w:basedOn w:val="Normal"/>
    <w:rsid w:val="00240AEB"/>
    <w:pPr>
      <w:spacing w:before="100" w:beforeAutospacing="1" w:after="100" w:afterAutospacing="1"/>
    </w:pPr>
  </w:style>
  <w:style w:type="character" w:customStyle="1" w:styleId="label">
    <w:name w:val="label"/>
    <w:basedOn w:val="DefaultParagraphFont"/>
    <w:rsid w:val="00240AEB"/>
  </w:style>
  <w:style w:type="paragraph" w:customStyle="1" w:styleId="body-paragraph">
    <w:name w:val="body-paragraph"/>
    <w:basedOn w:val="Normal"/>
    <w:rsid w:val="00240AEB"/>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240AEB"/>
    <w:rPr>
      <w:color w:val="000000" w:themeColor="text1"/>
    </w:rPr>
  </w:style>
  <w:style w:type="character" w:customStyle="1" w:styleId="AnalyticsHGChar">
    <w:name w:val="Analytics [HG] Char"/>
    <w:basedOn w:val="DefaultParagraphFont"/>
    <w:link w:val="AnalyticsHG"/>
    <w:rsid w:val="00240AEB"/>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240AEB"/>
  </w:style>
  <w:style w:type="character" w:customStyle="1" w:styleId="c-messagesender">
    <w:name w:val="c-message__sender"/>
    <w:basedOn w:val="DefaultParagraphFont"/>
    <w:rsid w:val="00240AEB"/>
  </w:style>
  <w:style w:type="character" w:customStyle="1" w:styleId="c-reactioncount">
    <w:name w:val="c-reaction__count"/>
    <w:basedOn w:val="DefaultParagraphFont"/>
    <w:rsid w:val="00240AEB"/>
  </w:style>
  <w:style w:type="character" w:customStyle="1" w:styleId="c-messagereplybarlastreply">
    <w:name w:val="c-message__reply_bar_last_reply"/>
    <w:basedOn w:val="DefaultParagraphFont"/>
    <w:rsid w:val="00240AEB"/>
  </w:style>
  <w:style w:type="character" w:customStyle="1" w:styleId="c-messagereplybarviewthread">
    <w:name w:val="c-message__reply_bar_view_thread"/>
    <w:basedOn w:val="DefaultParagraphFont"/>
    <w:rsid w:val="00240AEB"/>
  </w:style>
  <w:style w:type="paragraph" w:customStyle="1" w:styleId="good">
    <w:name w:val="good"/>
    <w:basedOn w:val="Normal"/>
    <w:autoRedefine/>
    <w:qFormat/>
    <w:rsid w:val="00240AEB"/>
    <w:rPr>
      <w:b/>
      <w:color w:val="002060"/>
      <w:sz w:val="26"/>
    </w:rPr>
  </w:style>
  <w:style w:type="paragraph" w:customStyle="1" w:styleId="AnalyticsHari">
    <w:name w:val="Analytics [Hari]"/>
    <w:basedOn w:val="Normal"/>
    <w:autoRedefine/>
    <w:qFormat/>
    <w:rsid w:val="00240AEB"/>
    <w:rPr>
      <w:b/>
      <w:color w:val="002060"/>
      <w:sz w:val="26"/>
    </w:rPr>
  </w:style>
  <w:style w:type="paragraph" w:customStyle="1" w:styleId="AnalyticsInitials">
    <w:name w:val="Analytics [Initials]"/>
    <w:basedOn w:val="Heading4"/>
    <w:next w:val="Normal"/>
    <w:link w:val="AnalyticsInitialsChar"/>
    <w:autoRedefine/>
    <w:qFormat/>
    <w:rsid w:val="00240AEB"/>
    <w:rPr>
      <w:color w:val="000000" w:themeColor="text1"/>
    </w:rPr>
  </w:style>
  <w:style w:type="character" w:customStyle="1" w:styleId="AnalyticsInitialsChar">
    <w:name w:val="Analytics [Initials] Char"/>
    <w:basedOn w:val="DefaultParagraphFont"/>
    <w:link w:val="AnalyticsInitials"/>
    <w:rsid w:val="00240AEB"/>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240AEB"/>
    <w:rPr>
      <w:sz w:val="16"/>
      <w:szCs w:val="16"/>
    </w:rPr>
  </w:style>
  <w:style w:type="paragraph" w:styleId="CommentText">
    <w:name w:val="annotation text"/>
    <w:basedOn w:val="Normal"/>
    <w:link w:val="CommentTextChar"/>
    <w:uiPriority w:val="99"/>
    <w:semiHidden/>
    <w:unhideWhenUsed/>
    <w:rsid w:val="00240AEB"/>
    <w:pPr>
      <w:spacing w:line="240" w:lineRule="auto"/>
    </w:pPr>
    <w:rPr>
      <w:sz w:val="20"/>
      <w:szCs w:val="20"/>
    </w:rPr>
  </w:style>
  <w:style w:type="character" w:customStyle="1" w:styleId="CommentTextChar">
    <w:name w:val="Comment Text Char"/>
    <w:basedOn w:val="DefaultParagraphFont"/>
    <w:link w:val="CommentText"/>
    <w:uiPriority w:val="99"/>
    <w:semiHidden/>
    <w:rsid w:val="00240AEB"/>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240AEB"/>
    <w:rPr>
      <w:b/>
      <w:bCs/>
    </w:rPr>
  </w:style>
  <w:style w:type="character" w:customStyle="1" w:styleId="CommentSubjectChar">
    <w:name w:val="Comment Subject Char"/>
    <w:basedOn w:val="CommentTextChar"/>
    <w:link w:val="CommentSubject"/>
    <w:uiPriority w:val="99"/>
    <w:semiHidden/>
    <w:rsid w:val="00240AEB"/>
    <w:rPr>
      <w:rFonts w:ascii="Georgia" w:hAnsi="Georgia"/>
      <w:b/>
      <w:bCs/>
      <w:sz w:val="20"/>
      <w:szCs w:val="20"/>
    </w:rPr>
  </w:style>
  <w:style w:type="character" w:customStyle="1" w:styleId="footnotereferrer">
    <w:name w:val="footnote_referrer"/>
    <w:basedOn w:val="DefaultParagraphFont"/>
    <w:rsid w:val="00240AEB"/>
  </w:style>
  <w:style w:type="paragraph" w:customStyle="1" w:styleId="CiteSpacing">
    <w:name w:val="Cite Spacing"/>
    <w:basedOn w:val="Normal"/>
    <w:uiPriority w:val="4"/>
    <w:qFormat/>
    <w:rsid w:val="00240AEB"/>
    <w:pPr>
      <w:spacing w:before="60" w:after="60"/>
    </w:pPr>
  </w:style>
  <w:style w:type="character" w:customStyle="1" w:styleId="footnote-reference">
    <w:name w:val="footnote-reference"/>
    <w:basedOn w:val="DefaultParagraphFont"/>
    <w:rsid w:val="00240AEB"/>
  </w:style>
  <w:style w:type="paragraph" w:customStyle="1" w:styleId="has-dark-gray-color">
    <w:name w:val="has-dark-gray-color"/>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240AEB"/>
  </w:style>
  <w:style w:type="paragraph" w:customStyle="1" w:styleId="CardIndented">
    <w:name w:val="Card (Indented)"/>
    <w:basedOn w:val="Normal"/>
    <w:link w:val="CardIndentedChar"/>
    <w:qFormat/>
    <w:rsid w:val="00240AEB"/>
    <w:pPr>
      <w:ind w:left="288"/>
    </w:pPr>
  </w:style>
  <w:style w:type="character" w:customStyle="1" w:styleId="CardIndentedChar">
    <w:name w:val="Card (Indented) Char"/>
    <w:basedOn w:val="DefaultParagraphFont"/>
    <w:link w:val="CardIndented"/>
    <w:rsid w:val="00240AEB"/>
    <w:rPr>
      <w:rFonts w:ascii="Georgia" w:hAnsi="Georgia"/>
      <w:sz w:val="22"/>
    </w:rPr>
  </w:style>
  <w:style w:type="paragraph" w:customStyle="1" w:styleId="similarlistitem">
    <w:name w:val="similarlistitem"/>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240AEB"/>
  </w:style>
  <w:style w:type="character" w:customStyle="1" w:styleId="labeltext">
    <w:name w:val="labeltext"/>
    <w:basedOn w:val="DefaultParagraphFont"/>
    <w:rsid w:val="00240AEB"/>
  </w:style>
  <w:style w:type="paragraph" w:customStyle="1" w:styleId="detailsub">
    <w:name w:val="detail__sub"/>
    <w:basedOn w:val="Normal"/>
    <w:rsid w:val="00240AEB"/>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240AEB"/>
  </w:style>
  <w:style w:type="character" w:customStyle="1" w:styleId="t-out-span">
    <w:name w:val="t-out-span"/>
    <w:basedOn w:val="DefaultParagraphFont"/>
    <w:rsid w:val="00240AEB"/>
  </w:style>
  <w:style w:type="paragraph" w:customStyle="1" w:styleId="wp-caption-text">
    <w:name w:val="wp-caption-text"/>
    <w:basedOn w:val="Normal"/>
    <w:rsid w:val="00240AEB"/>
    <w:pPr>
      <w:spacing w:before="100" w:beforeAutospacing="1" w:after="100" w:afterAutospacing="1" w:line="240" w:lineRule="auto"/>
    </w:pPr>
    <w:rPr>
      <w:rFonts w:ascii="Times New Roman" w:eastAsia="Times New Roman" w:hAnsi="Times New Roman" w:cs="Times New Roman"/>
    </w:rPr>
  </w:style>
  <w:style w:type="character" w:styleId="HTMLDefinition">
    <w:name w:val="HTML Definition"/>
    <w:basedOn w:val="DefaultParagraphFont"/>
    <w:uiPriority w:val="99"/>
    <w:semiHidden/>
    <w:unhideWhenUsed/>
    <w:rsid w:val="00240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26</Pages>
  <Words>14514</Words>
  <Characters>82731</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2021-10-31T17:36:00Z</dcterms:created>
  <dcterms:modified xsi:type="dcterms:W3CDTF">2021-10-31T17:57:00Z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