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303E2" w14:textId="795913E1" w:rsidR="00085700" w:rsidRPr="00B23327" w:rsidRDefault="00085700" w:rsidP="00085700">
      <w:pPr>
        <w:pStyle w:val="Heading3"/>
      </w:pPr>
      <w:r>
        <w:t>1AR – T Appropriation</w:t>
      </w:r>
    </w:p>
    <w:p w14:paraId="40E8DBD4" w14:textId="77777777" w:rsidR="00085700" w:rsidRDefault="00085700" w:rsidP="00085700">
      <w:pPr>
        <w:pStyle w:val="Heading4"/>
      </w:pPr>
      <w:r>
        <w:t xml:space="preserve">1] </w:t>
      </w:r>
      <w:r w:rsidRPr="005C49E8">
        <w:t xml:space="preserve">We meet – SREU grants </w:t>
      </w:r>
      <w:r w:rsidRPr="005C49E8">
        <w:rPr>
          <w:u w:val="single"/>
        </w:rPr>
        <w:t>authority</w:t>
      </w:r>
      <w:r w:rsidRPr="005C49E8">
        <w:t xml:space="preserve"> for private appropriation of space and CIL suggest removed </w:t>
      </w:r>
      <w:r w:rsidRPr="005C49E8">
        <w:rPr>
          <w:u w:val="single"/>
        </w:rPr>
        <w:t>in situ resources</w:t>
      </w:r>
      <w:r w:rsidRPr="005C49E8">
        <w:t xml:space="preserve"> are still part of celestial bodies.</w:t>
      </w:r>
    </w:p>
    <w:p w14:paraId="40462F0E" w14:textId="77777777" w:rsidR="00085700" w:rsidRPr="00C62263" w:rsidRDefault="00085700" w:rsidP="00085700">
      <w:r>
        <w:t xml:space="preserve">Amanda M. </w:t>
      </w:r>
      <w:r w:rsidRPr="00C62263">
        <w:rPr>
          <w:rStyle w:val="Style13ptBold"/>
        </w:rPr>
        <w:t>Leon</w:t>
      </w:r>
      <w:r>
        <w:t xml:space="preserve">, Associate*, Caplin &amp; Drysdale, </w:t>
      </w:r>
      <w:proofErr w:type="spellStart"/>
      <w:r>
        <w:t>Chtd</w:t>
      </w:r>
      <w:proofErr w:type="spellEnd"/>
      <w:r>
        <w:t xml:space="preserve">., </w:t>
      </w:r>
      <w:r w:rsidRPr="00C62263">
        <w:rPr>
          <w:rStyle w:val="Style13ptBold"/>
        </w:rPr>
        <w:t>’18</w:t>
      </w:r>
      <w:r>
        <w:t xml:space="preserve">, Virginia Law Review [“MINING FOR MEANING: AN EXAMINATION OF THE LEGALITY OF PROPERTY RIGHTS IN SPACE RESOURCES” Vol. 104:497 2018] </w:t>
      </w:r>
    </w:p>
    <w:p w14:paraId="5F87FA29" w14:textId="77777777" w:rsidR="00085700" w:rsidRPr="005C49E8" w:rsidRDefault="00085700" w:rsidP="00085700">
      <w:pPr>
        <w:rPr>
          <w:rStyle w:val="StyleUnderline"/>
        </w:rPr>
      </w:pPr>
      <w:r>
        <w:t xml:space="preserve">Furthermore, </w:t>
      </w:r>
      <w:r w:rsidRPr="005C49E8">
        <w:rPr>
          <w:rStyle w:val="Emphasis"/>
        </w:rPr>
        <w:t>state practice</w:t>
      </w:r>
      <w:r>
        <w:t xml:space="preserve"> </w:t>
      </w:r>
      <w:r w:rsidRPr="005C49E8">
        <w:rPr>
          <w:rStyle w:val="StyleUnderline"/>
        </w:rPr>
        <w:t>relevant to the question of property rights under the OST goes beyond these examples and analogies of ownership</w:t>
      </w:r>
      <w:r>
        <w:t xml:space="preserve"> of resources taken from commons</w:t>
      </w:r>
      <w:proofErr w:type="gramStart"/>
      <w:r>
        <w:t xml:space="preserve">. </w:t>
      </w:r>
      <w:proofErr w:type="gramEnd"/>
      <w:r>
        <w:t>State practice regarding property rights in general must be considered</w:t>
      </w:r>
      <w:proofErr w:type="gramStart"/>
      <w:r>
        <w:t xml:space="preserve">. </w:t>
      </w:r>
      <w:proofErr w:type="gramEnd"/>
      <w:r>
        <w:t xml:space="preserve">For example, Professor Fabio </w:t>
      </w:r>
      <w:proofErr w:type="spellStart"/>
      <w:r w:rsidRPr="005C49E8">
        <w:rPr>
          <w:rStyle w:val="StyleUnderline"/>
        </w:rPr>
        <w:t>Tronchetti</w:t>
      </w:r>
      <w:proofErr w:type="spellEnd"/>
      <w:r w:rsidRPr="005C49E8">
        <w:rPr>
          <w:rStyle w:val="StyleUnderline"/>
        </w:rPr>
        <w:t xml:space="preserve"> disagrees with the oft-cited notion that state practice affirms the SREU Act.</w:t>
      </w:r>
    </w:p>
    <w:p w14:paraId="7E94DB12" w14:textId="77777777" w:rsidR="00085700" w:rsidRPr="005C49E8" w:rsidRDefault="00085700" w:rsidP="00085700">
      <w:pPr>
        <w:rPr>
          <w:rStyle w:val="Emphasis"/>
        </w:rPr>
      </w:pPr>
      <w:r>
        <w:t>214 According to the professor, “</w:t>
      </w:r>
      <w:r w:rsidRPr="0042420E">
        <w:rPr>
          <w:rStyle w:val="StyleUnderline"/>
        </w:rPr>
        <w:t>under international law, property rights require a superior authority</w:t>
      </w:r>
      <w:r w:rsidRPr="005C49E8">
        <w:rPr>
          <w:rStyle w:val="StyleUnderline"/>
        </w:rPr>
        <w:t>, a State, entitled to attribute and enforce them</w:t>
      </w:r>
      <w:r>
        <w:t xml:space="preserve">.”215 </w:t>
      </w:r>
      <w:r w:rsidRPr="005C49E8">
        <w:rPr>
          <w:rStyle w:val="StyleUnderline"/>
        </w:rPr>
        <w:t>By granting property rights</w:t>
      </w:r>
      <w:r>
        <w:t xml:space="preserve"> in the SREU Act, </w:t>
      </w:r>
      <w:r w:rsidRPr="005C49E8">
        <w:rPr>
          <w:rStyle w:val="StyleUnderline"/>
        </w:rPr>
        <w:t xml:space="preserve">the </w:t>
      </w:r>
      <w:r w:rsidRPr="0042420E">
        <w:rPr>
          <w:rStyle w:val="StyleUnderline"/>
        </w:rPr>
        <w:t xml:space="preserve">United States </w:t>
      </w:r>
      <w:r w:rsidRPr="0042420E">
        <w:rPr>
          <w:rStyle w:val="Emphasis"/>
        </w:rPr>
        <w:t>impliedly claims</w:t>
      </w:r>
      <w:r w:rsidRPr="0042420E">
        <w:rPr>
          <w:rStyle w:val="StyleUnderline"/>
        </w:rPr>
        <w:t xml:space="preserve"> that </w:t>
      </w:r>
      <w:r w:rsidRPr="0042420E">
        <w:rPr>
          <w:rStyle w:val="StyleUnderline"/>
          <w:highlight w:val="cyan"/>
        </w:rPr>
        <w:t xml:space="preserve">it has the authority to confer property rights over space </w:t>
      </w:r>
      <w:r w:rsidRPr="00DD6B15">
        <w:rPr>
          <w:rStyle w:val="StyleUnderline"/>
          <w:highlight w:val="cyan"/>
        </w:rPr>
        <w:t>resources</w:t>
      </w:r>
      <w:r>
        <w:t>—an authority traditionally reserved for the owner of a resource</w:t>
      </w:r>
      <w:proofErr w:type="gramStart"/>
      <w:r>
        <w:t xml:space="preserve">. </w:t>
      </w:r>
      <w:proofErr w:type="gramEnd"/>
      <w:r w:rsidRPr="005C49E8">
        <w:rPr>
          <w:rStyle w:val="StyleUnderline"/>
        </w:rPr>
        <w:t xml:space="preserve">This notion </w:t>
      </w:r>
      <w:r w:rsidRPr="0042420E">
        <w:rPr>
          <w:rStyle w:val="StyleUnderline"/>
          <w:highlight w:val="cyan"/>
        </w:rPr>
        <w:t>clashes</w:t>
      </w:r>
      <w:r w:rsidRPr="0042420E">
        <w:rPr>
          <w:rStyle w:val="StyleUnderline"/>
        </w:rPr>
        <w:t xml:space="preserve"> </w:t>
      </w:r>
      <w:r w:rsidRPr="00DD6B15">
        <w:rPr>
          <w:rStyle w:val="StyleUnderline"/>
          <w:highlight w:val="cyan"/>
        </w:rPr>
        <w:t xml:space="preserve">with the </w:t>
      </w:r>
      <w:proofErr w:type="spellStart"/>
      <w:r w:rsidRPr="00DD6B15">
        <w:rPr>
          <w:rStyle w:val="StyleUnderline"/>
          <w:highlight w:val="cyan"/>
        </w:rPr>
        <w:t>nonappropriation</w:t>
      </w:r>
      <w:proofErr w:type="spellEnd"/>
      <w:r w:rsidRPr="00DD6B15">
        <w:rPr>
          <w:rStyle w:val="StyleUnderline"/>
          <w:highlight w:val="cyan"/>
        </w:rPr>
        <w:t xml:space="preserve"> principles of the OST</w:t>
      </w:r>
      <w:proofErr w:type="gramStart"/>
      <w:r w:rsidRPr="005C49E8">
        <w:rPr>
          <w:rStyle w:val="StyleUnderline"/>
        </w:rPr>
        <w:t>.</w:t>
      </w:r>
      <w:r>
        <w:t xml:space="preserve"> </w:t>
      </w:r>
      <w:proofErr w:type="gramEnd"/>
      <w:r>
        <w:t xml:space="preserve">Though there is no consensus regarding whether the </w:t>
      </w:r>
      <w:proofErr w:type="spellStart"/>
      <w:r>
        <w:t>nonappropriation</w:t>
      </w:r>
      <w:proofErr w:type="spellEnd"/>
      <w:r>
        <w:t xml:space="preserve"> principle prohibits claims of sovereignty over </w:t>
      </w:r>
      <w:r w:rsidRPr="0042420E">
        <w:t xml:space="preserve">resources, </w:t>
      </w:r>
      <w:r w:rsidRPr="0042420E">
        <w:rPr>
          <w:rStyle w:val="StyleUnderline"/>
        </w:rPr>
        <w:t xml:space="preserve">a strong consensus at least exists that </w:t>
      </w:r>
      <w:r w:rsidRPr="00DD6B15">
        <w:rPr>
          <w:rStyle w:val="StyleUnderline"/>
          <w:highlight w:val="cyan"/>
        </w:rPr>
        <w:t xml:space="preserve">the principle prohibits </w:t>
      </w:r>
      <w:r w:rsidRPr="0042420E">
        <w:rPr>
          <w:rStyle w:val="StyleUnderline"/>
        </w:rPr>
        <w:t xml:space="preserve">states from claiming </w:t>
      </w:r>
      <w:r w:rsidRPr="00DD6B15">
        <w:rPr>
          <w:rStyle w:val="StyleUnderline"/>
          <w:highlight w:val="cyan"/>
        </w:rPr>
        <w:t>sovereignty over real property in space</w:t>
      </w:r>
      <w:r>
        <w:t xml:space="preserve">.216 </w:t>
      </w:r>
      <w:r w:rsidRPr="005C49E8">
        <w:rPr>
          <w:rStyle w:val="StyleUnderline"/>
        </w:rPr>
        <w:t>In</w:t>
      </w:r>
      <w:r>
        <w:t xml:space="preserve"> some </w:t>
      </w:r>
      <w:r w:rsidRPr="005C49E8">
        <w:rPr>
          <w:rStyle w:val="StyleUnderline"/>
        </w:rPr>
        <w:t>traditional systems of mineral ownership</w:t>
      </w:r>
      <w:r>
        <w:t xml:space="preserve">, however, </w:t>
      </w:r>
      <w:r w:rsidRPr="00DD6B15">
        <w:rPr>
          <w:rStyle w:val="StyleUnderline"/>
          <w:highlight w:val="cyan"/>
        </w:rPr>
        <w:t>ownership over resources ran with ownership over land</w:t>
      </w:r>
      <w:r>
        <w:t xml:space="preserve">.217 For example, </w:t>
      </w:r>
      <w:r w:rsidRPr="005C49E8">
        <w:rPr>
          <w:rStyle w:val="StyleUnderline"/>
        </w:rPr>
        <w:t>under Roman law, property rights over subsurface minerals belonged to the landowner</w:t>
      </w:r>
      <w:r>
        <w:t>.218 Thus</w:t>
      </w:r>
      <w:r w:rsidRPr="0042420E">
        <w:t xml:space="preserve">, </w:t>
      </w:r>
      <w:r w:rsidRPr="0042420E">
        <w:rPr>
          <w:rStyle w:val="Emphasis"/>
        </w:rPr>
        <w:t xml:space="preserve">if the United States cannot have title in space lands under the </w:t>
      </w:r>
      <w:proofErr w:type="spellStart"/>
      <w:r w:rsidRPr="0042420E">
        <w:rPr>
          <w:rStyle w:val="Emphasis"/>
        </w:rPr>
        <w:t>nonappropriation</w:t>
      </w:r>
      <w:proofErr w:type="spellEnd"/>
      <w:r w:rsidRPr="0042420E">
        <w:rPr>
          <w:rStyle w:val="Emphasis"/>
        </w:rPr>
        <w:t xml:space="preserve"> principle,</w:t>
      </w:r>
      <w:r w:rsidRPr="00DD6B15">
        <w:rPr>
          <w:rStyle w:val="Emphasis"/>
          <w:highlight w:val="cyan"/>
        </w:rPr>
        <w:t xml:space="preserve"> it cannot have title to the space resources in those lands either</w:t>
      </w:r>
      <w:r w:rsidRPr="005C49E8">
        <w:rPr>
          <w:rStyle w:val="Emphasis"/>
        </w:rPr>
        <w:t>.</w:t>
      </w:r>
      <w:r>
        <w:t xml:space="preserve"> </w:t>
      </w:r>
      <w:r w:rsidRPr="005C49E8">
        <w:rPr>
          <w:rStyle w:val="StyleUnderline"/>
        </w:rPr>
        <w:t xml:space="preserve">Without title to the resources, the United States </w:t>
      </w:r>
      <w:r w:rsidRPr="0042420E">
        <w:rPr>
          <w:rStyle w:val="StyleUnderline"/>
        </w:rPr>
        <w:t>cannot bestow such title to its citizens</w:t>
      </w:r>
      <w:r>
        <w:t xml:space="preserve"> under traditional international property law; by claiming that it can bestow such title, the United States is abrogating Article II of the OST</w:t>
      </w:r>
      <w:proofErr w:type="gramStart"/>
      <w:r>
        <w:t xml:space="preserve">. </w:t>
      </w:r>
      <w:proofErr w:type="gramEnd"/>
      <w:r>
        <w:t xml:space="preserve">One could also argue that </w:t>
      </w:r>
      <w:r w:rsidRPr="005C49E8">
        <w:rPr>
          <w:rStyle w:val="StyleUnderline"/>
        </w:rPr>
        <w:t xml:space="preserve">the in situ resources the Act grants rights in are actually still part of the celestial bodies; thus, </w:t>
      </w:r>
      <w:r w:rsidRPr="0042420E">
        <w:rPr>
          <w:rStyle w:val="StyleUnderline"/>
        </w:rPr>
        <w:t xml:space="preserve">the </w:t>
      </w:r>
      <w:r w:rsidRPr="00DD6B15">
        <w:rPr>
          <w:rStyle w:val="StyleUnderline"/>
          <w:highlight w:val="cyan"/>
        </w:rPr>
        <w:t xml:space="preserve">resources are real property </w:t>
      </w:r>
      <w:r w:rsidRPr="0042420E">
        <w:rPr>
          <w:rStyle w:val="StyleUnderline"/>
        </w:rPr>
        <w:t>prior to their removal, and are off limits</w:t>
      </w:r>
      <w:r>
        <w:t xml:space="preserve"> under the Treaty.219 Given the limited import of the cited examples of state practice (limited quantity and scientific versus large-scale and commercial), the </w:t>
      </w:r>
      <w:r w:rsidRPr="0042420E">
        <w:rPr>
          <w:rStyle w:val="StyleUnderline"/>
        </w:rPr>
        <w:t xml:space="preserve">traditional practice of property rights being conferred from a sovereign to a citizen become incredibly compelling and suggest </w:t>
      </w:r>
      <w:r w:rsidRPr="0042420E">
        <w:rPr>
          <w:rStyle w:val="Emphasis"/>
        </w:rPr>
        <w:t>the SREU Act may abrogate the United States’ treaty obligations.</w:t>
      </w:r>
    </w:p>
    <w:p w14:paraId="2FA53C20" w14:textId="77777777" w:rsidR="00085700" w:rsidRDefault="00085700" w:rsidP="00085700">
      <w:pPr>
        <w:pStyle w:val="Heading4"/>
      </w:pPr>
      <w:r>
        <w:t xml:space="preserve">2] </w:t>
      </w:r>
      <w:proofErr w:type="spellStart"/>
      <w:r>
        <w:t>Counterinterp</w:t>
      </w:r>
      <w:proofErr w:type="spellEnd"/>
      <w:r>
        <w:t>: “</w:t>
      </w:r>
      <w:r w:rsidRPr="005C49E8">
        <w:t>Appropriation</w:t>
      </w:r>
      <w:r>
        <w:t>” includes claims to natural resources, not just real property</w:t>
      </w:r>
      <w:r w:rsidRPr="005C49E8">
        <w:t>.</w:t>
      </w:r>
      <w:r>
        <w:t xml:space="preserve"> </w:t>
      </w:r>
    </w:p>
    <w:p w14:paraId="71005164" w14:textId="77777777" w:rsidR="00085700" w:rsidRPr="005C49E8" w:rsidRDefault="00085700" w:rsidP="00085700">
      <w:r>
        <w:t xml:space="preserve">Amanda M. </w:t>
      </w:r>
      <w:r w:rsidRPr="00C62263">
        <w:rPr>
          <w:rStyle w:val="Style13ptBold"/>
        </w:rPr>
        <w:t>Leon</w:t>
      </w:r>
      <w:r>
        <w:t xml:space="preserve">, Associate*, Caplin &amp; Drysdale, </w:t>
      </w:r>
      <w:proofErr w:type="spellStart"/>
      <w:r>
        <w:t>Chtd</w:t>
      </w:r>
      <w:proofErr w:type="spellEnd"/>
      <w:r>
        <w:t xml:space="preserve">., </w:t>
      </w:r>
      <w:r w:rsidRPr="00C62263">
        <w:rPr>
          <w:rStyle w:val="Style13ptBold"/>
        </w:rPr>
        <w:t>’18</w:t>
      </w:r>
      <w:r>
        <w:t xml:space="preserve">, Virginia Law Review [“MINING FOR MEANING: AN EXAMINATION OF THE LEGALITY OF PROPERTY RIGHTS IN SPACE RESOURCES” Vol. 104:497 2018] </w:t>
      </w:r>
    </w:p>
    <w:p w14:paraId="343F6B41" w14:textId="77777777" w:rsidR="00085700" w:rsidRPr="005C49E8" w:rsidRDefault="00085700" w:rsidP="00085700">
      <w:r>
        <w:t>Appropriation</w:t>
      </w:r>
      <w:proofErr w:type="gramStart"/>
      <w:r>
        <w:t xml:space="preserve">. </w:t>
      </w:r>
      <w:proofErr w:type="gramEnd"/>
      <w:r>
        <w:t>The term “appropriation” also remains ambiguous</w:t>
      </w:r>
      <w:proofErr w:type="gramStart"/>
      <w:r>
        <w:t xml:space="preserve">. </w:t>
      </w:r>
      <w:proofErr w:type="gramEnd"/>
      <w:r>
        <w:t xml:space="preserve">Webster’s defines the verb “appropriate” as “to take to oneself in exclusion of others; to claim or use as by an exclusive or pre-eminent right; as, let no man appropriate a common benefit.”165 Similarly, </w:t>
      </w:r>
      <w:r w:rsidRPr="0042420E">
        <w:rPr>
          <w:rStyle w:val="StyleUnderline"/>
        </w:rPr>
        <w:t xml:space="preserve">Black’s Law Dictionary describes </w:t>
      </w:r>
      <w:r w:rsidRPr="00DD6B15">
        <w:rPr>
          <w:rStyle w:val="StyleUnderline"/>
          <w:highlight w:val="cyan"/>
        </w:rPr>
        <w:t>“appropriate” as an act “[t]o make a thing one’s own</w:t>
      </w:r>
      <w:r w:rsidRPr="0028278F">
        <w:rPr>
          <w:rStyle w:val="StyleUnderline"/>
        </w:rPr>
        <w:t xml:space="preserve">; </w:t>
      </w:r>
      <w:r>
        <w:t xml:space="preserve">to make a thing the subject of property; to exercise dominion over an object to the extent, and for the purpose, of making it subserve one’s own proper use or pleasure.”166 Oftentimes, appropriation refers to the setting aside of government funds, </w:t>
      </w:r>
      <w:r>
        <w:lastRenderedPageBreak/>
        <w:t xml:space="preserve">the taking of land for public purposes, or a tort of wrongfully taking another’s property as one’s own. The term </w:t>
      </w:r>
      <w:r w:rsidRPr="0042420E">
        <w:rPr>
          <w:rStyle w:val="StyleUnderline"/>
        </w:rPr>
        <w:t>appropriation is</w:t>
      </w:r>
      <w:r w:rsidRPr="0028278F">
        <w:rPr>
          <w:rStyle w:val="StyleUnderline"/>
        </w:rPr>
        <w:t xml:space="preserve"> often </w:t>
      </w:r>
      <w:r w:rsidRPr="0042420E">
        <w:rPr>
          <w:rStyle w:val="StyleUnderline"/>
        </w:rPr>
        <w:t>used</w:t>
      </w:r>
      <w:r w:rsidRPr="0028278F">
        <w:rPr>
          <w:rStyle w:val="StyleUnderline"/>
        </w:rPr>
        <w:t xml:space="preserve"> not only with respect to real property but also </w:t>
      </w:r>
      <w:r w:rsidRPr="0042420E">
        <w:rPr>
          <w:rStyle w:val="StyleUnderline"/>
        </w:rPr>
        <w:t>with water</w:t>
      </w:r>
      <w:proofErr w:type="gramStart"/>
      <w:r>
        <w:t xml:space="preserve">. </w:t>
      </w:r>
      <w:proofErr w:type="gramEnd"/>
      <w:r w:rsidRPr="0028278F">
        <w:rPr>
          <w:rStyle w:val="Emphasis"/>
        </w:rPr>
        <w:t>According to U.S. case law</w:t>
      </w:r>
      <w:r w:rsidRPr="0028278F">
        <w:rPr>
          <w:rStyle w:val="StyleUnderline"/>
        </w:rPr>
        <w:t xml:space="preserve">, </w:t>
      </w:r>
      <w:r w:rsidRPr="00DD6B15">
        <w:rPr>
          <w:rStyle w:val="StyleUnderline"/>
          <w:highlight w:val="cyan"/>
        </w:rPr>
        <w:t xml:space="preserve">a person completes </w:t>
      </w:r>
      <w:r w:rsidRPr="0042420E">
        <w:rPr>
          <w:rStyle w:val="StyleUnderline"/>
        </w:rPr>
        <w:t xml:space="preserve">an </w:t>
      </w:r>
      <w:r w:rsidRPr="00DD6B15">
        <w:rPr>
          <w:rStyle w:val="StyleUnderline"/>
          <w:highlight w:val="cyan"/>
        </w:rPr>
        <w:t xml:space="preserve">appropriation of water by diversion </w:t>
      </w:r>
      <w:r w:rsidRPr="0042420E">
        <w:rPr>
          <w:rStyle w:val="StyleUnderline"/>
        </w:rPr>
        <w:t xml:space="preserve">of the water </w:t>
      </w:r>
      <w:r w:rsidRPr="00DD6B15">
        <w:rPr>
          <w:rStyle w:val="StyleUnderline"/>
          <w:highlight w:val="cyan"/>
        </w:rPr>
        <w:t xml:space="preserve">and </w:t>
      </w:r>
      <w:r w:rsidRPr="0042420E">
        <w:rPr>
          <w:rStyle w:val="StyleUnderline"/>
        </w:rPr>
        <w:t xml:space="preserve">an </w:t>
      </w:r>
      <w:r w:rsidRPr="0042420E">
        <w:rPr>
          <w:rStyle w:val="StyleUnderline"/>
          <w:highlight w:val="cyan"/>
        </w:rPr>
        <w:t>application</w:t>
      </w:r>
      <w:r w:rsidRPr="0042420E">
        <w:rPr>
          <w:rStyle w:val="StyleUnderline"/>
        </w:rPr>
        <w:t xml:space="preserve"> of the water </w:t>
      </w:r>
      <w:r w:rsidRPr="00DD6B15">
        <w:rPr>
          <w:rStyle w:val="StyleUnderline"/>
          <w:highlight w:val="cyan"/>
        </w:rPr>
        <w:t>to beneficial use</w:t>
      </w:r>
      <w:r>
        <w:t xml:space="preserve">.167 </w:t>
      </w:r>
      <w:r w:rsidRPr="0028278F">
        <w:rPr>
          <w:rStyle w:val="StyleUnderline"/>
        </w:rPr>
        <w:t>This common use of the term “</w:t>
      </w:r>
      <w:r w:rsidRPr="0042420E">
        <w:rPr>
          <w:rStyle w:val="StyleUnderline"/>
        </w:rPr>
        <w:t>appropriation</w:t>
      </w:r>
      <w:r w:rsidRPr="0028278F">
        <w:rPr>
          <w:rStyle w:val="StyleUnderline"/>
        </w:rPr>
        <w:t>” with respect to water illustrate</w:t>
      </w:r>
      <w:r>
        <w:t xml:space="preserve">s two key points: </w:t>
      </w:r>
      <w:r w:rsidRPr="0028278F">
        <w:rPr>
          <w:rStyle w:val="StyleUnderline"/>
        </w:rPr>
        <w:t>(</w:t>
      </w:r>
      <w:r w:rsidRPr="00DD6B15">
        <w:rPr>
          <w:rStyle w:val="StyleUnderline"/>
          <w:highlight w:val="cyan"/>
        </w:rPr>
        <w:t>1) the term applies to natural resources</w:t>
      </w:r>
      <w:r>
        <w:t>—e.g., water or minerals—</w:t>
      </w:r>
      <w:r w:rsidRPr="00DD6B15">
        <w:rPr>
          <w:rStyle w:val="Emphasis"/>
          <w:highlight w:val="cyan"/>
        </w:rPr>
        <w:t>not just real property</w:t>
      </w:r>
      <w:r w:rsidRPr="00DD6B15">
        <w:rPr>
          <w:highlight w:val="cyan"/>
        </w:rPr>
        <w:t xml:space="preserve">, </w:t>
      </w:r>
      <w:r w:rsidRPr="0042420E">
        <w:rPr>
          <w:rStyle w:val="StyleUnderline"/>
        </w:rPr>
        <w:t xml:space="preserve">and </w:t>
      </w:r>
      <w:r w:rsidRPr="00DD6B15">
        <w:rPr>
          <w:rStyle w:val="StyleUnderline"/>
          <w:highlight w:val="cyan"/>
        </w:rPr>
        <w:t xml:space="preserve">(2) </w:t>
      </w:r>
      <w:r w:rsidRPr="00DD6B15">
        <w:rPr>
          <w:rStyle w:val="Emphasis"/>
          <w:highlight w:val="cyan"/>
        </w:rPr>
        <w:t>mining space resources</w:t>
      </w:r>
      <w:r w:rsidRPr="00DD6B15">
        <w:rPr>
          <w:rStyle w:val="StyleUnderline"/>
          <w:highlight w:val="cyan"/>
        </w:rPr>
        <w:t xml:space="preserve"> </w:t>
      </w:r>
      <w:r w:rsidRPr="0042420E">
        <w:rPr>
          <w:rStyle w:val="StyleUnderline"/>
        </w:rPr>
        <w:t>and putting them to beneficial use</w:t>
      </w:r>
      <w:r w:rsidRPr="00DD6B15">
        <w:rPr>
          <w:highlight w:val="cyan"/>
        </w:rPr>
        <w:t>—</w:t>
      </w:r>
      <w:r w:rsidRPr="00DD6B15">
        <w:rPr>
          <w:rStyle w:val="StyleUnderline"/>
          <w:highlight w:val="cyan"/>
        </w:rPr>
        <w:t>e.g., selling</w:t>
      </w:r>
      <w:r w:rsidRPr="0028278F">
        <w:rPr>
          <w:rStyle w:val="StyleUnderline"/>
        </w:rPr>
        <w:t xml:space="preserve"> or manufacturing the mined resources</w:t>
      </w:r>
      <w:r w:rsidRPr="00DD6B15">
        <w:rPr>
          <w:highlight w:val="cyan"/>
        </w:rPr>
        <w:t xml:space="preserve">— </w:t>
      </w:r>
      <w:r w:rsidRPr="00DD6B15">
        <w:rPr>
          <w:rStyle w:val="StyleUnderline"/>
          <w:highlight w:val="cyan"/>
        </w:rPr>
        <w:t xml:space="preserve">could </w:t>
      </w:r>
      <w:r w:rsidRPr="0042420E">
        <w:rPr>
          <w:rStyle w:val="StyleUnderline"/>
        </w:rPr>
        <w:t xml:space="preserve">reasonably </w:t>
      </w:r>
      <w:r w:rsidRPr="00DD6B15">
        <w:rPr>
          <w:rStyle w:val="StyleUnderline"/>
          <w:highlight w:val="cyan"/>
        </w:rPr>
        <w:t>be interpreted as an “appropriation” of outer space.</w:t>
      </w:r>
      <w:r>
        <w:t xml:space="preserve"> While the ordinary meaning of “appropriation” reasonably includes the taking of natural resources as well as land, whether the drafters and parties to the OST envisioned such a broad meaning of the term remains difficult to determine with any certainty</w:t>
      </w:r>
      <w:proofErr w:type="gramStart"/>
      <w:r>
        <w:t xml:space="preserve">. </w:t>
      </w:r>
      <w:proofErr w:type="gramEnd"/>
      <w:r w:rsidRPr="0028278F">
        <w:rPr>
          <w:rStyle w:val="StyleUnderline"/>
        </w:rPr>
        <w:t>The prohibition against appropriation “by any other means” supports such a reading</w:t>
      </w:r>
      <w:r>
        <w:t xml:space="preserve">, though, by expanding the prohibition to other types not explicitly described.168 As illustrated by this analysis, </w:t>
      </w:r>
      <w:r w:rsidRPr="0028278F">
        <w:rPr>
          <w:rStyle w:val="StyleUnderline"/>
        </w:rPr>
        <w:t>considerable ambiguity remains after this ordinary-meaning analysis and thus, the question of Treaty obligations and property rights remains unresolved</w:t>
      </w:r>
      <w:proofErr w:type="gramStart"/>
      <w:r>
        <w:t>. In order to</w:t>
      </w:r>
      <w:proofErr w:type="gramEnd"/>
      <w:r>
        <w:t xml:space="preserve"> resolve these ambiguities, an analysis of preparatory materials, historical context, and state practice follows.</w:t>
      </w:r>
    </w:p>
    <w:p w14:paraId="00027542" w14:textId="77777777" w:rsidR="00085700" w:rsidRPr="00527AB9" w:rsidRDefault="00085700" w:rsidP="00085700">
      <w:pPr>
        <w:pStyle w:val="Heading4"/>
      </w:pPr>
      <w:r>
        <w:t>3</w:t>
      </w:r>
      <w:r w:rsidRPr="0042420E">
        <w:t xml:space="preserve">] </w:t>
      </w:r>
      <w:proofErr w:type="spellStart"/>
      <w:r w:rsidRPr="0042420E">
        <w:t>Aff</w:t>
      </w:r>
      <w:proofErr w:type="spellEnd"/>
      <w:r w:rsidRPr="0042420E">
        <w:t xml:space="preserve"> flex---they overlimit</w:t>
      </w:r>
      <w:r>
        <w:t>, and</w:t>
      </w:r>
      <w:r w:rsidRPr="0042420E">
        <w:t xml:space="preserve"> under their </w:t>
      </w:r>
      <w:proofErr w:type="spellStart"/>
      <w:r w:rsidRPr="0042420E">
        <w:t>interp</w:t>
      </w:r>
      <w:proofErr w:type="spellEnd"/>
      <w:r>
        <w:t xml:space="preserve">, </w:t>
      </w:r>
      <w:r w:rsidRPr="0042420E">
        <w:t xml:space="preserve">only one </w:t>
      </w:r>
      <w:proofErr w:type="spellStart"/>
      <w:r>
        <w:t>aff</w:t>
      </w:r>
      <w:proofErr w:type="spellEnd"/>
      <w:r w:rsidRPr="0042420E">
        <w:t xml:space="preserve"> which is </w:t>
      </w:r>
      <w:proofErr w:type="spellStart"/>
      <w:r>
        <w:t>sovereinty</w:t>
      </w:r>
      <w:proofErr w:type="spellEnd"/>
      <w:proofErr w:type="gramStart"/>
      <w:r w:rsidRPr="0042420E">
        <w:t xml:space="preserve">. </w:t>
      </w:r>
      <w:proofErr w:type="gramEnd"/>
      <w:r w:rsidRPr="0042420E">
        <w:t>The topic literature isn’t about complete control because no private entity has</w:t>
      </w:r>
      <w:r>
        <w:t xml:space="preserve"> tech</w:t>
      </w:r>
      <w:r w:rsidRPr="0042420E">
        <w:t xml:space="preserve"> to dominate entire regions of space yet, it’s about mining or rovers or testing because that’s what’s </w:t>
      </w:r>
      <w:r>
        <w:t>feasible</w:t>
      </w:r>
      <w:r w:rsidRPr="0042420E">
        <w:t xml:space="preserve"> now---this internal link turns their topic literature argument because it proves that we’re the core controversy</w:t>
      </w:r>
      <w:proofErr w:type="gramStart"/>
      <w:r>
        <w:t xml:space="preserve">. </w:t>
      </w:r>
      <w:proofErr w:type="spellStart"/>
      <w:proofErr w:type="gramEnd"/>
      <w:r>
        <w:t>Overlimiting</w:t>
      </w:r>
      <w:proofErr w:type="spellEnd"/>
      <w:r>
        <w:t xml:space="preserve"> is worse---functional limits check </w:t>
      </w:r>
      <w:proofErr w:type="spellStart"/>
      <w:r>
        <w:t>underlimiting</w:t>
      </w:r>
      <w:proofErr w:type="spellEnd"/>
      <w:r>
        <w:t xml:space="preserve"> whereas </w:t>
      </w:r>
      <w:proofErr w:type="spellStart"/>
      <w:r>
        <w:t>overlimiting</w:t>
      </w:r>
      <w:proofErr w:type="spellEnd"/>
      <w:r>
        <w:t xml:space="preserve"> forecloses topic creativity</w:t>
      </w:r>
      <w:proofErr w:type="gramStart"/>
      <w:r>
        <w:t xml:space="preserve">. </w:t>
      </w:r>
      <w:proofErr w:type="gramEnd"/>
      <w:r>
        <w:t xml:space="preserve">Their </w:t>
      </w:r>
      <w:proofErr w:type="spellStart"/>
      <w:r>
        <w:t>interp</w:t>
      </w:r>
      <w:proofErr w:type="spellEnd"/>
      <w:r>
        <w:t xml:space="preserve"> means the only </w:t>
      </w:r>
      <w:proofErr w:type="spellStart"/>
      <w:r>
        <w:t>aff</w:t>
      </w:r>
      <w:proofErr w:type="spellEnd"/>
      <w:r>
        <w:t xml:space="preserve"> is space col bad which is non-inherent.</w:t>
      </w:r>
    </w:p>
    <w:p w14:paraId="310250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5700"/>
    <w:rsid w:val="000139A3"/>
    <w:rsid w:val="0008570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2A1BA"/>
  <w15:chartTrackingRefBased/>
  <w15:docId w15:val="{67D3A9A9-5624-48B2-8BCB-E29568B4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5700"/>
    <w:rPr>
      <w:rFonts w:ascii="Calibri" w:hAnsi="Calibri"/>
    </w:rPr>
  </w:style>
  <w:style w:type="paragraph" w:styleId="Heading1">
    <w:name w:val="heading 1"/>
    <w:aliases w:val="Pocket"/>
    <w:basedOn w:val="Normal"/>
    <w:next w:val="Normal"/>
    <w:link w:val="Heading1Char"/>
    <w:qFormat/>
    <w:rsid w:val="000857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57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857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857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57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700"/>
  </w:style>
  <w:style w:type="character" w:customStyle="1" w:styleId="Heading1Char">
    <w:name w:val="Heading 1 Char"/>
    <w:aliases w:val="Pocket Char"/>
    <w:basedOn w:val="DefaultParagraphFont"/>
    <w:link w:val="Heading1"/>
    <w:rsid w:val="000857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570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8570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8570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857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570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85700"/>
    <w:rPr>
      <w:b w:val="0"/>
      <w:sz w:val="22"/>
      <w:u w:val="single"/>
    </w:rPr>
  </w:style>
  <w:style w:type="character" w:styleId="Hyperlink">
    <w:name w:val="Hyperlink"/>
    <w:basedOn w:val="DefaultParagraphFont"/>
    <w:uiPriority w:val="99"/>
    <w:semiHidden/>
    <w:unhideWhenUsed/>
    <w:rsid w:val="00085700"/>
    <w:rPr>
      <w:color w:val="auto"/>
      <w:u w:val="none"/>
    </w:rPr>
  </w:style>
  <w:style w:type="character" w:styleId="FollowedHyperlink">
    <w:name w:val="FollowedHyperlink"/>
    <w:basedOn w:val="DefaultParagraphFont"/>
    <w:uiPriority w:val="99"/>
    <w:semiHidden/>
    <w:unhideWhenUsed/>
    <w:rsid w:val="00085700"/>
    <w:rPr>
      <w:color w:val="auto"/>
      <w:u w:val="none"/>
    </w:rPr>
  </w:style>
  <w:style w:type="paragraph" w:customStyle="1" w:styleId="Emphasis1">
    <w:name w:val="Emphasis1"/>
    <w:basedOn w:val="Normal"/>
    <w:link w:val="Emphasis"/>
    <w:autoRedefine/>
    <w:uiPriority w:val="7"/>
    <w:qFormat/>
    <w:rsid w:val="0008570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2</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2022-01-07T17:06:00Z</dcterms:created>
  <dcterms:modified xsi:type="dcterms:W3CDTF">2022-01-07T18:26:00Z</dcterms:modified>
</cp:coreProperties>
</file>