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496883" w14:textId="77777777" w:rsidR="00A001E1" w:rsidRDefault="00A001E1" w:rsidP="00A001E1">
      <w:pPr>
        <w:pStyle w:val="Heading4"/>
        <w:rPr>
          <w:rFonts w:eastAsia="Times New Roman" w:cs="Calibri"/>
        </w:rPr>
      </w:pPr>
      <w:r w:rsidRPr="009A3C02">
        <w:rPr>
          <w:rFonts w:eastAsia="Times New Roman" w:cs="Calibri"/>
        </w:rPr>
        <w:t xml:space="preserve">The reason morality exists in the first place is to regulate our actions towards others. If any moral code is not motivational then there is no reason to do what is right and that code merely fails to escape the skeptical conclusion. Motivational externalism collapses into </w:t>
      </w:r>
      <w:proofErr w:type="spellStart"/>
      <w:r w:rsidRPr="009A3C02">
        <w:rPr>
          <w:rFonts w:eastAsia="Times New Roman" w:cs="Calibri"/>
        </w:rPr>
        <w:t>internalism</w:t>
      </w:r>
      <w:proofErr w:type="spellEnd"/>
      <w:r w:rsidRPr="009A3C02">
        <w:rPr>
          <w:rFonts w:eastAsia="Times New Roman" w:cs="Calibri"/>
        </w:rPr>
        <w:t>.</w:t>
      </w:r>
    </w:p>
    <w:p w14:paraId="473B17BF" w14:textId="77777777" w:rsidR="00A001E1" w:rsidRPr="009A3C02" w:rsidRDefault="00A001E1" w:rsidP="00A001E1">
      <w:r w:rsidRPr="009A3C02">
        <w:rPr>
          <w:b/>
          <w:bCs/>
          <w:sz w:val="26"/>
          <w:szCs w:val="26"/>
        </w:rPr>
        <w:t>Joyce</w:t>
      </w:r>
      <w:r>
        <w:rPr>
          <w:b/>
          <w:bCs/>
          <w:sz w:val="26"/>
          <w:szCs w:val="26"/>
        </w:rPr>
        <w:t xml:space="preserve"> 1</w:t>
      </w:r>
      <w:r>
        <w:rPr>
          <w:sz w:val="18"/>
          <w:szCs w:val="18"/>
        </w:rPr>
        <w:t xml:space="preserve">, Richard (Professor of Philosophy at Victoria University Wellington, New Zealand). </w:t>
      </w:r>
      <w:proofErr w:type="gramStart"/>
      <w:r>
        <w:rPr>
          <w:sz w:val="18"/>
          <w:szCs w:val="18"/>
        </w:rPr>
        <w:t>The Myth of Morality.</w:t>
      </w:r>
      <w:proofErr w:type="gramEnd"/>
      <w:r>
        <w:rPr>
          <w:sz w:val="18"/>
          <w:szCs w:val="18"/>
        </w:rPr>
        <w:t xml:space="preserve"> 2001</w:t>
      </w:r>
      <w:r w:rsidRPr="009A3C02">
        <w:rPr>
          <w:sz w:val="16"/>
          <w:szCs w:val="16"/>
        </w:rPr>
        <w:t>. [Bracketed for grammatical clarity]</w:t>
      </w:r>
      <w:r>
        <w:rPr>
          <w:sz w:val="16"/>
          <w:szCs w:val="16"/>
        </w:rPr>
        <w:t xml:space="preserve"> //Park City NL</w:t>
      </w:r>
    </w:p>
    <w:p w14:paraId="410AD008" w14:textId="77777777" w:rsidR="00A001E1" w:rsidRDefault="00A001E1" w:rsidP="00A001E1">
      <w:pPr>
        <w:rPr>
          <w:rStyle w:val="Emphasis"/>
          <w:sz w:val="24"/>
        </w:rPr>
      </w:pPr>
      <w:proofErr w:type="gramStart"/>
      <w:r w:rsidRPr="00A001E1">
        <w:rPr>
          <w:color w:val="000000"/>
          <w:sz w:val="16"/>
        </w:rPr>
        <w:t>Back to the</w:t>
      </w:r>
      <w:r w:rsidRPr="00A001E1">
        <w:rPr>
          <w:sz w:val="16"/>
        </w:rPr>
        <w:t xml:space="preserve"> </w:t>
      </w:r>
      <w:r w:rsidRPr="00A001E1">
        <w:rPr>
          <w:color w:val="000000"/>
          <w:sz w:val="16"/>
        </w:rPr>
        <w:t>[Suppose] external reason[s].</w:t>
      </w:r>
      <w:proofErr w:type="gramEnd"/>
      <w:r w:rsidRPr="00A001E1">
        <w:rPr>
          <w:color w:val="000000"/>
          <w:sz w:val="16"/>
        </w:rPr>
        <w:t xml:space="preserve"> Suppose it were claimed, instead, that I have a reason to refrain from drinking the coffee because it is </w:t>
      </w:r>
      <w:proofErr w:type="spellStart"/>
      <w:r w:rsidRPr="00A001E1">
        <w:rPr>
          <w:color w:val="000000"/>
          <w:sz w:val="16"/>
        </w:rPr>
        <w:t>tapu</w:t>
      </w:r>
      <w:proofErr w:type="spellEnd"/>
      <w:r w:rsidRPr="00A001E1">
        <w:rPr>
          <w:color w:val="000000"/>
          <w:sz w:val="16"/>
        </w:rPr>
        <w:t xml:space="preserve"> and must not be touched. This reason claim will be urged regardless of what I may say about my indifference to </w:t>
      </w:r>
      <w:proofErr w:type="spellStart"/>
      <w:r w:rsidRPr="00A001E1">
        <w:rPr>
          <w:color w:val="000000"/>
          <w:sz w:val="16"/>
        </w:rPr>
        <w:t>tapu</w:t>
      </w:r>
      <w:proofErr w:type="spellEnd"/>
      <w:r w:rsidRPr="00A001E1">
        <w:rPr>
          <w:color w:val="000000"/>
          <w:sz w:val="16"/>
        </w:rPr>
        <w:t>, or my citing of nihilistic desires to tempt the hand of fate. [</w:t>
      </w:r>
      <w:proofErr w:type="gramStart"/>
      <w:r w:rsidRPr="00A001E1">
        <w:rPr>
          <w:color w:val="000000"/>
          <w:sz w:val="16"/>
        </w:rPr>
        <w:t>r]</w:t>
      </w:r>
      <w:proofErr w:type="spellStart"/>
      <w:r w:rsidRPr="00A001E1">
        <w:rPr>
          <w:color w:val="000000"/>
          <w:sz w:val="16"/>
        </w:rPr>
        <w:t>egardless</w:t>
      </w:r>
      <w:proofErr w:type="spellEnd"/>
      <w:proofErr w:type="gramEnd"/>
      <w:r w:rsidRPr="00A001E1">
        <w:rPr>
          <w:color w:val="000000"/>
          <w:sz w:val="16"/>
        </w:rPr>
        <w:t xml:space="preserve"> of my desires (it is claimed) I ought not drink - l have a reason not to drink</w:t>
      </w:r>
      <w:r w:rsidRPr="00A001E1">
        <w:rPr>
          <w:color w:val="000000"/>
          <w:u w:val="single"/>
        </w:rPr>
        <w:t xml:space="preserve">. </w:t>
      </w:r>
      <w:r w:rsidRPr="00A001E1">
        <w:rPr>
          <w:rStyle w:val="Emphasis"/>
          <w:sz w:val="24"/>
        </w:rPr>
        <w:t xml:space="preserve">But how could that reason ever explain any action of mine? Could the external reason even explain </w:t>
      </w:r>
      <w:proofErr w:type="gramStart"/>
      <w:r w:rsidRPr="00A001E1">
        <w:rPr>
          <w:rStyle w:val="Emphasis"/>
          <w:sz w:val="24"/>
        </w:rPr>
        <w:t>my [action] from</w:t>
      </w:r>
      <w:proofErr w:type="gramEnd"/>
      <w:r w:rsidRPr="00A001E1">
        <w:rPr>
          <w:rStyle w:val="Emphasis"/>
          <w:sz w:val="24"/>
        </w:rPr>
        <w:t xml:space="preserve"> drinking?</w:t>
      </w:r>
      <w:r w:rsidRPr="00A001E1">
        <w:rPr>
          <w:sz w:val="16"/>
        </w:rPr>
        <w:t xml:space="preserve"> </w:t>
      </w:r>
      <w:r w:rsidRPr="00A001E1">
        <w:rPr>
          <w:color w:val="000000"/>
          <w:sz w:val="16"/>
        </w:rPr>
        <w:t>Clearly,</w:t>
      </w:r>
      <w:r w:rsidRPr="00A001E1">
        <w:rPr>
          <w:sz w:val="16"/>
        </w:rPr>
        <w:t xml:space="preserve"> </w:t>
      </w:r>
      <w:r w:rsidRPr="00A001E1">
        <w:rPr>
          <w:color w:val="000000"/>
          <w:sz w:val="16"/>
        </w:rPr>
        <w:t>in order to explain</w:t>
      </w:r>
      <w:r w:rsidRPr="00A001E1">
        <w:rPr>
          <w:color w:val="000000"/>
          <w:u w:val="single"/>
        </w:rPr>
        <w:t xml:space="preserve"> </w:t>
      </w:r>
      <w:r w:rsidRPr="00A001E1">
        <w:rPr>
          <w:rStyle w:val="Emphasis"/>
          <w:sz w:val="24"/>
          <w:highlight w:val="cyan"/>
        </w:rPr>
        <w:t>it the external reason must have some causally efficacious role [in]</w:t>
      </w:r>
      <w:r w:rsidRPr="00A001E1">
        <w:rPr>
          <w:rStyle w:val="Emphasis"/>
          <w:sz w:val="24"/>
        </w:rPr>
        <w:t xml:space="preserve"> among the antecedents of </w:t>
      </w:r>
      <w:r w:rsidRPr="00A001E1">
        <w:rPr>
          <w:rStyle w:val="Emphasis"/>
          <w:sz w:val="24"/>
          <w:highlight w:val="cyan"/>
        </w:rPr>
        <w:t>the action</w:t>
      </w:r>
      <w:r w:rsidRPr="00A001E1">
        <w:rPr>
          <w:rStyle w:val="Emphasis"/>
          <w:sz w:val="24"/>
        </w:rPr>
        <w:t xml:space="preserve"> (in this c</w:t>
      </w:r>
      <w:r>
        <w:rPr>
          <w:rStyle w:val="Emphasis"/>
          <w:sz w:val="24"/>
        </w:rPr>
        <w:t xml:space="preserve">ase, an omission) — </w:t>
      </w:r>
      <w:r w:rsidRPr="00A001E1">
        <w:rPr>
          <w:rStyle w:val="Emphasis"/>
          <w:sz w:val="24"/>
          <w:highlight w:val="cyan"/>
        </w:rPr>
        <w:t>l must have</w:t>
      </w:r>
      <w:r w:rsidRPr="00A001E1">
        <w:rPr>
          <w:rStyle w:val="Emphasis"/>
          <w:sz w:val="24"/>
        </w:rPr>
        <w:t xml:space="preserve"> in some manner. </w:t>
      </w:r>
      <w:r w:rsidRPr="00A001E1">
        <w:rPr>
          <w:rStyle w:val="Emphasis"/>
          <w:sz w:val="24"/>
          <w:highlight w:val="cyan"/>
        </w:rPr>
        <w:t>"</w:t>
      </w:r>
      <w:proofErr w:type="gramStart"/>
      <w:r w:rsidRPr="00A001E1">
        <w:rPr>
          <w:rStyle w:val="Emphasis"/>
          <w:sz w:val="24"/>
          <w:highlight w:val="cyan"/>
        </w:rPr>
        <w:t>internalized</w:t>
      </w:r>
      <w:proofErr w:type="gramEnd"/>
      <w:r w:rsidRPr="00A001E1">
        <w:rPr>
          <w:rStyle w:val="Emphasis"/>
          <w:sz w:val="24"/>
          <w:highlight w:val="cyan"/>
        </w:rPr>
        <w:t>" it.</w:t>
      </w:r>
      <w:r w:rsidRPr="00A001E1">
        <w:rPr>
          <w:sz w:val="16"/>
        </w:rPr>
        <w:t xml:space="preserve"> </w:t>
      </w:r>
      <w:r w:rsidRPr="00A001E1">
        <w:rPr>
          <w:color w:val="000000"/>
          <w:sz w:val="16"/>
        </w:rPr>
        <w:t>The only possibility, it would seem, consistent with its being an external reason, is that I believe the external reason claim [but</w:t>
      </w:r>
      <w:proofErr w:type="gramStart"/>
      <w:r w:rsidRPr="00A001E1">
        <w:rPr>
          <w:color w:val="000000"/>
          <w:sz w:val="16"/>
        </w:rPr>
        <w:t>] :</w:t>
      </w:r>
      <w:proofErr w:type="gramEnd"/>
      <w:r w:rsidRPr="00A001E1">
        <w:rPr>
          <w:color w:val="000000"/>
          <w:sz w:val="16"/>
        </w:rPr>
        <w:t xml:space="preserve"> I believe that the coffee is </w:t>
      </w:r>
      <w:proofErr w:type="spellStart"/>
      <w:r w:rsidRPr="00A001E1">
        <w:rPr>
          <w:color w:val="000000"/>
          <w:sz w:val="16"/>
        </w:rPr>
        <w:t>tapu</w:t>
      </w:r>
      <w:proofErr w:type="spellEnd"/>
      <w:r w:rsidRPr="00A001E1">
        <w:rPr>
          <w:color w:val="000000"/>
          <w:sz w:val="16"/>
        </w:rPr>
        <w:t>. There's no doubting that such a belief can play a role in explaining actions - including my refraining from drinking the coffee. The question is whether the</w:t>
      </w:r>
      <w:r w:rsidRPr="00A001E1">
        <w:rPr>
          <w:sz w:val="16"/>
        </w:rPr>
        <w:t xml:space="preserve"> </w:t>
      </w:r>
      <w:r w:rsidRPr="00A001E1">
        <w:rPr>
          <w:color w:val="000000"/>
          <w:u w:val="single"/>
        </w:rPr>
        <w:t xml:space="preserve">belief alone </w:t>
      </w:r>
      <w:proofErr w:type="gramStart"/>
      <w:r w:rsidRPr="00A001E1">
        <w:rPr>
          <w:color w:val="000000"/>
          <w:u w:val="single"/>
        </w:rPr>
        <w:t>can[</w:t>
      </w:r>
      <w:proofErr w:type="gramEnd"/>
      <w:r w:rsidRPr="00A001E1">
        <w:rPr>
          <w:color w:val="000000"/>
          <w:u w:val="single"/>
        </w:rPr>
        <w:t>not] produce action</w:t>
      </w:r>
      <w:r w:rsidRPr="00A001E1">
        <w:rPr>
          <w:color w:val="000000"/>
          <w:sz w:val="16"/>
        </w:rPr>
        <w:t>, to which the correct answer is “No.” A very familiar and eminently sensible view says that</w:t>
      </w:r>
      <w:r w:rsidRPr="00A001E1">
        <w:rPr>
          <w:sz w:val="16"/>
        </w:rPr>
        <w:t xml:space="preserve"> </w:t>
      </w:r>
      <w:r w:rsidRPr="00A001E1">
        <w:rPr>
          <w:b/>
          <w:color w:val="000000"/>
          <w:highlight w:val="cyan"/>
          <w:u w:val="single"/>
        </w:rPr>
        <w:t xml:space="preserve">in </w:t>
      </w:r>
      <w:r w:rsidRPr="00A001E1">
        <w:rPr>
          <w:rStyle w:val="Emphasis"/>
          <w:sz w:val="24"/>
          <w:highlight w:val="cyan"/>
        </w:rPr>
        <w:t>order to explain an action the belief must couple with desires</w:t>
      </w:r>
      <w:r w:rsidRPr="00A001E1">
        <w:rPr>
          <w:rStyle w:val="Emphasis"/>
          <w:sz w:val="24"/>
        </w:rPr>
        <w:t xml:space="preserve"> (such that those same desires had in the absence of the belief would not have resulted in the action).</w:t>
      </w:r>
      <w:r w:rsidRPr="00A001E1">
        <w:rPr>
          <w:color w:val="000000"/>
          <w:sz w:val="16"/>
        </w:rPr>
        <w:t xml:space="preserve"> And this seems correct: if I believe that the coffee is [bad] </w:t>
      </w:r>
      <w:proofErr w:type="spellStart"/>
      <w:r w:rsidRPr="00A001E1">
        <w:rPr>
          <w:color w:val="000000"/>
          <w:sz w:val="16"/>
        </w:rPr>
        <w:t>tapu</w:t>
      </w:r>
      <w:proofErr w:type="spellEnd"/>
      <w:r w:rsidRPr="00A001E1">
        <w:rPr>
          <w:color w:val="000000"/>
          <w:sz w:val="16"/>
        </w:rPr>
        <w:t xml:space="preserve"> but really just don’t care about that, then I will not refrain from drinking it. So in order</w:t>
      </w:r>
      <w:r w:rsidRPr="00A001E1">
        <w:rPr>
          <w:color w:val="000000"/>
          <w:u w:val="single"/>
        </w:rPr>
        <w:t xml:space="preserve"> </w:t>
      </w:r>
      <w:r w:rsidRPr="00A001E1">
        <w:rPr>
          <w:color w:val="000000"/>
          <w:sz w:val="16"/>
        </w:rPr>
        <w:t>for the belief to explain action it must couple with [desire]</w:t>
      </w:r>
      <w:r w:rsidRPr="00A001E1">
        <w:rPr>
          <w:color w:val="000000"/>
          <w:u w:val="single"/>
        </w:rPr>
        <w:t xml:space="preserve"> </w:t>
      </w:r>
      <w:r w:rsidRPr="00A001E1">
        <w:rPr>
          <w:color w:val="000000"/>
          <w:sz w:val="16"/>
        </w:rPr>
        <w:t xml:space="preserve">elements - </w:t>
      </w:r>
      <w:r w:rsidRPr="00A001E1">
        <w:rPr>
          <w:rStyle w:val="Emphasis"/>
          <w:sz w:val="24"/>
        </w:rPr>
        <w:t xml:space="preserve">but </w:t>
      </w:r>
      <w:r w:rsidRPr="00A001E1">
        <w:rPr>
          <w:rStyle w:val="Emphasis"/>
          <w:sz w:val="24"/>
          <w:highlight w:val="cyan"/>
        </w:rPr>
        <w:t>in that case</w:t>
      </w:r>
      <w:r w:rsidRPr="00A001E1">
        <w:rPr>
          <w:rStyle w:val="Emphasis"/>
          <w:sz w:val="24"/>
        </w:rPr>
        <w:t xml:space="preserve"> the putative </w:t>
      </w:r>
      <w:r w:rsidRPr="00A001E1">
        <w:rPr>
          <w:rStyle w:val="Emphasis"/>
          <w:sz w:val="24"/>
          <w:highlight w:val="cyan"/>
        </w:rPr>
        <w:t>external reason collapses into</w:t>
      </w:r>
      <w:r w:rsidRPr="00A001E1">
        <w:rPr>
          <w:rStyle w:val="Emphasis"/>
          <w:sz w:val="24"/>
        </w:rPr>
        <w:t xml:space="preserve"> an </w:t>
      </w:r>
      <w:r w:rsidRPr="00A001E1">
        <w:rPr>
          <w:rStyle w:val="Emphasis"/>
          <w:sz w:val="24"/>
          <w:highlight w:val="cyan"/>
        </w:rPr>
        <w:t>internal</w:t>
      </w:r>
      <w:r>
        <w:rPr>
          <w:rStyle w:val="Emphasis"/>
          <w:sz w:val="24"/>
        </w:rPr>
        <w:t xml:space="preserve"> one.</w:t>
      </w:r>
    </w:p>
    <w:p w14:paraId="56DB8DFC" w14:textId="77777777" w:rsidR="00A001E1" w:rsidRPr="00A001E1" w:rsidRDefault="00A001E1" w:rsidP="00A001E1">
      <w:pPr>
        <w:rPr>
          <w:rStyle w:val="Emphasis"/>
          <w:sz w:val="24"/>
        </w:rPr>
      </w:pPr>
    </w:p>
    <w:p w14:paraId="3FE2D689" w14:textId="5F50EA38" w:rsidR="00A001E1" w:rsidRPr="009A3C02" w:rsidRDefault="00A001E1" w:rsidP="00A001E1">
      <w:pPr>
        <w:pStyle w:val="Heading4"/>
        <w:rPr>
          <w:rFonts w:eastAsia="Times New Roman" w:cs="Calibri"/>
        </w:rPr>
      </w:pPr>
      <w:r w:rsidRPr="009A3C02">
        <w:rPr>
          <w:rFonts w:eastAsia="Times New Roman" w:cs="Calibri"/>
        </w:rPr>
        <w:t>Additionally, agents can only be motivated</w:t>
      </w:r>
      <w:r w:rsidR="0046593E">
        <w:rPr>
          <w:rFonts w:eastAsia="Times New Roman" w:cs="Calibri"/>
        </w:rPr>
        <w:t xml:space="preserve"> by</w:t>
      </w:r>
      <w:r w:rsidRPr="009A3C02">
        <w:rPr>
          <w:rFonts w:eastAsia="Times New Roman" w:cs="Calibri"/>
        </w:rPr>
        <w:t xml:space="preserve"> their own desires; not the external desires of another because:</w:t>
      </w:r>
    </w:p>
    <w:p w14:paraId="7C4D2560" w14:textId="67A672E6" w:rsidR="00A001E1" w:rsidRDefault="00A001E1" w:rsidP="00A001E1">
      <w:pPr>
        <w:pStyle w:val="Heading4"/>
      </w:pPr>
      <w:r>
        <w:rPr>
          <w:rFonts w:eastAsia="Times New Roman"/>
        </w:rPr>
        <w:t xml:space="preserve">[A] External desires </w:t>
      </w:r>
      <w:r w:rsidRPr="009A3C02">
        <w:rPr>
          <w:rFonts w:eastAsia="Times New Roman"/>
        </w:rPr>
        <w:t>are inaccessible</w:t>
      </w:r>
      <w:r>
        <w:rPr>
          <w:rFonts w:eastAsia="Times New Roman"/>
        </w:rPr>
        <w:t xml:space="preserve"> through empirical uncertainty – an </w:t>
      </w:r>
      <w:r w:rsidRPr="00281AF4">
        <w:t xml:space="preserve">evil demon could deceive us, </w:t>
      </w:r>
      <w:r w:rsidR="003544F7">
        <w:t xml:space="preserve">we could be </w:t>
      </w:r>
      <w:r w:rsidRPr="00281AF4">
        <w:t xml:space="preserve">dreaming, </w:t>
      </w:r>
      <w:r w:rsidR="003544F7">
        <w:t xml:space="preserve">or </w:t>
      </w:r>
      <w:r>
        <w:t xml:space="preserve">in a </w:t>
      </w:r>
      <w:r w:rsidR="003544F7">
        <w:t>simulation, and</w:t>
      </w:r>
      <w:r w:rsidRPr="00281AF4">
        <w:t xml:space="preserve"> </w:t>
      </w:r>
      <w:r>
        <w:t xml:space="preserve">we’re unable to </w:t>
      </w:r>
      <w:r w:rsidRPr="00281AF4">
        <w:t>know others’ experience</w:t>
      </w:r>
      <w:r>
        <w:t xml:space="preserve">s, so externalism is </w:t>
      </w:r>
      <w:r w:rsidRPr="00281AF4">
        <w:t>an unreliable basis for ethics</w:t>
      </w:r>
      <w:r>
        <w:t xml:space="preserve"> since we can only verify and access internal drives. </w:t>
      </w:r>
    </w:p>
    <w:p w14:paraId="369FCB63" w14:textId="77777777" w:rsidR="00A001E1" w:rsidRDefault="00A001E1" w:rsidP="00A001E1">
      <w:pPr>
        <w:pStyle w:val="Heading4"/>
      </w:pPr>
      <w:r>
        <w:t>[B] I</w:t>
      </w:r>
      <w:r w:rsidRPr="009A3C02">
        <w:t>ndividuals have unlimited wants and those are not communicated</w:t>
      </w:r>
      <w:r>
        <w:t>, so we never know what others want</w:t>
      </w:r>
      <w:r w:rsidRPr="009A3C02">
        <w:t xml:space="preserve"> </w:t>
      </w:r>
    </w:p>
    <w:p w14:paraId="2B4A6404" w14:textId="77777777" w:rsidR="00A001E1" w:rsidRDefault="00A001E1" w:rsidP="00A001E1">
      <w:pPr>
        <w:pStyle w:val="Heading4"/>
      </w:pPr>
      <w:r>
        <w:t>[C]</w:t>
      </w:r>
      <w:r w:rsidRPr="009A3C02">
        <w:t xml:space="preserve"> We only care about our own desires as individuals are </w:t>
      </w:r>
      <w:proofErr w:type="gramStart"/>
      <w:r w:rsidRPr="009A3C02">
        <w:t>self interested</w:t>
      </w:r>
      <w:proofErr w:type="gramEnd"/>
      <w:r w:rsidRPr="009A3C02">
        <w:t xml:space="preserve"> and don’t care about helping others, even if we did know how to help.</w:t>
      </w:r>
    </w:p>
    <w:p w14:paraId="5FEBB921" w14:textId="77777777" w:rsidR="00A001E1" w:rsidRPr="00A001E1" w:rsidRDefault="00A001E1" w:rsidP="00A001E1"/>
    <w:p w14:paraId="712A125C" w14:textId="77777777" w:rsidR="00A001E1" w:rsidRDefault="00A001E1" w:rsidP="00A001E1">
      <w:pPr>
        <w:pStyle w:val="Heading4"/>
        <w:rPr>
          <w:rFonts w:eastAsia="Times New Roman" w:cs="Calibri"/>
        </w:rPr>
      </w:pPr>
      <w:r w:rsidRPr="009A3C02">
        <w:rPr>
          <w:rFonts w:eastAsia="Times New Roman" w:cs="Calibri"/>
        </w:rPr>
        <w:t xml:space="preserve">Only a </w:t>
      </w:r>
      <w:proofErr w:type="spellStart"/>
      <w:r w:rsidRPr="009A3C02">
        <w:rPr>
          <w:rFonts w:eastAsia="Times New Roman" w:cs="Calibri"/>
        </w:rPr>
        <w:t>contractarian</w:t>
      </w:r>
      <w:proofErr w:type="spellEnd"/>
      <w:r w:rsidRPr="009A3C02">
        <w:rPr>
          <w:rFonts w:eastAsia="Times New Roman" w:cs="Calibri"/>
        </w:rPr>
        <w:t xml:space="preserve"> system that derives principles of mutual restraint from individuals’ self-interest account for this fact because </w:t>
      </w:r>
      <w:proofErr w:type="spellStart"/>
      <w:r w:rsidRPr="009A3C02">
        <w:rPr>
          <w:rFonts w:eastAsia="Times New Roman" w:cs="Calibri"/>
        </w:rPr>
        <w:t>contractarian</w:t>
      </w:r>
      <w:proofErr w:type="spellEnd"/>
      <w:r w:rsidRPr="009A3C02">
        <w:rPr>
          <w:rFonts w:eastAsia="Times New Roman" w:cs="Calibri"/>
        </w:rPr>
        <w:t xml:space="preserve"> principles are necessarily in the interest of all parties involved because they wouldn’t constrain their action against their will</w:t>
      </w:r>
      <w:r>
        <w:rPr>
          <w:rFonts w:eastAsia="Times New Roman" w:cs="Calibri"/>
        </w:rPr>
        <w:t>.</w:t>
      </w:r>
    </w:p>
    <w:p w14:paraId="760F386C" w14:textId="77777777" w:rsidR="00A001E1" w:rsidRPr="009A3C02" w:rsidRDefault="00A001E1" w:rsidP="00A001E1">
      <w:pPr>
        <w:rPr>
          <w:sz w:val="18"/>
          <w:szCs w:val="18"/>
        </w:rPr>
      </w:pPr>
      <w:proofErr w:type="gramStart"/>
      <w:r w:rsidRPr="009A3C02">
        <w:rPr>
          <w:b/>
          <w:bCs/>
          <w:sz w:val="26"/>
          <w:szCs w:val="26"/>
        </w:rPr>
        <w:t>Gauthier</w:t>
      </w:r>
      <w:r>
        <w:rPr>
          <w:b/>
          <w:bCs/>
          <w:sz w:val="26"/>
          <w:szCs w:val="26"/>
        </w:rPr>
        <w:t xml:space="preserve"> 86</w:t>
      </w:r>
      <w:r w:rsidRPr="009A3C02">
        <w:t xml:space="preserve"> </w:t>
      </w:r>
      <w:r w:rsidRPr="009A3C02">
        <w:rPr>
          <w:sz w:val="18"/>
          <w:szCs w:val="18"/>
        </w:rPr>
        <w:t xml:space="preserve">Gauthier, David P. </w:t>
      </w:r>
      <w:r w:rsidRPr="009A3C02">
        <w:rPr>
          <w:i/>
          <w:sz w:val="18"/>
          <w:szCs w:val="18"/>
        </w:rPr>
        <w:t>Morals by Agreement</w:t>
      </w:r>
      <w:r w:rsidRPr="009A3C02">
        <w:rPr>
          <w:sz w:val="18"/>
          <w:szCs w:val="18"/>
        </w:rPr>
        <w:t>.</w:t>
      </w:r>
      <w:proofErr w:type="gramEnd"/>
      <w:r w:rsidRPr="009A3C02">
        <w:rPr>
          <w:sz w:val="18"/>
          <w:szCs w:val="18"/>
        </w:rPr>
        <w:t xml:space="preserve"> Oxford: Clarendon, 1986. Print.</w:t>
      </w:r>
      <w:r>
        <w:rPr>
          <w:sz w:val="18"/>
          <w:szCs w:val="18"/>
        </w:rPr>
        <w:t xml:space="preserve"> // Park City NL</w:t>
      </w:r>
    </w:p>
    <w:p w14:paraId="40F481BE" w14:textId="77777777" w:rsidR="00A001E1" w:rsidRDefault="00A001E1" w:rsidP="00A001E1">
      <w:pPr>
        <w:rPr>
          <w:rStyle w:val="Emphasis"/>
          <w:sz w:val="24"/>
        </w:rPr>
      </w:pPr>
      <w:r w:rsidRPr="00A001E1">
        <w:rPr>
          <w:rStyle w:val="Emphasis"/>
          <w:sz w:val="24"/>
          <w:highlight w:val="cyan"/>
        </w:rPr>
        <w:t>Moral principles are</w:t>
      </w:r>
      <w:r w:rsidRPr="00A001E1">
        <w:rPr>
          <w:rStyle w:val="Emphasis"/>
          <w:sz w:val="24"/>
        </w:rPr>
        <w:t xml:space="preserve"> introduced as the </w:t>
      </w:r>
      <w:r w:rsidRPr="00A001E1">
        <w:rPr>
          <w:rStyle w:val="Emphasis"/>
          <w:sz w:val="24"/>
          <w:highlight w:val="cyan"/>
        </w:rPr>
        <w:t>objects of</w:t>
      </w:r>
      <w:r w:rsidRPr="00A001E1">
        <w:rPr>
          <w:rStyle w:val="Emphasis"/>
          <w:sz w:val="24"/>
        </w:rPr>
        <w:t xml:space="preserve"> full voluntary ex ante </w:t>
      </w:r>
      <w:r w:rsidRPr="00A001E1">
        <w:rPr>
          <w:rStyle w:val="Emphasis"/>
          <w:sz w:val="24"/>
          <w:highlight w:val="cyan"/>
        </w:rPr>
        <w:t>agreement among rational persons</w:t>
      </w:r>
      <w:r w:rsidRPr="00A001E1">
        <w:rPr>
          <w:rStyle w:val="Emphasis"/>
          <w:sz w:val="24"/>
        </w:rPr>
        <w:t>.  Su</w:t>
      </w:r>
      <w:r w:rsidRPr="00A001E1">
        <w:rPr>
          <w:sz w:val="16"/>
        </w:rPr>
        <w:t>ch agreement is hypothetical, in supposing a pre-moral context for the adoption of moral rules and practices.  But the parties to agreement are real, determinate individuals, distinguished by their capacities, situations, and concerns.  In so far as [</w:t>
      </w:r>
      <w:r w:rsidRPr="00A001E1">
        <w:rPr>
          <w:rStyle w:val="Emphasis"/>
          <w:sz w:val="24"/>
          <w:highlight w:val="cyan"/>
        </w:rPr>
        <w:t>Since] they would agree to constraints on their choices,</w:t>
      </w:r>
      <w:r w:rsidRPr="00A001E1">
        <w:rPr>
          <w:rStyle w:val="Emphasis"/>
          <w:sz w:val="24"/>
        </w:rPr>
        <w:t xml:space="preserve"> restraining their pursuit of their own interests, </w:t>
      </w:r>
      <w:r w:rsidRPr="00A001E1">
        <w:rPr>
          <w:rStyle w:val="Emphasis"/>
          <w:sz w:val="24"/>
          <w:highlight w:val="cyan"/>
        </w:rPr>
        <w:t>they acknowledge a distinction between what they may and may not do</w:t>
      </w:r>
      <w:r w:rsidRPr="00A001E1">
        <w:rPr>
          <w:rStyle w:val="Emphasis"/>
          <w:sz w:val="24"/>
        </w:rPr>
        <w:t xml:space="preserve">.  As rational persons understanding the structure of their interaction, </w:t>
      </w:r>
      <w:r w:rsidRPr="00A001E1">
        <w:rPr>
          <w:rStyle w:val="Emphasis"/>
          <w:sz w:val="24"/>
          <w:highlight w:val="cyan"/>
        </w:rPr>
        <w:t>they recognize</w:t>
      </w:r>
      <w:r w:rsidRPr="00A001E1">
        <w:rPr>
          <w:rStyle w:val="Emphasis"/>
          <w:sz w:val="24"/>
        </w:rPr>
        <w:t xml:space="preserve"> for </w:t>
      </w:r>
      <w:r w:rsidRPr="00A001E1">
        <w:rPr>
          <w:rStyle w:val="Emphasis"/>
          <w:sz w:val="24"/>
          <w:highlight w:val="cyan"/>
        </w:rPr>
        <w:t>mutual constraint</w:t>
      </w:r>
      <w:r w:rsidRPr="00A001E1">
        <w:rPr>
          <w:rStyle w:val="Emphasis"/>
          <w:sz w:val="24"/>
        </w:rPr>
        <w:t xml:space="preserve">, and so </w:t>
      </w:r>
      <w:r w:rsidRPr="00A001E1">
        <w:rPr>
          <w:rStyle w:val="Emphasis"/>
          <w:sz w:val="24"/>
          <w:highlight w:val="cyan"/>
        </w:rPr>
        <w:t>for a moral dimension</w:t>
      </w:r>
      <w:r w:rsidRPr="00A001E1">
        <w:rPr>
          <w:rStyle w:val="Emphasis"/>
          <w:sz w:val="24"/>
        </w:rPr>
        <w:t xml:space="preserve"> in their affairs.</w:t>
      </w:r>
    </w:p>
    <w:p w14:paraId="7F222F42" w14:textId="77777777" w:rsidR="00A001E1" w:rsidRPr="00A001E1" w:rsidRDefault="00A001E1" w:rsidP="00A001E1">
      <w:pPr>
        <w:rPr>
          <w:iCs/>
          <w:sz w:val="16"/>
        </w:rPr>
      </w:pPr>
    </w:p>
    <w:p w14:paraId="5D7C03FD" w14:textId="77777777" w:rsidR="00A001E1" w:rsidRDefault="00A001E1" w:rsidP="00A001E1">
      <w:pPr>
        <w:pStyle w:val="Heading4"/>
        <w:rPr>
          <w:rFonts w:eastAsia="Times New Roman" w:cs="Calibri"/>
        </w:rPr>
      </w:pPr>
      <w:r w:rsidRPr="009A3C02">
        <w:rPr>
          <w:rFonts w:eastAsia="Times New Roman" w:cs="Calibri"/>
        </w:rPr>
        <w:t>Additionally, self-interest is determined at the time of the original decision to rise to a norm of mutual self-restraint. For example, I might say that eating ice cream is in my self-interest because I’m hungry even if it will lead to extinction somehow in the future.</w:t>
      </w:r>
    </w:p>
    <w:p w14:paraId="79B1FB6A" w14:textId="77777777" w:rsidR="00A001E1" w:rsidRPr="00A001E1" w:rsidRDefault="00A001E1" w:rsidP="00A001E1"/>
    <w:p w14:paraId="3C071109" w14:textId="77777777" w:rsidR="00A001E1" w:rsidRDefault="00A001E1" w:rsidP="00A001E1">
      <w:pPr>
        <w:pStyle w:val="Heading4"/>
        <w:rPr>
          <w:rFonts w:eastAsia="Times New Roman"/>
        </w:rPr>
      </w:pPr>
      <w:r w:rsidRPr="00ED187A">
        <w:rPr>
          <w:rFonts w:eastAsia="Times New Roman"/>
        </w:rPr>
        <w:t xml:space="preserve">Thus, the standard is consistency with </w:t>
      </w:r>
      <w:proofErr w:type="spellStart"/>
      <w:r w:rsidRPr="00ED187A">
        <w:rPr>
          <w:rFonts w:eastAsia="Times New Roman"/>
        </w:rPr>
        <w:t>contractarian</w:t>
      </w:r>
      <w:proofErr w:type="spellEnd"/>
      <w:r w:rsidRPr="00ED187A">
        <w:rPr>
          <w:rFonts w:eastAsia="Times New Roman"/>
        </w:rPr>
        <w:t xml:space="preserve"> principles of mutual restraint, defined as those principles by which individuals would constrain their actions with the belief that doing so would serve their self-interest.</w:t>
      </w:r>
    </w:p>
    <w:p w14:paraId="7625661A" w14:textId="77777777" w:rsidR="00A001E1" w:rsidRPr="00A001E1" w:rsidRDefault="00A001E1" w:rsidP="00A001E1"/>
    <w:p w14:paraId="13CAD980" w14:textId="77777777" w:rsidR="00A001E1" w:rsidRDefault="00A001E1" w:rsidP="00A001E1">
      <w:pPr>
        <w:pStyle w:val="Heading4"/>
        <w:rPr>
          <w:rFonts w:eastAsia="Times New Roman" w:cs="Calibri"/>
        </w:rPr>
      </w:pPr>
      <w:r>
        <w:rPr>
          <w:rFonts w:eastAsia="Times New Roman" w:cs="Calibri"/>
        </w:rPr>
        <w:t>Prefer additionally:</w:t>
      </w:r>
    </w:p>
    <w:p w14:paraId="6806C642" w14:textId="77777777" w:rsidR="00A001E1" w:rsidRPr="00A001E1" w:rsidRDefault="00A001E1" w:rsidP="00A001E1"/>
    <w:p w14:paraId="66F0CC1C" w14:textId="77777777" w:rsidR="00A001E1" w:rsidRDefault="00A001E1" w:rsidP="00A001E1">
      <w:pPr>
        <w:pStyle w:val="Heading4"/>
        <w:rPr>
          <w:rFonts w:eastAsia="Times New Roman" w:cs="Calibri"/>
        </w:rPr>
      </w:pPr>
      <w:r>
        <w:rPr>
          <w:rFonts w:eastAsia="Times New Roman" w:cs="Calibri"/>
        </w:rPr>
        <w:t>[1]</w:t>
      </w:r>
      <w:r w:rsidRPr="009A3C02">
        <w:rPr>
          <w:rFonts w:eastAsia="Times New Roman" w:cs="Calibri"/>
        </w:rPr>
        <w:t xml:space="preserve"> Consent</w:t>
      </w:r>
      <w:r>
        <w:rPr>
          <w:rFonts w:eastAsia="Times New Roman" w:cs="Calibri"/>
        </w:rPr>
        <w:t xml:space="preserve"> – </w:t>
      </w:r>
      <w:proofErr w:type="spellStart"/>
      <w:r>
        <w:rPr>
          <w:rFonts w:eastAsia="Times New Roman" w:cs="Calibri"/>
        </w:rPr>
        <w:t>c</w:t>
      </w:r>
      <w:r w:rsidRPr="009A3C02">
        <w:rPr>
          <w:rFonts w:eastAsia="Times New Roman" w:cs="Calibri"/>
        </w:rPr>
        <w:t>ontractarianism</w:t>
      </w:r>
      <w:proofErr w:type="spellEnd"/>
      <w:r w:rsidRPr="009A3C02">
        <w:rPr>
          <w:rFonts w:eastAsia="Times New Roman" w:cs="Calibri"/>
        </w:rPr>
        <w:t xml:space="preserve"> is based on consent</w:t>
      </w:r>
      <w:r>
        <w:rPr>
          <w:rFonts w:eastAsia="Times New Roman" w:cs="Calibri"/>
        </w:rPr>
        <w:t xml:space="preserve"> – </w:t>
      </w:r>
      <w:r w:rsidRPr="009A3C02">
        <w:rPr>
          <w:rFonts w:eastAsia="Times New Roman" w:cs="Calibri"/>
        </w:rPr>
        <w:t>implicit in acceptance of a contrac</w:t>
      </w:r>
      <w:r>
        <w:rPr>
          <w:rFonts w:eastAsia="Times New Roman" w:cs="Calibri"/>
        </w:rPr>
        <w:t xml:space="preserve">t – </w:t>
      </w:r>
      <w:r w:rsidRPr="009A3C02">
        <w:rPr>
          <w:rFonts w:eastAsia="Times New Roman" w:cs="Calibri"/>
        </w:rPr>
        <w:t>which ultimately determines what</w:t>
      </w:r>
      <w:r>
        <w:rPr>
          <w:rFonts w:eastAsia="Times New Roman" w:cs="Calibri"/>
        </w:rPr>
        <w:t xml:space="preserve"> qualifies as good or evil</w:t>
      </w:r>
      <w:r w:rsidRPr="009A3C02">
        <w:rPr>
          <w:rFonts w:eastAsia="Times New Roman" w:cs="Calibri"/>
        </w:rPr>
        <w:t>. Moral theories must be based in consent otherwise actions could never be determinate</w:t>
      </w:r>
      <w:r>
        <w:rPr>
          <w:rFonts w:eastAsia="Times New Roman" w:cs="Calibri"/>
        </w:rPr>
        <w:t>.</w:t>
      </w:r>
    </w:p>
    <w:p w14:paraId="3ED32ADC" w14:textId="77777777" w:rsidR="00A001E1" w:rsidRPr="00E72D2B" w:rsidRDefault="00A001E1" w:rsidP="00A001E1">
      <w:pPr>
        <w:shd w:val="clear" w:color="auto" w:fill="FFFFFF"/>
        <w:rPr>
          <w:color w:val="222222"/>
          <w:sz w:val="12"/>
          <w:szCs w:val="12"/>
        </w:rPr>
      </w:pPr>
      <w:r w:rsidRPr="00E72D2B">
        <w:rPr>
          <w:b/>
          <w:color w:val="222222"/>
          <w:sz w:val="26"/>
          <w:szCs w:val="26"/>
        </w:rPr>
        <w:t>Enoch</w:t>
      </w:r>
      <w:r>
        <w:rPr>
          <w:b/>
          <w:color w:val="222222"/>
          <w:sz w:val="26"/>
          <w:szCs w:val="26"/>
        </w:rPr>
        <w:t xml:space="preserve"> 15</w:t>
      </w:r>
      <w:r>
        <w:rPr>
          <w:color w:val="222222"/>
        </w:rPr>
        <w:t xml:space="preserve"> </w:t>
      </w:r>
      <w:r w:rsidRPr="009A3C02">
        <w:rPr>
          <w:color w:val="222222"/>
          <w:sz w:val="12"/>
          <w:szCs w:val="12"/>
        </w:rPr>
        <w:t>David Enoch. “Against Public Reason.” Central European University. 2015.</w:t>
      </w:r>
    </w:p>
    <w:p w14:paraId="462007D9" w14:textId="77777777" w:rsidR="00A001E1" w:rsidRPr="00A001E1" w:rsidRDefault="00A001E1" w:rsidP="00A001E1">
      <w:pPr>
        <w:shd w:val="clear" w:color="auto" w:fill="FFFFFF"/>
        <w:rPr>
          <w:color w:val="222222"/>
        </w:rPr>
      </w:pPr>
      <w:r w:rsidRPr="00A001E1">
        <w:rPr>
          <w:rStyle w:val="Emphasis"/>
          <w:sz w:val="24"/>
        </w:rPr>
        <w:t>Recall the characteristic feature of </w:t>
      </w:r>
      <w:r w:rsidRPr="00A001E1">
        <w:rPr>
          <w:rStyle w:val="Emphasis"/>
          <w:sz w:val="24"/>
          <w:highlight w:val="cyan"/>
        </w:rPr>
        <w:t>public reason accounts</w:t>
      </w:r>
      <w:r w:rsidRPr="00A001E1">
        <w:rPr>
          <w:rStyle w:val="Emphasis"/>
          <w:sz w:val="24"/>
        </w:rPr>
        <w:t xml:space="preserve"> – in order to reconcile liberty and authority, they require that the </w:t>
      </w:r>
      <w:r w:rsidRPr="00A001E1">
        <w:rPr>
          <w:rStyle w:val="Emphasis"/>
          <w:sz w:val="24"/>
          <w:highlight w:val="cyan"/>
        </w:rPr>
        <w:t>relevant authority</w:t>
      </w:r>
      <w:r w:rsidRPr="00A001E1">
        <w:rPr>
          <w:rStyle w:val="Emphasis"/>
          <w:sz w:val="24"/>
        </w:rPr>
        <w:t xml:space="preserve"> or principles be </w:t>
      </w:r>
      <w:r w:rsidRPr="00A001E1">
        <w:rPr>
          <w:rStyle w:val="Emphasis"/>
          <w:sz w:val="24"/>
          <w:highlight w:val="cyan"/>
        </w:rPr>
        <w:t>justified to all</w:t>
      </w:r>
      <w:r w:rsidRPr="00A001E1">
        <w:rPr>
          <w:rStyle w:val="Emphasis"/>
          <w:sz w:val="24"/>
        </w:rPr>
        <w:t xml:space="preserve"> those </w:t>
      </w:r>
      <w:r w:rsidRPr="00A001E1">
        <w:rPr>
          <w:rStyle w:val="Emphasis"/>
          <w:sz w:val="24"/>
          <w:highlight w:val="cyan"/>
        </w:rPr>
        <w:t>subject</w:t>
      </w:r>
      <w:r w:rsidRPr="00A001E1">
        <w:rPr>
          <w:rStyle w:val="Emphasis"/>
          <w:sz w:val="24"/>
        </w:rPr>
        <w:t xml:space="preserve"> to the </w:t>
      </w:r>
      <w:proofErr w:type="spellStart"/>
      <w:proofErr w:type="gramStart"/>
      <w:r w:rsidRPr="00A001E1">
        <w:rPr>
          <w:rStyle w:val="Emphasis"/>
          <w:sz w:val="24"/>
        </w:rPr>
        <w:t>authority.And</w:t>
      </w:r>
      <w:proofErr w:type="spellEnd"/>
      <w:proofErr w:type="gramEnd"/>
      <w:r w:rsidRPr="00A001E1">
        <w:rPr>
          <w:rStyle w:val="Emphasis"/>
          <w:sz w:val="24"/>
        </w:rPr>
        <w:t xml:space="preserve"> while </w:t>
      </w:r>
      <w:r w:rsidRPr="00A001E1">
        <w:rPr>
          <w:rStyle w:val="Emphasis"/>
          <w:sz w:val="24"/>
          <w:highlight w:val="cyan"/>
        </w:rPr>
        <w:t>falling short of</w:t>
      </w:r>
      <w:r w:rsidRPr="00A001E1">
        <w:rPr>
          <w:rStyle w:val="Emphasis"/>
          <w:sz w:val="24"/>
        </w:rPr>
        <w:t> requiring </w:t>
      </w:r>
      <w:r w:rsidRPr="00A001E1">
        <w:rPr>
          <w:rStyle w:val="Emphasis"/>
          <w:sz w:val="24"/>
          <w:highlight w:val="cyan"/>
        </w:rPr>
        <w:t>consent</w:t>
      </w:r>
      <w:r w:rsidRPr="00A001E1">
        <w:rPr>
          <w:rStyle w:val="Emphasis"/>
          <w:sz w:val="24"/>
        </w:rPr>
        <w:t>, this requirement does require some kind of engagement of the subjects as they actually are. But this </w:t>
      </w:r>
      <w:r w:rsidRPr="00A001E1">
        <w:rPr>
          <w:rStyle w:val="Emphasis"/>
          <w:sz w:val="24"/>
          <w:highlight w:val="cyan"/>
        </w:rPr>
        <w:t>creates a problem</w:t>
      </w:r>
      <w:r w:rsidRPr="00A001E1">
        <w:rPr>
          <w:rStyle w:val="Emphasis"/>
          <w:sz w:val="24"/>
        </w:rPr>
        <w:t>,</w:t>
      </w:r>
      <w:r w:rsidRPr="00A001E1">
        <w:rPr>
          <w:color w:val="222222"/>
          <w:u w:val="single"/>
        </w:rPr>
        <w:t> </w:t>
      </w:r>
      <w:r w:rsidRPr="00A001E1">
        <w:rPr>
          <w:color w:val="222222"/>
        </w:rPr>
        <w:t>at least in the context of hoping to vindicate some contemporary states. The problem is that </w:t>
      </w:r>
      <w:r w:rsidRPr="00A001E1">
        <w:rPr>
          <w:rStyle w:val="Emphasis"/>
          <w:sz w:val="24"/>
        </w:rPr>
        <w:t>actual citizens of actual large-scale contemporary states are a very varied bunch. Different people are committed</w:t>
      </w:r>
      <w:r w:rsidRPr="00A001E1">
        <w:rPr>
          <w:color w:val="222222"/>
          <w:u w:val="single"/>
        </w:rPr>
        <w:t> </w:t>
      </w:r>
      <w:r w:rsidRPr="00A001E1">
        <w:rPr>
          <w:color w:val="222222"/>
        </w:rPr>
        <w:t>– sometimes even in the deepest ways – </w:t>
      </w:r>
      <w:r w:rsidRPr="00A001E1">
        <w:rPr>
          <w:b/>
          <w:bCs/>
          <w:color w:val="222222"/>
          <w:u w:val="single"/>
        </w:rPr>
        <w:t xml:space="preserve">to all sorts of views and </w:t>
      </w:r>
      <w:proofErr w:type="gramStart"/>
      <w:r w:rsidRPr="00A001E1">
        <w:rPr>
          <w:b/>
          <w:bCs/>
          <w:color w:val="222222"/>
          <w:u w:val="single"/>
        </w:rPr>
        <w:t>doctrines,</w:t>
      </w:r>
      <w:proofErr w:type="gramEnd"/>
      <w:r w:rsidRPr="00A001E1">
        <w:rPr>
          <w:color w:val="222222"/>
        </w:rPr>
        <w:t> they value – even intrinsically – all sorts of different things. If the justifications offered to them are to engage them as they actually are – perhaps based on principles they accept, or on the values they hold dear, or on what is already there in their motivational set – then it’s hard to believe that there is anything at all that can be justified to all. This is perhaps clearest on consensus versions of public reason accounts, according to which for a political principle (e.g.) to be legitimate there must be a justification for it that is available (in the relevant way) to all11. </w:t>
      </w:r>
      <w:r w:rsidRPr="00A001E1">
        <w:rPr>
          <w:b/>
          <w:bCs/>
          <w:color w:val="222222"/>
          <w:u w:val="single"/>
        </w:rPr>
        <w:t xml:space="preserve">But it </w:t>
      </w:r>
      <w:r w:rsidRPr="00A001E1">
        <w:rPr>
          <w:rStyle w:val="Emphasis"/>
          <w:sz w:val="24"/>
          <w:highlight w:val="cyan"/>
        </w:rPr>
        <w:t>remains true</w:t>
      </w:r>
      <w:r w:rsidRPr="00A001E1">
        <w:rPr>
          <w:rStyle w:val="Emphasis"/>
          <w:sz w:val="24"/>
        </w:rPr>
        <w:t xml:space="preserve"> even on convergence views, according to which the </w:t>
      </w:r>
      <w:r w:rsidRPr="00A001E1">
        <w:rPr>
          <w:rStyle w:val="Emphasis"/>
          <w:sz w:val="24"/>
          <w:highlight w:val="cyan"/>
        </w:rPr>
        <w:t>condition</w:t>
      </w:r>
      <w:r w:rsidRPr="00A001E1">
        <w:rPr>
          <w:b/>
          <w:bCs/>
          <w:color w:val="222222"/>
          <w:highlight w:val="cyan"/>
          <w:u w:val="single"/>
        </w:rPr>
        <w:t xml:space="preserve"> necessary for legitimacy is</w:t>
      </w:r>
      <w:r w:rsidRPr="00A001E1">
        <w:rPr>
          <w:b/>
          <w:bCs/>
          <w:color w:val="222222"/>
          <w:u w:val="single"/>
        </w:rPr>
        <w:t xml:space="preserve"> just that </w:t>
      </w:r>
      <w:r w:rsidRPr="00A001E1">
        <w:rPr>
          <w:b/>
          <w:bCs/>
          <w:color w:val="222222"/>
          <w:highlight w:val="cyan"/>
          <w:u w:val="single"/>
        </w:rPr>
        <w:t>for any citizen, there’s a justification available</w:t>
      </w:r>
      <w:r w:rsidRPr="00A001E1">
        <w:rPr>
          <w:b/>
          <w:bCs/>
          <w:color w:val="222222"/>
          <w:u w:val="single"/>
        </w:rPr>
        <w:t xml:space="preserve"> to her</w:t>
      </w:r>
      <w:r w:rsidRPr="00A001E1">
        <w:rPr>
          <w:color w:val="222222"/>
        </w:rPr>
        <w:t xml:space="preserve"> (without the further requirement that it must be the very same justification that’s available to </w:t>
      </w:r>
      <w:proofErr w:type="gramStart"/>
      <w:r w:rsidRPr="00A001E1">
        <w:rPr>
          <w:color w:val="222222"/>
        </w:rPr>
        <w:t>all)12</w:t>
      </w:r>
      <w:proofErr w:type="gramEnd"/>
      <w:r w:rsidRPr="00A001E1">
        <w:rPr>
          <w:color w:val="222222"/>
        </w:rPr>
        <w:t xml:space="preserve"> . So long as the justification-to requirement is non-vacuous, and so long as the relevant </w:t>
      </w:r>
      <w:proofErr w:type="gramStart"/>
      <w:r w:rsidRPr="00A001E1">
        <w:rPr>
          <w:color w:val="222222"/>
        </w:rPr>
        <w:t>constituency consist</w:t>
      </w:r>
      <w:proofErr w:type="gramEnd"/>
      <w:r w:rsidRPr="00A001E1">
        <w:rPr>
          <w:color w:val="222222"/>
        </w:rPr>
        <w:t xml:space="preserve"> of all the citizens of a contemporary state as we actually find them, it’s hard to imagine anything at all passing the bar.</w:t>
      </w:r>
    </w:p>
    <w:p w14:paraId="55D9E613" w14:textId="77777777" w:rsidR="00A001E1" w:rsidRPr="006B21FB" w:rsidRDefault="00A001E1" w:rsidP="00A001E1">
      <w:pPr>
        <w:pStyle w:val="Heading4"/>
        <w:rPr>
          <w:rFonts w:eastAsia="Times New Roman" w:cs="Calibri"/>
        </w:rPr>
      </w:pPr>
      <w:r>
        <w:rPr>
          <w:rFonts w:eastAsia="Times New Roman" w:cs="Calibri"/>
        </w:rPr>
        <w:t xml:space="preserve">[2] </w:t>
      </w:r>
      <w:r w:rsidRPr="009A3C02">
        <w:rPr>
          <w:rFonts w:eastAsia="Times New Roman" w:cs="Calibri"/>
        </w:rPr>
        <w:t>Infinite Regress</w:t>
      </w:r>
      <w:r>
        <w:rPr>
          <w:rFonts w:eastAsia="Times New Roman" w:cs="Calibri"/>
        </w:rPr>
        <w:t xml:space="preserve"> – </w:t>
      </w:r>
      <w:r w:rsidRPr="009A3C02">
        <w:rPr>
          <w:rFonts w:eastAsia="Times New Roman" w:cs="Calibri"/>
        </w:rPr>
        <w:t xml:space="preserve">Only </w:t>
      </w:r>
      <w:proofErr w:type="spellStart"/>
      <w:r w:rsidRPr="009A3C02">
        <w:rPr>
          <w:rFonts w:eastAsia="Times New Roman" w:cs="Calibri"/>
        </w:rPr>
        <w:t>contractarianism</w:t>
      </w:r>
      <w:proofErr w:type="spellEnd"/>
      <w:r w:rsidRPr="009A3C02">
        <w:rPr>
          <w:rFonts w:eastAsia="Times New Roman" w:cs="Calibri"/>
        </w:rPr>
        <w:t xml:space="preserve"> can avoid an infinite regress. When we look to an external authority to derive normative conceptions of the good, we are left wondering why a certain good is actually good. Any conception of morality and what people are due begs the question of why our assessment of individual dues ought be </w:t>
      </w:r>
      <w:bookmarkStart w:id="0" w:name="_GoBack"/>
      <w:r w:rsidRPr="009A3C02">
        <w:rPr>
          <w:rFonts w:eastAsia="Times New Roman" w:cs="Calibri"/>
        </w:rPr>
        <w:t>preferred over other assessments</w:t>
      </w:r>
      <w:bookmarkEnd w:id="0"/>
      <w:r w:rsidRPr="009A3C02">
        <w:rPr>
          <w:rFonts w:eastAsia="Times New Roman" w:cs="Calibri"/>
        </w:rPr>
        <w:t xml:space="preserve">. </w:t>
      </w:r>
      <w:proofErr w:type="spellStart"/>
      <w:r w:rsidRPr="009A3C02">
        <w:rPr>
          <w:rFonts w:eastAsia="Times New Roman" w:cs="Calibri"/>
        </w:rPr>
        <w:t>Contractarianism</w:t>
      </w:r>
      <w:proofErr w:type="spellEnd"/>
      <w:r w:rsidRPr="009A3C02">
        <w:rPr>
          <w:rFonts w:eastAsia="Times New Roman" w:cs="Calibri"/>
        </w:rPr>
        <w:t xml:space="preserve"> avoids this by allowing individuals to construct conceptions of the good based on a rational restriction of their future actions.</w:t>
      </w:r>
    </w:p>
    <w:p w14:paraId="235C435E" w14:textId="77777777" w:rsidR="00A001E1" w:rsidRDefault="00A001E1" w:rsidP="00A001E1">
      <w:pPr>
        <w:pStyle w:val="Heading4"/>
      </w:pPr>
      <w:r w:rsidRPr="00A353F1">
        <w:t>[</w:t>
      </w:r>
      <w:r>
        <w:t>3</w:t>
      </w:r>
      <w:r w:rsidRPr="00A353F1">
        <w:t>] Performativity</w:t>
      </w:r>
      <w:r>
        <w:t xml:space="preserve"> – </w:t>
      </w:r>
      <w:r w:rsidRPr="00A353F1">
        <w:t xml:space="preserve">You agree to 4 minutes of prep and if you tried to go over the judges would down you or tell the tournament to DQ you. </w:t>
      </w:r>
      <w:r>
        <w:t>Their</w:t>
      </w:r>
      <w:r w:rsidRPr="00A353F1">
        <w:t xml:space="preserve"> very performance justifies the NC framework and proves the AC collapses to the NC</w:t>
      </w:r>
      <w:r>
        <w:t>.</w:t>
      </w:r>
    </w:p>
    <w:p w14:paraId="2591262C" w14:textId="77777777" w:rsidR="00B016AE" w:rsidRDefault="00B016AE" w:rsidP="00B016AE">
      <w:pPr>
        <w:pStyle w:val="Heading4"/>
      </w:pPr>
    </w:p>
    <w:p w14:paraId="4C72223A" w14:textId="77777777" w:rsidR="00A001E1" w:rsidRPr="00A001E1" w:rsidRDefault="00A001E1" w:rsidP="00A001E1">
      <w:pPr>
        <w:rPr>
          <w:b/>
        </w:rPr>
      </w:pPr>
      <w:r w:rsidRPr="00A001E1">
        <w:rPr>
          <w:b/>
        </w:rPr>
        <w:t>Now negate:</w:t>
      </w:r>
    </w:p>
    <w:p w14:paraId="5197E668" w14:textId="77777777" w:rsidR="00B016AE" w:rsidRDefault="00B016AE" w:rsidP="00B016AE">
      <w:pPr>
        <w:pStyle w:val="Heading4"/>
      </w:pPr>
      <w:r>
        <w:t>Negotiations for the WTO TRIPS agreement formed a legitimate contract there was omnilateral consensus. Pharmaceutical agreements have specifically been supported when faced with recent challenges. TRIPS provides the best possible contract because alternative bilateral ones lack flexibility and legitimacy for developing countries.</w:t>
      </w:r>
    </w:p>
    <w:p w14:paraId="4B6F0DBB" w14:textId="77777777" w:rsidR="00B016AE" w:rsidRDefault="00B016AE" w:rsidP="00B016AE">
      <w:pPr>
        <w:rPr>
          <w:rStyle w:val="Style13ptBold"/>
        </w:rPr>
      </w:pPr>
      <w:proofErr w:type="spellStart"/>
      <w:r>
        <w:rPr>
          <w:rStyle w:val="Style13ptBold"/>
        </w:rPr>
        <w:t>Otten</w:t>
      </w:r>
      <w:proofErr w:type="spellEnd"/>
      <w:r>
        <w:rPr>
          <w:rStyle w:val="Style13ptBold"/>
        </w:rPr>
        <w:t xml:space="preserve"> 15</w:t>
      </w:r>
    </w:p>
    <w:p w14:paraId="7E6E92A0" w14:textId="77777777" w:rsidR="00B016AE" w:rsidRPr="00B016AE" w:rsidRDefault="00B016AE" w:rsidP="00B016AE">
      <w:pPr>
        <w:rPr>
          <w:sz w:val="20"/>
          <w:szCs w:val="20"/>
        </w:rPr>
      </w:pPr>
      <w:proofErr w:type="spellStart"/>
      <w:r w:rsidRPr="00B016AE">
        <w:rPr>
          <w:rStyle w:val="Style13ptBold"/>
          <w:b w:val="0"/>
          <w:sz w:val="20"/>
          <w:szCs w:val="20"/>
        </w:rPr>
        <w:t>Otten</w:t>
      </w:r>
      <w:proofErr w:type="spellEnd"/>
      <w:r w:rsidRPr="00B016AE">
        <w:rPr>
          <w:rStyle w:val="Style13ptBold"/>
          <w:b w:val="0"/>
          <w:sz w:val="20"/>
          <w:szCs w:val="20"/>
        </w:rPr>
        <w:t>, Adrian. “</w:t>
      </w:r>
      <w:r w:rsidRPr="00B016AE">
        <w:rPr>
          <w:sz w:val="20"/>
          <w:szCs w:val="20"/>
        </w:rPr>
        <w:t>The TRIPS negotiations: An overview.” 2015. World Trade Organization. https://www.wto.org/english/res_e/booksp_e/trips_agree_e/chapter_3_e.pdf</w:t>
      </w:r>
    </w:p>
    <w:p w14:paraId="72FC0034" w14:textId="77777777" w:rsidR="00B016AE" w:rsidRPr="00B016AE" w:rsidRDefault="00B016AE" w:rsidP="00B016AE">
      <w:pPr>
        <w:rPr>
          <w:rStyle w:val="Style13ptBold"/>
          <w:b w:val="0"/>
          <w:sz w:val="20"/>
          <w:szCs w:val="20"/>
        </w:rPr>
      </w:pPr>
      <w:proofErr w:type="gramStart"/>
      <w:r w:rsidRPr="00B016AE">
        <w:rPr>
          <w:rStyle w:val="Style13ptBold"/>
          <w:b w:val="0"/>
          <w:sz w:val="20"/>
          <w:szCs w:val="20"/>
        </w:rPr>
        <w:t>Former director of the WTO’s intellectual property division.</w:t>
      </w:r>
      <w:proofErr w:type="gramEnd"/>
      <w:r>
        <w:rPr>
          <w:rStyle w:val="Style13ptBold"/>
          <w:b w:val="0"/>
          <w:sz w:val="20"/>
          <w:szCs w:val="20"/>
        </w:rPr>
        <w:t xml:space="preserve"> // Park City NL</w:t>
      </w:r>
    </w:p>
    <w:p w14:paraId="48A0C34D" w14:textId="77777777" w:rsidR="00B016AE" w:rsidRPr="00B016AE" w:rsidRDefault="00B016AE" w:rsidP="00B016AE">
      <w:r w:rsidRPr="00B016AE">
        <w:rPr>
          <w:sz w:val="16"/>
        </w:rPr>
        <w:t>With the passage of time and in the light of the difficulties that the WTO has since had in making headway in its negotiating agenda, the scale of the TRIPS Agreement seems the more remarkable. The pre-existing public international law no longer provided the basis for a functioning multilateral rule of law in the IP area, especially in the field of industrial property where it was silent on most of the key parameters of a minimum standard of protection (protectable subject matter, rights, exceptions and term), not to mention enforcement. Building on and incorporating the key WIPO conventions, the TRIPS Agreement provided for minimum standards in these areas and made the whole Agreement subject to a functioning system for the resolution of disputes between governments, for the first time in the IP area</w:t>
      </w:r>
      <w:r w:rsidRPr="00B016AE">
        <w:rPr>
          <w:u w:val="single"/>
        </w:rPr>
        <w:t xml:space="preserve">. The Agreement has continued to form the </w:t>
      </w:r>
      <w:proofErr w:type="spellStart"/>
      <w:r w:rsidRPr="00B016AE">
        <w:rPr>
          <w:u w:val="single"/>
        </w:rPr>
        <w:t>centrepiece</w:t>
      </w:r>
      <w:proofErr w:type="spellEnd"/>
      <w:r w:rsidRPr="00B016AE">
        <w:rPr>
          <w:u w:val="single"/>
        </w:rPr>
        <w:t xml:space="preserve"> of the multilateral rule of law in an area where there had been marked signs of this breaking down with resort to unilateral withdrawals of trade commitments. It is precisely </w:t>
      </w:r>
      <w:r w:rsidRPr="00B016AE">
        <w:rPr>
          <w:b/>
          <w:highlight w:val="cyan"/>
          <w:u w:val="single"/>
        </w:rPr>
        <w:t>because there were strong</w:t>
      </w:r>
      <w:r w:rsidRPr="00B016AE">
        <w:rPr>
          <w:u w:val="single"/>
        </w:rPr>
        <w:t xml:space="preserve"> perceptions of </w:t>
      </w:r>
      <w:r w:rsidRPr="00B016AE">
        <w:rPr>
          <w:b/>
          <w:highlight w:val="cyan"/>
          <w:u w:val="single"/>
        </w:rPr>
        <w:t>divergences of interest</w:t>
      </w:r>
      <w:r w:rsidRPr="00B016AE">
        <w:rPr>
          <w:u w:val="single"/>
        </w:rPr>
        <w:t xml:space="preserve"> that </w:t>
      </w:r>
      <w:r w:rsidRPr="00B016AE">
        <w:rPr>
          <w:b/>
          <w:highlight w:val="cyan"/>
          <w:u w:val="single"/>
        </w:rPr>
        <w:t>it was essential to achieve a multilateral consensus</w:t>
      </w:r>
      <w:r w:rsidRPr="00B016AE">
        <w:rPr>
          <w:u w:val="single"/>
        </w:rPr>
        <w:t xml:space="preserve"> on how far governments could be expected to go, when setting their domestic IP regimes, in taking account of the interests of their trading partners. The TRIPS Agreement, including the WTO dispute settlement system as applied to it, has stood the test of the last 20 years relatively well. While worked on from both sides (to interpret the flexibilities as broadly as possible and to seek TRIPS-plus commitments through international negotiations in other contexts), </w:t>
      </w:r>
      <w:r w:rsidRPr="00B016AE">
        <w:rPr>
          <w:b/>
          <w:highlight w:val="cyan"/>
          <w:u w:val="single"/>
        </w:rPr>
        <w:t>no effort has been made to reopen the basic balances</w:t>
      </w:r>
      <w:r w:rsidRPr="00B016AE">
        <w:rPr>
          <w:u w:val="single"/>
        </w:rPr>
        <w:t xml:space="preserve"> found in the Agreement, </w:t>
      </w:r>
      <w:r w:rsidRPr="00B016AE">
        <w:rPr>
          <w:b/>
          <w:highlight w:val="cyan"/>
          <w:u w:val="single"/>
        </w:rPr>
        <w:t>except</w:t>
      </w:r>
      <w:r w:rsidRPr="00B016AE">
        <w:rPr>
          <w:u w:val="single"/>
        </w:rPr>
        <w:t xml:space="preserve"> on one relatively small but important point </w:t>
      </w:r>
      <w:r w:rsidRPr="00B016AE">
        <w:rPr>
          <w:b/>
          <w:highlight w:val="cyan"/>
          <w:u w:val="single"/>
        </w:rPr>
        <w:t>in regard to</w:t>
      </w:r>
      <w:r w:rsidRPr="00B016AE">
        <w:rPr>
          <w:u w:val="single"/>
        </w:rPr>
        <w:t xml:space="preserve"> the </w:t>
      </w:r>
      <w:r w:rsidRPr="00B016AE">
        <w:rPr>
          <w:b/>
          <w:highlight w:val="cyan"/>
          <w:u w:val="single"/>
        </w:rPr>
        <w:t>compulsory licensing of pharmaceutical products – where a solution was agreed</w:t>
      </w:r>
      <w:r w:rsidRPr="00B016AE">
        <w:rPr>
          <w:u w:val="single"/>
        </w:rPr>
        <w:t>.</w:t>
      </w:r>
      <w:r w:rsidRPr="00B016AE">
        <w:rPr>
          <w:sz w:val="16"/>
        </w:rPr>
        <w:t xml:space="preserve"> So how was all this possible? As indicated earlier, it was generally recognized that at stake in the Uruguay Round was the very existence of a multilateral system of international trade relations. Indeed, the reality of this was recognized in the fact that the WTO Agreement provided for a new GATT, not the incorporation of the pre-existing GATT, and that any government that decided not to join it would lose its pre-existing trade rights. As also indicated earlier, developed countries became increasingly convinced, as the negotiations progressed, of the central importance to their future international competitiveness of the technology, creativity and reputation incorporated in the goods and services they produced and thus of the TRIPS negotiations, and developing countries came to accept that a successful outcome to the Uruguay Round would require a major result on the TRIPS negotiations. But it was not just in the area of TRIPS that the results of the Uruguay Round exceeded what could have been reasonably envisaged at the outset. This was also the case in some areas to which developing countries attached importance, including as trade-offs for TRIPS: agriculture, which went from being largely excluded from trade commitments to being arguably more comprehensively covered than other areas (although often at higher levels of protection); textiles and clothing, where the previous system of trade restrictions was phased out by 2005 (not by chance the same timeframe as for key developing country obligations under the TRIPS Agreement); and the bringing of emergency safeguard measures under effective multilateral rules, including the end of so-called grey-area measures (such as voluntary export restraints). In other areas, the results also exceeded Punta del Este expectations: the very concept and structure of the WTO, including the multilateral application of virtually all agreements; the greatly strengthened and more juridical dispute settlement system; the establishment of a comprehensive framework for the liberalization of trade in services; and the preference for price-based balance-of-payments restrictions, to name only some. In broader terms, the Uruguay Round represented a major evolution in the basic character of the multilateral trading system, from one focused on border measures applied to goods to one dealing with a spectrum of laws and regulations governing the conditions of competition between the goods, services and persons of contracting parties. Underlying the dissatisfaction with the pre-existing trading system and creating the conditions for these Uruguay Round achievements was a changing view of the role of trade and international markets in economic and social development, especially in developing countries and the countries of the eastern bloc. The failure The TRIPS negotiations: An overview 75 of economic planning and import substitution policies followed by many developing countries and the success of the east Asian “tiger” economies and some ASEAN countries and Chile, which were following more export- and market-oriented policies, was not only influential in other developing countries but also meant that there was a growing kernel of developing countries committed to a major strengthening of the multilateral trading system from the outset. The dramatic collapse of the communist systems in Eastern Europe after the fall of the Berlin Wall in 1989 was both a reflection of the Zeitgeist and a great stimulus to it. Although the TRIPS Agreement went further and faster than some would have decided by themselves, much that was in it was going with the grain of economic policy thinking and reform under way at the time in many developing and Eastern European countries, where there was growing interest in the role of IP systems in promoting domestic innovation and creativity and facilitating the transfer of technology and foreign direct investment</w:t>
      </w:r>
      <w:r w:rsidRPr="00B016AE">
        <w:rPr>
          <w:u w:val="single"/>
        </w:rPr>
        <w:t xml:space="preserve">. Another major consideration for developing countries in accepting the </w:t>
      </w:r>
      <w:r w:rsidRPr="00B016AE">
        <w:rPr>
          <w:b/>
          <w:highlight w:val="cyan"/>
          <w:u w:val="single"/>
        </w:rPr>
        <w:t>TRIPS Agreement</w:t>
      </w:r>
      <w:r w:rsidRPr="00B016AE">
        <w:rPr>
          <w:u w:val="single"/>
        </w:rPr>
        <w:t xml:space="preserve"> was the international recognition they </w:t>
      </w:r>
      <w:r w:rsidRPr="00B016AE">
        <w:rPr>
          <w:b/>
          <w:highlight w:val="cyan"/>
          <w:u w:val="single"/>
        </w:rPr>
        <w:t>secured</w:t>
      </w:r>
      <w:r w:rsidRPr="00B016AE">
        <w:rPr>
          <w:u w:val="single"/>
        </w:rPr>
        <w:t xml:space="preserve"> in it of </w:t>
      </w:r>
      <w:r w:rsidRPr="00B016AE">
        <w:rPr>
          <w:b/>
          <w:highlight w:val="cyan"/>
          <w:u w:val="single"/>
        </w:rPr>
        <w:t>important elements of balance and flexibility in IP systems</w:t>
      </w:r>
      <w:r w:rsidRPr="00B016AE">
        <w:rPr>
          <w:u w:val="single"/>
        </w:rPr>
        <w:t xml:space="preserve">, to safeguard their right to modulate their IP regimes </w:t>
      </w:r>
      <w:r w:rsidRPr="00B016AE">
        <w:rPr>
          <w:b/>
          <w:highlight w:val="cyan"/>
          <w:u w:val="single"/>
        </w:rPr>
        <w:t>to meet their national developmental, technological and public health objectives</w:t>
      </w:r>
      <w:r w:rsidRPr="00B016AE">
        <w:rPr>
          <w:u w:val="single"/>
        </w:rPr>
        <w:t xml:space="preserve">. </w:t>
      </w:r>
      <w:r w:rsidRPr="00B016AE">
        <w:rPr>
          <w:b/>
          <w:highlight w:val="cyan"/>
          <w:u w:val="single"/>
        </w:rPr>
        <w:t>The alternative of negotiating bilaterally with major trading partners</w:t>
      </w:r>
      <w:r w:rsidRPr="00B016AE">
        <w:rPr>
          <w:u w:val="single"/>
        </w:rPr>
        <w:t xml:space="preserve">, where developing countries would find it more difficult to use their collective weight and to exploit the differences between the major </w:t>
      </w:r>
      <w:proofErr w:type="spellStart"/>
      <w:r w:rsidRPr="00B016AE">
        <w:rPr>
          <w:u w:val="single"/>
        </w:rPr>
        <w:t>demandeurs</w:t>
      </w:r>
      <w:proofErr w:type="spellEnd"/>
      <w:r w:rsidRPr="00B016AE">
        <w:rPr>
          <w:u w:val="single"/>
        </w:rPr>
        <w:t xml:space="preserve">, </w:t>
      </w:r>
      <w:r w:rsidRPr="00B016AE">
        <w:rPr>
          <w:b/>
          <w:highlight w:val="cyan"/>
          <w:u w:val="single"/>
        </w:rPr>
        <w:t>could not</w:t>
      </w:r>
      <w:r w:rsidRPr="00B016AE">
        <w:rPr>
          <w:u w:val="single"/>
        </w:rPr>
        <w:t xml:space="preserve"> be expected to </w:t>
      </w:r>
      <w:r w:rsidRPr="00B016AE">
        <w:rPr>
          <w:b/>
          <w:highlight w:val="cyan"/>
          <w:u w:val="single"/>
        </w:rPr>
        <w:t>yield as much flexibility or</w:t>
      </w:r>
      <w:r w:rsidRPr="00B016AE">
        <w:rPr>
          <w:u w:val="single"/>
        </w:rPr>
        <w:t xml:space="preserve"> give it the same degree of </w:t>
      </w:r>
      <w:r w:rsidRPr="00B016AE">
        <w:rPr>
          <w:b/>
          <w:highlight w:val="cyan"/>
          <w:u w:val="single"/>
        </w:rPr>
        <w:t>legitimacy.</w:t>
      </w:r>
      <w:r w:rsidRPr="00B016AE">
        <w:rPr>
          <w:sz w:val="16"/>
        </w:rPr>
        <w:t xml:space="preserve"> When one considers how unusual were the circumstances that made the TRIPS Agreement – and, more generally, the results of the Uruguay Round – possible, one can also understand more readily the difficulties that the WTO has since had in making headway. Paradoxically perhaps, it may be that the comparative success of the WTO in “holding the ring”, even at a time of severe international economic difficulties, has made making progress more difficult: on the whole, the prospect of new benefits is a weak incentive compared with the prospect of the loss of existing ones when it comes to the willingness of governments to expend the political capital necessary for change. Moreover, it may be that the very size of the Uruguay Round results, especially in the TRIPS area, and the lack of appreciation of the special nature of the circumstances that made them possible, has made some governments unduly cautious. There are also other factors complicating progress. One may be the </w:t>
      </w:r>
      <w:proofErr w:type="spellStart"/>
      <w:r w:rsidRPr="00B016AE">
        <w:rPr>
          <w:sz w:val="16"/>
        </w:rPr>
        <w:t>rigour</w:t>
      </w:r>
      <w:proofErr w:type="spellEnd"/>
      <w:r w:rsidRPr="00B016AE">
        <w:rPr>
          <w:sz w:val="16"/>
        </w:rPr>
        <w:t xml:space="preserve"> of the WTO dispute settlement system. This has obvious advantages in providing an expectation of greater security of the benefits being negotiated, but it does the same also for the obligations being entered into. This can make negotiators more cautious and perhaps lead to a greater role for lawyers at the expense of dealmakers. A further factor has been the increasing political importance of nongovernmental </w:t>
      </w:r>
      <w:proofErr w:type="gramStart"/>
      <w:r w:rsidRPr="00B016AE">
        <w:rPr>
          <w:sz w:val="16"/>
        </w:rPr>
        <w:t>organizations,</w:t>
      </w:r>
      <w:proofErr w:type="gramEnd"/>
      <w:r w:rsidRPr="00B016AE">
        <w:rPr>
          <w:sz w:val="16"/>
        </w:rPr>
        <w:t xml:space="preserve"> especially those that claim to represent the public interest and that have a synergetic relationship with the media. While they are a positive force in ensuring that some aspects are fully taken into account, they also increase the political cost of making the compromises necessary in any international negotiation. But perhaps most fundamentally, the WTO and its members are faced with making a transition to a world where a wider spectrum of countries must take the initiative if progress is to be made. Fortunately, its structures do not need modifying to take account of the changing importance of countries in the international trading system (unlike in the cases of the International Monetary Fund and the World Bank, or even the UN), but attitudes do, in both countries that formerly assumed leadership and those that now need to. These changes began in the Uruguay Round, but have still some way to go before the multilateral system can once more play its proper role.</w:t>
      </w:r>
    </w:p>
    <w:p w14:paraId="5A7136EA" w14:textId="77777777" w:rsidR="00B016AE" w:rsidRDefault="00B016AE" w:rsidP="009E622A">
      <w:pPr>
        <w:rPr>
          <w:sz w:val="16"/>
        </w:rPr>
      </w:pPr>
    </w:p>
    <w:p w14:paraId="445495F6" w14:textId="77777777" w:rsidR="00B016AE" w:rsidRDefault="00B016AE" w:rsidP="00B016AE">
      <w:pPr>
        <w:pStyle w:val="Heading4"/>
      </w:pPr>
      <w:r>
        <w:t>Past objections to TRIPS negate – any objections were consensually ignored in order to ensure the agreement passed</w:t>
      </w:r>
    </w:p>
    <w:p w14:paraId="7C09C7DE" w14:textId="77777777" w:rsidR="00B016AE" w:rsidRDefault="00B016AE" w:rsidP="00B016AE">
      <w:pPr>
        <w:rPr>
          <w:rStyle w:val="Style13ptBold"/>
        </w:rPr>
      </w:pPr>
      <w:proofErr w:type="spellStart"/>
      <w:r>
        <w:rPr>
          <w:rStyle w:val="Style13ptBold"/>
        </w:rPr>
        <w:t>Otten</w:t>
      </w:r>
      <w:proofErr w:type="spellEnd"/>
      <w:r>
        <w:rPr>
          <w:rStyle w:val="Style13ptBold"/>
        </w:rPr>
        <w:t xml:space="preserve"> 15</w:t>
      </w:r>
    </w:p>
    <w:p w14:paraId="1E45971F" w14:textId="77777777" w:rsidR="00B016AE" w:rsidRPr="00B016AE" w:rsidRDefault="00B016AE" w:rsidP="00B016AE">
      <w:pPr>
        <w:rPr>
          <w:sz w:val="20"/>
          <w:szCs w:val="20"/>
        </w:rPr>
      </w:pPr>
      <w:proofErr w:type="spellStart"/>
      <w:r w:rsidRPr="00B016AE">
        <w:rPr>
          <w:rStyle w:val="Style13ptBold"/>
          <w:b w:val="0"/>
          <w:sz w:val="20"/>
          <w:szCs w:val="20"/>
        </w:rPr>
        <w:t>Otten</w:t>
      </w:r>
      <w:proofErr w:type="spellEnd"/>
      <w:r w:rsidRPr="00B016AE">
        <w:rPr>
          <w:rStyle w:val="Style13ptBold"/>
          <w:b w:val="0"/>
          <w:sz w:val="20"/>
          <w:szCs w:val="20"/>
        </w:rPr>
        <w:t>, Adrian. “</w:t>
      </w:r>
      <w:r w:rsidRPr="00B016AE">
        <w:rPr>
          <w:sz w:val="20"/>
          <w:szCs w:val="20"/>
        </w:rPr>
        <w:t>The TRIPS negotiations: An overview.” 2015. World Trade Organization. https://www.wto.org/english/res_e/booksp_e/trips_agree_e/chapter_3_e.pdf</w:t>
      </w:r>
    </w:p>
    <w:p w14:paraId="6EC34352" w14:textId="77777777" w:rsidR="00B016AE" w:rsidRPr="00B016AE" w:rsidRDefault="00B016AE" w:rsidP="00B016AE">
      <w:pPr>
        <w:rPr>
          <w:rStyle w:val="Style13ptBold"/>
          <w:b w:val="0"/>
          <w:sz w:val="20"/>
          <w:szCs w:val="20"/>
        </w:rPr>
      </w:pPr>
      <w:proofErr w:type="gramStart"/>
      <w:r w:rsidRPr="00B016AE">
        <w:rPr>
          <w:rStyle w:val="Style13ptBold"/>
          <w:b w:val="0"/>
          <w:sz w:val="20"/>
          <w:szCs w:val="20"/>
        </w:rPr>
        <w:t>Former director of the WTO’s intellectual property division.</w:t>
      </w:r>
      <w:proofErr w:type="gramEnd"/>
      <w:r>
        <w:rPr>
          <w:rStyle w:val="Style13ptBold"/>
          <w:b w:val="0"/>
          <w:sz w:val="20"/>
          <w:szCs w:val="20"/>
        </w:rPr>
        <w:t xml:space="preserve"> // Park City NL</w:t>
      </w:r>
    </w:p>
    <w:p w14:paraId="53FA906E" w14:textId="77777777" w:rsidR="009E622A" w:rsidRPr="009E622A" w:rsidRDefault="009E622A" w:rsidP="009E622A">
      <w:pPr>
        <w:rPr>
          <w:u w:val="single"/>
        </w:rPr>
      </w:pPr>
      <w:r w:rsidRPr="009E622A">
        <w:rPr>
          <w:sz w:val="16"/>
        </w:rPr>
        <w:t xml:space="preserve">The tabling of the Draft Final Act was a major step forward, but it was done on the responsibility of the Chair of the TNC and it remained to be seen how acceptable it would be to participants. Moreover, the arduous process of negotiating specific schedules of tariff, agriculture and services commitments still had to be completed, as did the legal drafting </w:t>
      </w:r>
      <w:proofErr w:type="spellStart"/>
      <w:r w:rsidRPr="009E622A">
        <w:rPr>
          <w:sz w:val="16"/>
        </w:rPr>
        <w:t>clean-up</w:t>
      </w:r>
      <w:proofErr w:type="spellEnd"/>
      <w:r w:rsidRPr="009E622A">
        <w:rPr>
          <w:sz w:val="16"/>
        </w:rPr>
        <w:t xml:space="preserve"> of the texts</w:t>
      </w:r>
      <w:r w:rsidRPr="009E622A">
        <w:rPr>
          <w:u w:val="single"/>
        </w:rPr>
        <w:t>. On matters of substance, the most controversial parts were agriculture, anti-dumping and the concept and details of the proposed MTO, which had been drawn up rather rapidly in the last days before the circulation of the Draft Final Act. It was not until the autumn of 1993 that the time was ripe to attempt to resolve outstanding difficulties in the draft texts and complete the Round.</w:t>
      </w:r>
      <w:r w:rsidRPr="009E622A">
        <w:rPr>
          <w:sz w:val="16"/>
        </w:rPr>
        <w:t xml:space="preserve"> The new GATT Director-General and Chair of the TNC, Peter Sutherland, asked Michael </w:t>
      </w:r>
      <w:proofErr w:type="spellStart"/>
      <w:r w:rsidRPr="009E622A">
        <w:rPr>
          <w:sz w:val="16"/>
        </w:rPr>
        <w:t>Cartland</w:t>
      </w:r>
      <w:proofErr w:type="spellEnd"/>
      <w:r w:rsidRPr="009E622A">
        <w:rPr>
          <w:sz w:val="16"/>
        </w:rPr>
        <w:t xml:space="preserve"> of Hong Kong, acting as a friend of the Chair, to take on the task of resolving any outstanding TRIPS issues. One feature of these consultations was five proposals from the United States, on rental rights and respect for contractual arrangements in the area of copyright and related rights, pipeline and 70 Adrian </w:t>
      </w:r>
      <w:proofErr w:type="spellStart"/>
      <w:r w:rsidRPr="009E622A">
        <w:rPr>
          <w:sz w:val="16"/>
        </w:rPr>
        <w:t>Otten</w:t>
      </w:r>
      <w:proofErr w:type="spellEnd"/>
      <w:r w:rsidRPr="009E622A">
        <w:rPr>
          <w:sz w:val="16"/>
        </w:rPr>
        <w:t xml:space="preserve"> test data protection in regard to pharmaceuticals, and shorter transition periods in regard to enforcement obligations. </w:t>
      </w:r>
      <w:r w:rsidRPr="009E622A">
        <w:rPr>
          <w:u w:val="single"/>
        </w:rPr>
        <w:t xml:space="preserve">While </w:t>
      </w:r>
      <w:r w:rsidRPr="009E622A">
        <w:rPr>
          <w:b/>
          <w:highlight w:val="cyan"/>
          <w:u w:val="single"/>
        </w:rPr>
        <w:t>many</w:t>
      </w:r>
      <w:r w:rsidRPr="009E622A">
        <w:rPr>
          <w:u w:val="single"/>
        </w:rPr>
        <w:t xml:space="preserve"> other </w:t>
      </w:r>
      <w:r w:rsidRPr="009E622A">
        <w:rPr>
          <w:b/>
          <w:highlight w:val="cyan"/>
          <w:u w:val="single"/>
        </w:rPr>
        <w:t>delegations, developed and developing, would</w:t>
      </w:r>
      <w:r w:rsidRPr="009E622A">
        <w:rPr>
          <w:u w:val="single"/>
        </w:rPr>
        <w:t xml:space="preserve"> also </w:t>
      </w:r>
      <w:r w:rsidRPr="009E622A">
        <w:rPr>
          <w:b/>
          <w:highlight w:val="cyan"/>
          <w:u w:val="single"/>
        </w:rPr>
        <w:t>have preferred</w:t>
      </w:r>
      <w:r w:rsidRPr="009E622A">
        <w:rPr>
          <w:u w:val="single"/>
        </w:rPr>
        <w:t xml:space="preserve"> some </w:t>
      </w:r>
      <w:r w:rsidRPr="009E622A">
        <w:rPr>
          <w:b/>
          <w:highlight w:val="cyan"/>
          <w:u w:val="single"/>
        </w:rPr>
        <w:t>changes to</w:t>
      </w:r>
      <w:r w:rsidRPr="009E622A">
        <w:rPr>
          <w:u w:val="single"/>
        </w:rPr>
        <w:t xml:space="preserve"> the </w:t>
      </w:r>
      <w:r w:rsidRPr="009E622A">
        <w:rPr>
          <w:b/>
          <w:highlight w:val="cyan"/>
          <w:u w:val="single"/>
        </w:rPr>
        <w:t>TRIPS</w:t>
      </w:r>
      <w:r w:rsidRPr="009E622A">
        <w:rPr>
          <w:u w:val="single"/>
        </w:rPr>
        <w:t xml:space="preserve"> text in the Draft Final Act, </w:t>
      </w:r>
      <w:r w:rsidRPr="009E622A">
        <w:rPr>
          <w:b/>
          <w:highlight w:val="cyan"/>
          <w:u w:val="single"/>
        </w:rPr>
        <w:t>they</w:t>
      </w:r>
      <w:r w:rsidRPr="009E622A">
        <w:rPr>
          <w:u w:val="single"/>
        </w:rPr>
        <w:t xml:space="preserve"> took the view that they </w:t>
      </w:r>
      <w:r w:rsidRPr="009E622A">
        <w:rPr>
          <w:b/>
          <w:highlight w:val="cyan"/>
          <w:u w:val="single"/>
        </w:rPr>
        <w:t>could live with it as</w:t>
      </w:r>
      <w:r w:rsidRPr="009E622A">
        <w:rPr>
          <w:u w:val="single"/>
        </w:rPr>
        <w:t xml:space="preserve"> part of </w:t>
      </w:r>
      <w:r w:rsidRPr="009E622A">
        <w:rPr>
          <w:b/>
          <w:highlight w:val="cyan"/>
          <w:u w:val="single"/>
        </w:rPr>
        <w:t xml:space="preserve">a balanced outcome to the Round and </w:t>
      </w:r>
      <w:r w:rsidRPr="009E622A">
        <w:rPr>
          <w:u w:val="single"/>
        </w:rPr>
        <w:t>that</w:t>
      </w:r>
      <w:r w:rsidRPr="009E622A">
        <w:rPr>
          <w:b/>
          <w:highlight w:val="cyan"/>
          <w:u w:val="single"/>
        </w:rPr>
        <w:t xml:space="preserve"> any reopening would be dangerous</w:t>
      </w:r>
      <w:r w:rsidRPr="009E622A">
        <w:rPr>
          <w:u w:val="single"/>
        </w:rPr>
        <w:t>.</w:t>
      </w:r>
      <w:r w:rsidRPr="009E622A">
        <w:rPr>
          <w:sz w:val="16"/>
        </w:rPr>
        <w:t xml:space="preserve"> Some developing countries (Egypt, India and Indonesia) indicated what sorts of changes they would like to see if the draft were to be reopened. In the final days of the negotiations, the United States’ priorities switched to limiting the scope for compulsory licensing in the area of semiconductor technology. The other major issue was a concern raised, notably by Canada and many developing countries, about the applicability of so-called non-violation dispute settlement cases in the TRIPS area. These delegations argued that they were not reopening the TRIPS text, but were putting forward their proposals pursuant to a footnote to the TRIPS dispute settlement provision in that text that said that it might need to be revised in the light of the outcome of the work on the integrated dispute settlement system; this had been included because work had been still under way on the proposed integrated dispute settlement system up until the tabling of the Draft Final Act. In the end, two changes were agreed: the addition to Article 64 of paragraphs 2 and 3 on non-violation disputes and the addition of the language in Article 31(c) in regard to semiconductor technology. </w:t>
      </w:r>
      <w:r w:rsidRPr="009E622A">
        <w:rPr>
          <w:u w:val="single"/>
        </w:rPr>
        <w:t>Otherwise, the final TRIPS Agreement</w:t>
      </w:r>
      <w:r w:rsidRPr="009E622A">
        <w:rPr>
          <w:b/>
          <w:u w:val="single"/>
        </w:rPr>
        <w:t xml:space="preserve"> </w:t>
      </w:r>
      <w:r w:rsidRPr="009E622A">
        <w:rPr>
          <w:u w:val="single"/>
        </w:rPr>
        <w:t>text was in substance that tabled in the Draft Final Act of December 1991.</w:t>
      </w:r>
    </w:p>
    <w:p w14:paraId="4E83BEA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96"/>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9E622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44F7"/>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593E"/>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622A"/>
    <w:rsid w:val="009F1CBB"/>
    <w:rsid w:val="009F3305"/>
    <w:rsid w:val="009F6FB2"/>
    <w:rsid w:val="00A001E1"/>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16AE"/>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4DE678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46593E"/>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4659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6593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6593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46593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659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593E"/>
  </w:style>
  <w:style w:type="character" w:customStyle="1" w:styleId="Heading1Char">
    <w:name w:val="Heading 1 Char"/>
    <w:aliases w:val="Pocket Char"/>
    <w:basedOn w:val="DefaultParagraphFont"/>
    <w:link w:val="Heading1"/>
    <w:uiPriority w:val="9"/>
    <w:rsid w:val="0046593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6593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6593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46593E"/>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46593E"/>
    <w:rPr>
      <w:b/>
      <w:sz w:val="26"/>
      <w:u w:val="none"/>
    </w:rPr>
  </w:style>
  <w:style w:type="character" w:customStyle="1" w:styleId="StyleUnderline">
    <w:name w:val="Style Underline"/>
    <w:aliases w:val="Underline"/>
    <w:basedOn w:val="DefaultParagraphFont"/>
    <w:uiPriority w:val="1"/>
    <w:qFormat/>
    <w:rsid w:val="0046593E"/>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46593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6593E"/>
    <w:rPr>
      <w:color w:val="auto"/>
      <w:u w:val="none"/>
    </w:rPr>
  </w:style>
  <w:style w:type="character" w:styleId="Hyperlink">
    <w:name w:val="Hyperlink"/>
    <w:basedOn w:val="DefaultParagraphFont"/>
    <w:uiPriority w:val="99"/>
    <w:semiHidden/>
    <w:unhideWhenUsed/>
    <w:rsid w:val="0046593E"/>
    <w:rPr>
      <w:color w:val="auto"/>
      <w:u w:val="none"/>
    </w:rPr>
  </w:style>
  <w:style w:type="paragraph" w:styleId="DocumentMap">
    <w:name w:val="Document Map"/>
    <w:basedOn w:val="Normal"/>
    <w:link w:val="DocumentMapChar"/>
    <w:uiPriority w:val="99"/>
    <w:semiHidden/>
    <w:unhideWhenUsed/>
    <w:rsid w:val="0046593E"/>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46593E"/>
    <w:rPr>
      <w:rFonts w:ascii="Lucida Grande" w:hAnsi="Lucida Grande" w:cs="Lucida Grande"/>
    </w:rPr>
  </w:style>
  <w:style w:type="paragraph" w:customStyle="1" w:styleId="textbold">
    <w:name w:val="text bold"/>
    <w:basedOn w:val="Normal"/>
    <w:link w:val="Emphasis"/>
    <w:uiPriority w:val="20"/>
    <w:qFormat/>
    <w:rsid w:val="00A001E1"/>
    <w:pPr>
      <w:pBdr>
        <w:top w:val="single" w:sz="18" w:space="0" w:color="auto"/>
        <w:left w:val="single" w:sz="18" w:space="0" w:color="auto"/>
        <w:bottom w:val="single" w:sz="18" w:space="0" w:color="auto"/>
        <w:right w:val="single" w:sz="18" w:space="0" w:color="auto"/>
      </w:pBdr>
      <w:ind w:left="720"/>
      <w:jc w:val="both"/>
    </w:pPr>
    <w:rPr>
      <w:b/>
      <w:iCs/>
      <w:sz w:val="22"/>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46593E"/>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4659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6593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6593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46593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659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593E"/>
  </w:style>
  <w:style w:type="character" w:customStyle="1" w:styleId="Heading1Char">
    <w:name w:val="Heading 1 Char"/>
    <w:aliases w:val="Pocket Char"/>
    <w:basedOn w:val="DefaultParagraphFont"/>
    <w:link w:val="Heading1"/>
    <w:uiPriority w:val="9"/>
    <w:rsid w:val="0046593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6593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6593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46593E"/>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46593E"/>
    <w:rPr>
      <w:b/>
      <w:sz w:val="26"/>
      <w:u w:val="none"/>
    </w:rPr>
  </w:style>
  <w:style w:type="character" w:customStyle="1" w:styleId="StyleUnderline">
    <w:name w:val="Style Underline"/>
    <w:aliases w:val="Underline"/>
    <w:basedOn w:val="DefaultParagraphFont"/>
    <w:uiPriority w:val="1"/>
    <w:qFormat/>
    <w:rsid w:val="0046593E"/>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46593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6593E"/>
    <w:rPr>
      <w:color w:val="auto"/>
      <w:u w:val="none"/>
    </w:rPr>
  </w:style>
  <w:style w:type="character" w:styleId="Hyperlink">
    <w:name w:val="Hyperlink"/>
    <w:basedOn w:val="DefaultParagraphFont"/>
    <w:uiPriority w:val="99"/>
    <w:semiHidden/>
    <w:unhideWhenUsed/>
    <w:rsid w:val="0046593E"/>
    <w:rPr>
      <w:color w:val="auto"/>
      <w:u w:val="none"/>
    </w:rPr>
  </w:style>
  <w:style w:type="paragraph" w:styleId="DocumentMap">
    <w:name w:val="Document Map"/>
    <w:basedOn w:val="Normal"/>
    <w:link w:val="DocumentMapChar"/>
    <w:uiPriority w:val="99"/>
    <w:semiHidden/>
    <w:unhideWhenUsed/>
    <w:rsid w:val="0046593E"/>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46593E"/>
    <w:rPr>
      <w:rFonts w:ascii="Lucida Grande" w:hAnsi="Lucida Grande" w:cs="Lucida Grande"/>
    </w:rPr>
  </w:style>
  <w:style w:type="paragraph" w:customStyle="1" w:styleId="textbold">
    <w:name w:val="text bold"/>
    <w:basedOn w:val="Normal"/>
    <w:link w:val="Emphasis"/>
    <w:uiPriority w:val="20"/>
    <w:qFormat/>
    <w:rsid w:val="00A001E1"/>
    <w:pPr>
      <w:pBdr>
        <w:top w:val="single" w:sz="18" w:space="0" w:color="auto"/>
        <w:left w:val="single" w:sz="18" w:space="0" w:color="auto"/>
        <w:bottom w:val="single" w:sz="18" w:space="0" w:color="auto"/>
        <w:right w:val="single" w:sz="18" w:space="0" w:color="auto"/>
      </w:pBdr>
      <w:ind w:left="720"/>
      <w:jc w:val="both"/>
    </w:pPr>
    <w:rPr>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2328013">
      <w:bodyDiv w:val="1"/>
      <w:marLeft w:val="0"/>
      <w:marRight w:val="0"/>
      <w:marTop w:val="0"/>
      <w:marBottom w:val="0"/>
      <w:divBdr>
        <w:top w:val="none" w:sz="0" w:space="0" w:color="auto"/>
        <w:left w:val="none" w:sz="0" w:space="0" w:color="auto"/>
        <w:bottom w:val="none" w:sz="0" w:space="0" w:color="auto"/>
        <w:right w:val="none" w:sz="0" w:space="0" w:color="auto"/>
      </w:divBdr>
    </w:div>
    <w:div w:id="1093939825">
      <w:bodyDiv w:val="1"/>
      <w:marLeft w:val="0"/>
      <w:marRight w:val="0"/>
      <w:marTop w:val="0"/>
      <w:marBottom w:val="0"/>
      <w:divBdr>
        <w:top w:val="none" w:sz="0" w:space="0" w:color="auto"/>
        <w:left w:val="none" w:sz="0" w:space="0" w:color="auto"/>
        <w:bottom w:val="none" w:sz="0" w:space="0" w:color="auto"/>
        <w:right w:val="none" w:sz="0" w:space="0" w:color="auto"/>
      </w:divBdr>
    </w:div>
    <w:div w:id="214049001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621C00C-F8FD-D549-8BC2-1C0423757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3</Pages>
  <Words>2965</Words>
  <Characters>16906</Characters>
  <Application>Microsoft Macintosh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19832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3</cp:revision>
  <dcterms:created xsi:type="dcterms:W3CDTF">2021-08-23T06:45:00Z</dcterms:created>
  <dcterms:modified xsi:type="dcterms:W3CDTF">2021-08-24T01:51:00Z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