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AB297" w14:textId="77777777" w:rsidR="00E42E4C" w:rsidRDefault="00E777B2" w:rsidP="00E777B2">
      <w:pPr>
        <w:pStyle w:val="Heading1"/>
      </w:pPr>
      <w:r>
        <w:t>1NC</w:t>
      </w:r>
    </w:p>
    <w:p w14:paraId="4482254B" w14:textId="77777777" w:rsidR="00DD041D" w:rsidRDefault="00DD041D" w:rsidP="00DD041D"/>
    <w:p w14:paraId="4FDD914D" w14:textId="77777777" w:rsidR="00DD041D" w:rsidRDefault="00DD041D" w:rsidP="00DD041D">
      <w:pPr>
        <w:pStyle w:val="Heading2"/>
      </w:pPr>
      <w:r>
        <w:t>Theory</w:t>
      </w:r>
    </w:p>
    <w:p w14:paraId="206C5FEF" w14:textId="77777777" w:rsidR="00150854" w:rsidRPr="00150854" w:rsidRDefault="00150854" w:rsidP="00150854"/>
    <w:p w14:paraId="4D35976F" w14:textId="77777777" w:rsidR="00150854" w:rsidRDefault="00150854" w:rsidP="00150854">
      <w:pPr>
        <w:rPr>
          <w:b/>
        </w:rPr>
      </w:pPr>
      <w:r>
        <w:rPr>
          <w:b/>
        </w:rPr>
        <w:t>Interpretation: all affirmative pre-emptive theory arguments must be placed at the top of the 1AC.</w:t>
      </w:r>
    </w:p>
    <w:p w14:paraId="1BFF6866" w14:textId="77777777" w:rsidR="00150854" w:rsidRDefault="00150854" w:rsidP="00150854">
      <w:pPr>
        <w:rPr>
          <w:b/>
        </w:rPr>
      </w:pPr>
      <w:r>
        <w:rPr>
          <w:b/>
        </w:rPr>
        <w:t>Violation: They’re not at the top</w:t>
      </w:r>
    </w:p>
    <w:p w14:paraId="3054DA30" w14:textId="77777777" w:rsidR="00150854" w:rsidRDefault="00150854" w:rsidP="00150854">
      <w:pPr>
        <w:rPr>
          <w:b/>
        </w:rPr>
      </w:pPr>
      <w:r>
        <w:rPr>
          <w:b/>
        </w:rPr>
        <w:t>Standards:</w:t>
      </w:r>
    </w:p>
    <w:p w14:paraId="424321B4" w14:textId="77777777" w:rsidR="00150854" w:rsidRPr="00351C10" w:rsidRDefault="00150854" w:rsidP="00150854">
      <w:pPr>
        <w:pStyle w:val="ListParagraph"/>
        <w:numPr>
          <w:ilvl w:val="0"/>
          <w:numId w:val="21"/>
        </w:numPr>
        <w:spacing w:after="0" w:line="240" w:lineRule="auto"/>
        <w:rPr>
          <w:b/>
        </w:rPr>
      </w:pPr>
      <w:r w:rsidRPr="00351C10">
        <w:rPr>
          <w:b/>
        </w:rPr>
        <w:t xml:space="preserve">Prep Skew – spikes on the bottom force me to create my 1NC strategy while reading the doc pre-round then totally alter it once I see the spikes – destroys a huge portion of my prep time. Saying “spikes on bottom” at the top doesn’t solve because I don’t know if you’ll get through all the spikes, which forces me to </w:t>
      </w:r>
      <w:r>
        <w:rPr>
          <w:b/>
        </w:rPr>
        <w:t>form multiple 1N</w:t>
      </w:r>
      <w:r w:rsidRPr="00351C10">
        <w:rPr>
          <w:b/>
        </w:rPr>
        <w:t>Cs that each counter different spikes, further skewing prep.</w:t>
      </w:r>
      <w:r>
        <w:rPr>
          <w:b/>
        </w:rPr>
        <w:t xml:space="preserve"> Fair prep time is </w:t>
      </w:r>
      <w:proofErr w:type="gramStart"/>
      <w:r>
        <w:rPr>
          <w:b/>
        </w:rPr>
        <w:t>k2</w:t>
      </w:r>
      <w:proofErr w:type="gramEnd"/>
      <w:r>
        <w:rPr>
          <w:b/>
        </w:rPr>
        <w:t xml:space="preserve"> fairness because the </w:t>
      </w:r>
      <w:proofErr w:type="spellStart"/>
      <w:r>
        <w:rPr>
          <w:b/>
        </w:rPr>
        <w:t>aff</w:t>
      </w:r>
      <w:proofErr w:type="spellEnd"/>
      <w:r>
        <w:rPr>
          <w:b/>
        </w:rPr>
        <w:t xml:space="preserve"> will have an unfair advantage if I haven’t had sufficient time to prep out their case.</w:t>
      </w:r>
    </w:p>
    <w:p w14:paraId="2470CE0F" w14:textId="77777777" w:rsidR="00150854" w:rsidRDefault="00150854" w:rsidP="00150854">
      <w:pPr>
        <w:pStyle w:val="ListParagraph"/>
        <w:numPr>
          <w:ilvl w:val="0"/>
          <w:numId w:val="21"/>
        </w:numPr>
        <w:spacing w:after="0" w:line="240" w:lineRule="auto"/>
        <w:rPr>
          <w:b/>
        </w:rPr>
      </w:pPr>
      <w:r>
        <w:rPr>
          <w:b/>
        </w:rPr>
        <w:t>Substance education – spikes on top mean I can plan out a better 1NC strategy that has more clash, leading to increased education on the topic.</w:t>
      </w:r>
    </w:p>
    <w:p w14:paraId="169DDCDC" w14:textId="77777777" w:rsidR="00150854" w:rsidRDefault="00150854" w:rsidP="00150854">
      <w:pPr>
        <w:rPr>
          <w:b/>
        </w:rPr>
      </w:pPr>
    </w:p>
    <w:p w14:paraId="412E9B5E" w14:textId="77777777" w:rsidR="00150854" w:rsidRDefault="00150854" w:rsidP="00150854">
      <w:pPr>
        <w:rPr>
          <w:b/>
        </w:rPr>
      </w:pPr>
    </w:p>
    <w:p w14:paraId="340B4EE0" w14:textId="77777777" w:rsidR="00150854" w:rsidRDefault="00150854" w:rsidP="00150854">
      <w:pPr>
        <w:rPr>
          <w:b/>
        </w:rPr>
      </w:pPr>
      <w:r w:rsidRPr="00BE66DC">
        <w:rPr>
          <w:b/>
        </w:rPr>
        <w:t>Voters</w:t>
      </w:r>
      <w:r>
        <w:rPr>
          <w:b/>
        </w:rPr>
        <w:t>:</w:t>
      </w:r>
      <w:r w:rsidRPr="00BE66DC">
        <w:rPr>
          <w:b/>
        </w:rPr>
        <w:t xml:space="preserve"> </w:t>
      </w:r>
    </w:p>
    <w:p w14:paraId="30DDA62B" w14:textId="77777777" w:rsidR="00150854" w:rsidRDefault="00150854" w:rsidP="00150854">
      <w:pPr>
        <w:rPr>
          <w:b/>
        </w:rPr>
      </w:pPr>
    </w:p>
    <w:p w14:paraId="423C7B57" w14:textId="77777777" w:rsidR="00150854" w:rsidRDefault="00150854" w:rsidP="00150854">
      <w:pPr>
        <w:rPr>
          <w:b/>
        </w:rPr>
      </w:pPr>
      <w:r w:rsidRPr="00BE66DC">
        <w:rPr>
          <w:b/>
        </w:rPr>
        <w:t xml:space="preserve">Fairness is a voter because </w:t>
      </w:r>
    </w:p>
    <w:p w14:paraId="25548988" w14:textId="77777777" w:rsidR="00150854" w:rsidRPr="00875E52" w:rsidRDefault="00150854" w:rsidP="00150854">
      <w:pPr>
        <w:pStyle w:val="ListParagraph"/>
        <w:numPr>
          <w:ilvl w:val="0"/>
          <w:numId w:val="23"/>
        </w:numPr>
        <w:spacing w:after="0" w:line="240" w:lineRule="auto"/>
        <w:rPr>
          <w:b/>
        </w:rPr>
      </w:pPr>
      <w:r w:rsidRPr="00875E52">
        <w:rPr>
          <w:b/>
        </w:rPr>
        <w:t>The only way a judge can determine who’s better is if we enter the debate on an even playing field.</w:t>
      </w:r>
    </w:p>
    <w:p w14:paraId="372CE07A" w14:textId="77777777" w:rsidR="00150854" w:rsidRPr="00875E52" w:rsidRDefault="00150854" w:rsidP="00150854">
      <w:pPr>
        <w:pStyle w:val="ListParagraph"/>
        <w:numPr>
          <w:ilvl w:val="0"/>
          <w:numId w:val="23"/>
        </w:numPr>
        <w:spacing w:after="0" w:line="240" w:lineRule="auto"/>
        <w:rPr>
          <w:b/>
        </w:rPr>
      </w:pPr>
      <w:r w:rsidRPr="00875E52">
        <w:rPr>
          <w:b/>
        </w:rPr>
        <w:t xml:space="preserve">People quit if they lose to unfair arguments so fairness is a </w:t>
      </w:r>
      <w:proofErr w:type="spellStart"/>
      <w:r w:rsidRPr="00875E52">
        <w:rPr>
          <w:b/>
        </w:rPr>
        <w:t>prereq</w:t>
      </w:r>
      <w:proofErr w:type="spellEnd"/>
      <w:r w:rsidRPr="00875E52">
        <w:rPr>
          <w:b/>
        </w:rPr>
        <w:t xml:space="preserve"> to debate’s existence.</w:t>
      </w:r>
    </w:p>
    <w:p w14:paraId="4FAC7964" w14:textId="77777777" w:rsidR="00150854" w:rsidRDefault="00150854" w:rsidP="00150854">
      <w:pPr>
        <w:rPr>
          <w:b/>
        </w:rPr>
      </w:pPr>
    </w:p>
    <w:p w14:paraId="26B9DFB3" w14:textId="77777777" w:rsidR="00150854" w:rsidRDefault="00150854" w:rsidP="00150854">
      <w:pPr>
        <w:rPr>
          <w:b/>
        </w:rPr>
      </w:pPr>
      <w:r>
        <w:rPr>
          <w:b/>
        </w:rPr>
        <w:t>Education is voter because:</w:t>
      </w:r>
    </w:p>
    <w:p w14:paraId="43C79EDC" w14:textId="77777777" w:rsidR="00150854" w:rsidRPr="00BE66DC" w:rsidRDefault="00150854" w:rsidP="00150854">
      <w:pPr>
        <w:pStyle w:val="ListParagraph"/>
        <w:numPr>
          <w:ilvl w:val="0"/>
          <w:numId w:val="22"/>
        </w:numPr>
        <w:spacing w:after="0" w:line="240" w:lineRule="auto"/>
        <w:rPr>
          <w:b/>
        </w:rPr>
      </w:pPr>
      <w:r w:rsidRPr="00BE66DC">
        <w:rPr>
          <w:b/>
        </w:rPr>
        <w:t>It’s the only portable benefit of debate</w:t>
      </w:r>
      <w:r>
        <w:rPr>
          <w:b/>
        </w:rPr>
        <w:t>.</w:t>
      </w:r>
    </w:p>
    <w:p w14:paraId="5C2626AD" w14:textId="77777777" w:rsidR="00150854" w:rsidRPr="00BE66DC" w:rsidRDefault="00150854" w:rsidP="00150854">
      <w:pPr>
        <w:pStyle w:val="ListParagraph"/>
        <w:numPr>
          <w:ilvl w:val="0"/>
          <w:numId w:val="22"/>
        </w:numPr>
        <w:spacing w:after="0" w:line="240" w:lineRule="auto"/>
        <w:rPr>
          <w:b/>
        </w:rPr>
      </w:pPr>
      <w:r>
        <w:rPr>
          <w:b/>
        </w:rPr>
        <w:t>It’s the only reason we get funding.</w:t>
      </w:r>
    </w:p>
    <w:p w14:paraId="3EA6A300" w14:textId="77777777" w:rsidR="00150854" w:rsidRDefault="00150854" w:rsidP="00150854"/>
    <w:p w14:paraId="19C7FCE9" w14:textId="77777777" w:rsidR="00150854" w:rsidRDefault="00150854" w:rsidP="00150854">
      <w:pPr>
        <w:rPr>
          <w:b/>
        </w:rPr>
      </w:pPr>
      <w:r>
        <w:rPr>
          <w:b/>
        </w:rPr>
        <w:t xml:space="preserve">Theory is drop the debater: </w:t>
      </w:r>
    </w:p>
    <w:p w14:paraId="283E3C2E" w14:textId="77777777" w:rsidR="00150854" w:rsidRPr="00875E52" w:rsidRDefault="00150854" w:rsidP="00150854">
      <w:pPr>
        <w:pStyle w:val="ListParagraph"/>
        <w:numPr>
          <w:ilvl w:val="0"/>
          <w:numId w:val="24"/>
        </w:numPr>
        <w:rPr>
          <w:b/>
        </w:rPr>
      </w:pPr>
      <w:r w:rsidRPr="00875E52">
        <w:rPr>
          <w:b/>
        </w:rPr>
        <w:t xml:space="preserve">Only DTD enables theory to deter bad behavior and be a tool for norm setting. Drop the </w:t>
      </w:r>
      <w:proofErr w:type="spellStart"/>
      <w:r w:rsidRPr="00875E52">
        <w:rPr>
          <w:b/>
        </w:rPr>
        <w:t>Arg</w:t>
      </w:r>
      <w:proofErr w:type="spellEnd"/>
      <w:r w:rsidRPr="00875E52">
        <w:rPr>
          <w:b/>
        </w:rPr>
        <w:t xml:space="preserve"> just lets them dodge whatever they did wrong with barley any consequences.</w:t>
      </w:r>
    </w:p>
    <w:p w14:paraId="769779C3" w14:textId="77777777" w:rsidR="00150854" w:rsidRPr="00875E52" w:rsidRDefault="00150854" w:rsidP="00150854">
      <w:pPr>
        <w:pStyle w:val="ListParagraph"/>
        <w:numPr>
          <w:ilvl w:val="0"/>
          <w:numId w:val="24"/>
        </w:numPr>
        <w:rPr>
          <w:b/>
        </w:rPr>
      </w:pPr>
      <w:r w:rsidRPr="00875E52">
        <w:rPr>
          <w:b/>
        </w:rPr>
        <w:t xml:space="preserve">Dropping the </w:t>
      </w:r>
      <w:proofErr w:type="spellStart"/>
      <w:r w:rsidRPr="00875E52">
        <w:rPr>
          <w:b/>
        </w:rPr>
        <w:t>arg</w:t>
      </w:r>
      <w:proofErr w:type="spellEnd"/>
      <w:r w:rsidRPr="00875E52">
        <w:rPr>
          <w:b/>
        </w:rPr>
        <w:t xml:space="preserve"> can’t rectify past abuse because the 1AC was uniquely bad, so there should be a consequence.</w:t>
      </w:r>
    </w:p>
    <w:p w14:paraId="2C2731DD" w14:textId="77777777" w:rsidR="00150854" w:rsidRDefault="00150854" w:rsidP="00150854">
      <w:pPr>
        <w:rPr>
          <w:b/>
        </w:rPr>
      </w:pPr>
    </w:p>
    <w:p w14:paraId="76B0C738" w14:textId="77777777" w:rsidR="00150854" w:rsidRDefault="00150854" w:rsidP="00150854">
      <w:pPr>
        <w:rPr>
          <w:b/>
        </w:rPr>
      </w:pPr>
      <w:r>
        <w:rPr>
          <w:b/>
        </w:rPr>
        <w:t xml:space="preserve">No RVI’s: </w:t>
      </w:r>
    </w:p>
    <w:p w14:paraId="76D7AAAC" w14:textId="77777777" w:rsidR="00150854" w:rsidRPr="00875E52" w:rsidRDefault="00150854" w:rsidP="00150854">
      <w:pPr>
        <w:pStyle w:val="ListParagraph"/>
        <w:numPr>
          <w:ilvl w:val="0"/>
          <w:numId w:val="25"/>
        </w:numPr>
        <w:spacing w:after="0" w:line="240" w:lineRule="auto"/>
        <w:rPr>
          <w:b/>
        </w:rPr>
      </w:pPr>
      <w:proofErr w:type="gramStart"/>
      <w:r w:rsidRPr="00875E52">
        <w:rPr>
          <w:b/>
        </w:rPr>
        <w:t>they’re</w:t>
      </w:r>
      <w:proofErr w:type="gramEnd"/>
      <w:r w:rsidRPr="00875E52">
        <w:rPr>
          <w:b/>
        </w:rPr>
        <w:t xml:space="preserve"> illogical – it doesn’t make sense to reward someone for not doing anything bad. People need to do good things to win.</w:t>
      </w:r>
    </w:p>
    <w:p w14:paraId="4ABB8816" w14:textId="77777777" w:rsidR="00150854" w:rsidRPr="00875E52" w:rsidRDefault="00150854" w:rsidP="00150854">
      <w:pPr>
        <w:pStyle w:val="ListParagraph"/>
        <w:numPr>
          <w:ilvl w:val="0"/>
          <w:numId w:val="25"/>
        </w:numPr>
        <w:spacing w:after="0" w:line="240" w:lineRule="auto"/>
        <w:rPr>
          <w:b/>
        </w:rPr>
      </w:pPr>
      <w:r w:rsidRPr="00875E52">
        <w:rPr>
          <w:b/>
        </w:rPr>
        <w:t>RVI’s chill legitimate theory, justifying even more abuse.</w:t>
      </w:r>
    </w:p>
    <w:p w14:paraId="17609AB9" w14:textId="77777777" w:rsidR="00150854" w:rsidRDefault="00150854" w:rsidP="00150854">
      <w:pPr>
        <w:rPr>
          <w:b/>
        </w:rPr>
      </w:pPr>
    </w:p>
    <w:p w14:paraId="701C5FCE" w14:textId="77777777" w:rsidR="00150854" w:rsidRDefault="00150854" w:rsidP="00150854">
      <w:pPr>
        <w:rPr>
          <w:b/>
        </w:rPr>
      </w:pPr>
      <w:r>
        <w:rPr>
          <w:b/>
        </w:rPr>
        <w:t xml:space="preserve">Competing </w:t>
      </w:r>
      <w:proofErr w:type="spellStart"/>
      <w:r>
        <w:rPr>
          <w:b/>
        </w:rPr>
        <w:t>Interps</w:t>
      </w:r>
      <w:proofErr w:type="spellEnd"/>
      <w:r>
        <w:rPr>
          <w:b/>
        </w:rPr>
        <w:t xml:space="preserve">: </w:t>
      </w:r>
    </w:p>
    <w:p w14:paraId="0B944F4F" w14:textId="77777777" w:rsidR="00150854" w:rsidRPr="00875E52" w:rsidRDefault="00150854" w:rsidP="00150854">
      <w:pPr>
        <w:pStyle w:val="ListParagraph"/>
        <w:numPr>
          <w:ilvl w:val="0"/>
          <w:numId w:val="26"/>
        </w:numPr>
        <w:rPr>
          <w:b/>
        </w:rPr>
      </w:pPr>
      <w:r w:rsidRPr="00875E52">
        <w:rPr>
          <w:b/>
        </w:rPr>
        <w:t xml:space="preserve">Reasonability usually lacks a </w:t>
      </w:r>
      <w:proofErr w:type="spellStart"/>
      <w:r w:rsidRPr="00875E52">
        <w:rPr>
          <w:b/>
        </w:rPr>
        <w:t>brightline</w:t>
      </w:r>
      <w:proofErr w:type="spellEnd"/>
      <w:r w:rsidRPr="00875E52">
        <w:rPr>
          <w:b/>
        </w:rPr>
        <w:t xml:space="preserve"> and favors unnecessary judge intervention.</w:t>
      </w:r>
    </w:p>
    <w:p w14:paraId="53B34BB6" w14:textId="77777777" w:rsidR="00150854" w:rsidRPr="00875E52" w:rsidRDefault="00150854" w:rsidP="00150854">
      <w:pPr>
        <w:pStyle w:val="ListParagraph"/>
        <w:numPr>
          <w:ilvl w:val="0"/>
          <w:numId w:val="26"/>
        </w:numPr>
        <w:rPr>
          <w:b/>
        </w:rPr>
      </w:pPr>
      <w:r w:rsidRPr="00875E52">
        <w:rPr>
          <w:b/>
        </w:rPr>
        <w:t xml:space="preserve">Reasonability lets them arbitrarily choose a </w:t>
      </w:r>
      <w:proofErr w:type="spellStart"/>
      <w:r w:rsidRPr="00875E52">
        <w:rPr>
          <w:b/>
        </w:rPr>
        <w:t>brightline</w:t>
      </w:r>
      <w:proofErr w:type="spellEnd"/>
      <w:r w:rsidRPr="00875E52">
        <w:rPr>
          <w:b/>
        </w:rPr>
        <w:t xml:space="preserve"> that favors their arguments – skews fairness.</w:t>
      </w:r>
    </w:p>
    <w:p w14:paraId="0A7B84B4" w14:textId="77777777" w:rsidR="00DD041D" w:rsidRPr="00DD041D" w:rsidRDefault="00DD041D" w:rsidP="00DD041D"/>
    <w:p w14:paraId="3F9E9CF9" w14:textId="77777777" w:rsidR="00DD041D" w:rsidRDefault="00DD041D" w:rsidP="00DD041D">
      <w:pPr>
        <w:pStyle w:val="Heading2"/>
      </w:pPr>
      <w:r>
        <w:t>K</w:t>
      </w:r>
    </w:p>
    <w:p w14:paraId="42F8D40A" w14:textId="77777777" w:rsidR="00DD041D" w:rsidRDefault="00DD041D" w:rsidP="00DD041D"/>
    <w:p w14:paraId="5EEB5B26" w14:textId="77777777" w:rsidR="00DD041D" w:rsidRPr="00A5328E" w:rsidRDefault="00DD041D" w:rsidP="00DD041D">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0614A0A4" w14:textId="77777777" w:rsidR="00DD041D" w:rsidRPr="00A5328E" w:rsidRDefault="00DD041D" w:rsidP="00DD041D">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60637344" w14:textId="77777777" w:rsidR="00DD041D" w:rsidRPr="006426BA" w:rsidRDefault="00DD041D" w:rsidP="00DD041D">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6249E0AD" w14:textId="77777777" w:rsidR="00DD041D" w:rsidRDefault="00DD041D" w:rsidP="00DD041D">
      <w:pPr>
        <w:pStyle w:val="Heading4"/>
      </w:pPr>
    </w:p>
    <w:p w14:paraId="473D390B" w14:textId="77777777" w:rsidR="00DD041D" w:rsidRDefault="00DD041D" w:rsidP="00DD041D">
      <w:pPr>
        <w:pStyle w:val="Heading4"/>
      </w:pPr>
      <w:r>
        <w:t xml:space="preserve">The 1AC’s legal recognition of workers rights focuses incompletely on one form of subjugation – their attempt at inclusion only reinforces the color line and defines workers as “Men” in contrast to those considered subhuman. This reifies continued violence against those not recognized as fully human by the state. Kantian ethics are premised on every man having inherent agency but ignores those </w:t>
      </w:r>
      <w:proofErr w:type="gramStart"/>
      <w:r>
        <w:t>are aren’t</w:t>
      </w:r>
      <w:proofErr w:type="gramEnd"/>
      <w:r>
        <w:t xml:space="preserve"> considered human – even if they’re theoretically inclusive their method is linked to violence.</w:t>
      </w:r>
    </w:p>
    <w:p w14:paraId="12C23FED" w14:textId="77777777" w:rsidR="00DD041D" w:rsidRDefault="00DD041D" w:rsidP="00DD041D">
      <w:pPr>
        <w:rPr>
          <w:rStyle w:val="Style13ptBold"/>
        </w:rPr>
      </w:pPr>
      <w:proofErr w:type="spellStart"/>
      <w:r>
        <w:rPr>
          <w:rStyle w:val="Style13ptBold"/>
        </w:rPr>
        <w:t>Weheliye</w:t>
      </w:r>
      <w:proofErr w:type="spellEnd"/>
      <w:r>
        <w:rPr>
          <w:rStyle w:val="Style13ptBold"/>
        </w:rPr>
        <w:t xml:space="preserve"> 14</w:t>
      </w:r>
    </w:p>
    <w:p w14:paraId="411B3446" w14:textId="77777777" w:rsidR="00DD041D" w:rsidRDefault="00DD041D" w:rsidP="00DD041D">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4BB13EB7" w14:textId="77777777" w:rsidR="00DD041D" w:rsidRPr="009B391D" w:rsidRDefault="00DD041D" w:rsidP="00DD041D">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69BFD1C9" w14:textId="77777777" w:rsidR="00DD041D" w:rsidRPr="004240CE" w:rsidRDefault="00DD041D" w:rsidP="00DD041D">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6805F659" w14:textId="77777777" w:rsidR="00DD041D" w:rsidRDefault="00DD041D" w:rsidP="00DD041D"/>
    <w:p w14:paraId="47C8A89F" w14:textId="77777777" w:rsidR="00DD041D" w:rsidRPr="000F39D7" w:rsidRDefault="00DD041D" w:rsidP="00DD041D">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Legal personhood and </w:t>
      </w:r>
      <w:r w:rsidRPr="000F39D7">
        <w:rPr>
          <w:i/>
        </w:rPr>
        <w:t>Habeas Corpus</w:t>
      </w:r>
      <w:r>
        <w:rPr>
          <w:i/>
        </w:rPr>
        <w:t xml:space="preserve"> </w:t>
      </w:r>
      <w:r>
        <w:t>are constructed in relation to “Man,” a white, male, propertied, liberal subject who reinforces the color line.</w:t>
      </w:r>
    </w:p>
    <w:p w14:paraId="77F9B200" w14:textId="77777777" w:rsidR="00DD041D" w:rsidRDefault="00DD041D" w:rsidP="00DD041D">
      <w:pPr>
        <w:rPr>
          <w:rStyle w:val="Style13ptBold"/>
        </w:rPr>
      </w:pPr>
      <w:proofErr w:type="spellStart"/>
      <w:r>
        <w:rPr>
          <w:rStyle w:val="Style13ptBold"/>
        </w:rPr>
        <w:t>Weheliye</w:t>
      </w:r>
      <w:proofErr w:type="spellEnd"/>
      <w:r>
        <w:rPr>
          <w:rStyle w:val="Style13ptBold"/>
        </w:rPr>
        <w:t xml:space="preserve"> 14</w:t>
      </w:r>
    </w:p>
    <w:p w14:paraId="412EACD3" w14:textId="77777777" w:rsidR="00DD041D" w:rsidRDefault="00DD041D" w:rsidP="00DD041D">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36A8FA30" w14:textId="77777777" w:rsidR="00DD041D" w:rsidRPr="00BA56D1" w:rsidRDefault="00DD041D" w:rsidP="00DD041D">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0B92CD9F" w14:textId="77777777" w:rsidR="00DD041D" w:rsidRPr="003C2262" w:rsidRDefault="00DD041D" w:rsidP="00DD041D">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19E6F97F" w14:textId="77777777" w:rsidR="00DD041D" w:rsidRDefault="00DD041D" w:rsidP="00DD041D"/>
    <w:p w14:paraId="4CFE4179" w14:textId="77777777" w:rsidR="00DD041D" w:rsidRPr="00BB0E08" w:rsidRDefault="00DD041D" w:rsidP="00DD041D">
      <w:pPr>
        <w:rPr>
          <w:sz w:val="16"/>
        </w:rPr>
      </w:pPr>
    </w:p>
    <w:p w14:paraId="51228B9C" w14:textId="77777777" w:rsidR="00DD041D" w:rsidRDefault="00DD041D" w:rsidP="00DD041D">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p>
    <w:p w14:paraId="3552B28B" w14:textId="77777777" w:rsidR="00DD041D" w:rsidRDefault="00DD041D" w:rsidP="00DD041D">
      <w:pPr>
        <w:rPr>
          <w:rStyle w:val="Style13ptBold"/>
        </w:rPr>
      </w:pPr>
      <w:proofErr w:type="spellStart"/>
      <w:r>
        <w:rPr>
          <w:rStyle w:val="Style13ptBold"/>
        </w:rPr>
        <w:t>Weheliye</w:t>
      </w:r>
      <w:proofErr w:type="spellEnd"/>
      <w:r>
        <w:rPr>
          <w:rStyle w:val="Style13ptBold"/>
        </w:rPr>
        <w:t xml:space="preserve"> 14</w:t>
      </w:r>
    </w:p>
    <w:p w14:paraId="4098544A" w14:textId="77777777" w:rsidR="00DD041D" w:rsidRDefault="00DD041D" w:rsidP="00DD041D">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2EE673E6" w14:textId="77777777" w:rsidR="00DD041D" w:rsidRPr="007F1E76" w:rsidRDefault="00DD041D" w:rsidP="00DD041D">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9F9104D" w14:textId="77777777" w:rsidR="00DD041D" w:rsidRPr="007F1E76" w:rsidRDefault="00DD041D" w:rsidP="00DD041D">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42F33A55" w14:textId="77777777" w:rsidR="00DD041D" w:rsidRPr="00DD041D" w:rsidRDefault="00DD041D" w:rsidP="00DD041D"/>
    <w:p w14:paraId="081198FD" w14:textId="77777777" w:rsidR="00DD041D" w:rsidRDefault="00DD041D" w:rsidP="00DD041D">
      <w:pPr>
        <w:pStyle w:val="Heading2"/>
      </w:pPr>
      <w:r>
        <w:t>Case</w:t>
      </w:r>
    </w:p>
    <w:p w14:paraId="2626C7AD" w14:textId="77777777" w:rsidR="00DD041D" w:rsidRDefault="00DD041D" w:rsidP="00DD041D"/>
    <w:p w14:paraId="38C7004E" w14:textId="77777777" w:rsidR="00DD041D" w:rsidRDefault="00DD041D" w:rsidP="00DD041D">
      <w:pPr>
        <w:pStyle w:val="Heading3"/>
      </w:pPr>
      <w:r>
        <w:t>OV</w:t>
      </w:r>
    </w:p>
    <w:p w14:paraId="45637C9D" w14:textId="77777777" w:rsidR="00DD041D" w:rsidRDefault="00DD041D" w:rsidP="00DD041D"/>
    <w:p w14:paraId="14B0696E" w14:textId="77777777" w:rsidR="00DD041D" w:rsidRPr="00DD041D" w:rsidRDefault="00DD041D" w:rsidP="00DD041D">
      <w:pPr>
        <w:rPr>
          <w:b/>
        </w:rPr>
      </w:pPr>
      <w:r w:rsidRPr="00DD041D">
        <w:rPr>
          <w:b/>
        </w:rPr>
        <w:t>Reject Kantian ethics:</w:t>
      </w:r>
    </w:p>
    <w:p w14:paraId="4EC964FF" w14:textId="77777777" w:rsidR="00DD041D" w:rsidRPr="00266E13" w:rsidRDefault="00DD041D" w:rsidP="00DD041D">
      <w:pPr>
        <w:pStyle w:val="ListParagraph"/>
        <w:numPr>
          <w:ilvl w:val="0"/>
          <w:numId w:val="12"/>
        </w:numPr>
        <w:rPr>
          <w:b/>
        </w:rPr>
      </w:pPr>
      <w:r w:rsidRPr="00266E13">
        <w:rPr>
          <w:b/>
        </w:rPr>
        <w:t xml:space="preserve">Tailoring Objection: I can tailor maxims to be specific and </w:t>
      </w:r>
      <w:proofErr w:type="spellStart"/>
      <w:r w:rsidRPr="00266E13">
        <w:rPr>
          <w:b/>
        </w:rPr>
        <w:t>universalizable</w:t>
      </w:r>
      <w:proofErr w:type="spellEnd"/>
      <w:r w:rsidRPr="00266E13">
        <w:rPr>
          <w:b/>
        </w:rPr>
        <w:t xml:space="preserve">. For example, I can say “Only people named Noam can lie, but not to each other.” It’s </w:t>
      </w:r>
      <w:proofErr w:type="spellStart"/>
      <w:r w:rsidRPr="00266E13">
        <w:rPr>
          <w:b/>
        </w:rPr>
        <w:t>universalizable</w:t>
      </w:r>
      <w:proofErr w:type="spellEnd"/>
      <w:r w:rsidRPr="00266E13">
        <w:rPr>
          <w:b/>
        </w:rPr>
        <w:t>, but still bad. Universalizability doesn’t prevent immoral action.</w:t>
      </w:r>
    </w:p>
    <w:p w14:paraId="1F3461C8" w14:textId="77777777" w:rsidR="00DD041D" w:rsidRPr="00266E13" w:rsidRDefault="00DD041D" w:rsidP="00DD041D">
      <w:pPr>
        <w:pStyle w:val="ListParagraph"/>
        <w:numPr>
          <w:ilvl w:val="0"/>
          <w:numId w:val="12"/>
        </w:numPr>
        <w:rPr>
          <w:b/>
        </w:rPr>
      </w:pPr>
      <w:proofErr w:type="spellStart"/>
      <w:r w:rsidRPr="00266E13">
        <w:rPr>
          <w:b/>
        </w:rPr>
        <w:t>Shmagency</w:t>
      </w:r>
      <w:proofErr w:type="spellEnd"/>
      <w:r w:rsidRPr="00266E13">
        <w:rPr>
          <w:b/>
        </w:rPr>
        <w:t xml:space="preserve"> Objection: Kantianism requires all people to be active moral agents. However, one can merely choose to act out of self-interest rather than moral reasoning. That takes out Kant because it relies on everyone being a moral actor.</w:t>
      </w:r>
    </w:p>
    <w:p w14:paraId="3797F2A6" w14:textId="77777777" w:rsidR="00DD041D" w:rsidRPr="00266E13" w:rsidRDefault="00DD041D" w:rsidP="00DD041D">
      <w:pPr>
        <w:pStyle w:val="ListParagraph"/>
        <w:numPr>
          <w:ilvl w:val="0"/>
          <w:numId w:val="12"/>
        </w:numPr>
        <w:rPr>
          <w:b/>
        </w:rPr>
      </w:pPr>
      <w:r w:rsidRPr="00266E13">
        <w:rPr>
          <w:b/>
        </w:rPr>
        <w:t>Contradiction: Situations where one must violate the categorical imperative no matter what they choose to do. For example, one is given a choice where they can either lie or be pressured into hurting someone. Kant gives no solution, as one can’t weigh between maxims. That makes Kant non-action binding in many situations.</w:t>
      </w:r>
    </w:p>
    <w:p w14:paraId="5B449E99" w14:textId="77777777" w:rsidR="00DD041D" w:rsidRDefault="00DD041D" w:rsidP="00DD041D"/>
    <w:p w14:paraId="72853AAE" w14:textId="77777777" w:rsidR="00DD041D" w:rsidRDefault="00DD041D" w:rsidP="00DD041D">
      <w:pPr>
        <w:pStyle w:val="Heading3"/>
      </w:pPr>
      <w:r>
        <w:t>A2 Reason</w:t>
      </w:r>
    </w:p>
    <w:p w14:paraId="7C292303" w14:textId="77777777" w:rsidR="00DD041D" w:rsidRPr="00DD041D" w:rsidRDefault="00DD041D" w:rsidP="00DD041D"/>
    <w:p w14:paraId="51312964" w14:textId="77777777" w:rsidR="00DD041D" w:rsidRPr="00266E13" w:rsidRDefault="00DD041D" w:rsidP="00DD041D">
      <w:pPr>
        <w:pStyle w:val="Heading4"/>
      </w:pPr>
      <w:r>
        <w:t>Reason isn’t a priori:</w:t>
      </w:r>
    </w:p>
    <w:p w14:paraId="660DD28B" w14:textId="77777777" w:rsidR="00DD041D" w:rsidRPr="00266E13" w:rsidRDefault="00DD041D" w:rsidP="00DD041D">
      <w:pPr>
        <w:pStyle w:val="ListParagraph"/>
        <w:numPr>
          <w:ilvl w:val="0"/>
          <w:numId w:val="13"/>
        </w:numPr>
        <w:rPr>
          <w:b/>
        </w:rPr>
      </w:pPr>
      <w:r w:rsidRPr="00266E13">
        <w:rPr>
          <w:b/>
        </w:rPr>
        <w:t>Some people can’t reason: young children and individuals with intellectual disabilities can’t use formal logic to make ethical choices,</w:t>
      </w:r>
    </w:p>
    <w:p w14:paraId="3B5309F2" w14:textId="77777777" w:rsidR="00DD041D" w:rsidRPr="00266E13" w:rsidRDefault="00DD041D" w:rsidP="00DD041D">
      <w:pPr>
        <w:pStyle w:val="ListParagraph"/>
        <w:numPr>
          <w:ilvl w:val="0"/>
          <w:numId w:val="13"/>
        </w:numPr>
        <w:rPr>
          <w:b/>
        </w:rPr>
      </w:pPr>
      <w:r w:rsidRPr="00266E13">
        <w:rPr>
          <w:b/>
        </w:rPr>
        <w:t xml:space="preserve">Peoples’ reasoning is influenced by their experiences and values. Parents teach their children how to think, peoples’ experiences lead them to make different decisions, and cultural differences lead to differing moral compasses. If reason </w:t>
      </w:r>
      <w:proofErr w:type="gramStart"/>
      <w:r w:rsidRPr="00266E13">
        <w:rPr>
          <w:b/>
        </w:rPr>
        <w:t>was</w:t>
      </w:r>
      <w:proofErr w:type="gramEnd"/>
      <w:r w:rsidRPr="00266E13">
        <w:rPr>
          <w:b/>
        </w:rPr>
        <w:t xml:space="preserve"> objective, a priori, and constitutive to humanity, then everybody would agree on ethics.</w:t>
      </w:r>
    </w:p>
    <w:p w14:paraId="7BB14E85" w14:textId="77777777" w:rsidR="00DD041D" w:rsidRDefault="00DD041D" w:rsidP="00DD041D">
      <w:pPr>
        <w:pStyle w:val="ListParagraph"/>
        <w:numPr>
          <w:ilvl w:val="0"/>
          <w:numId w:val="13"/>
        </w:numPr>
        <w:rPr>
          <w:b/>
        </w:rPr>
      </w:pPr>
      <w:r w:rsidRPr="00266E13">
        <w:rPr>
          <w:b/>
        </w:rPr>
        <w:t xml:space="preserve">Cross apply the </w:t>
      </w:r>
      <w:proofErr w:type="spellStart"/>
      <w:r w:rsidRPr="00266E13">
        <w:rPr>
          <w:b/>
        </w:rPr>
        <w:t>shmagency</w:t>
      </w:r>
      <w:proofErr w:type="spellEnd"/>
      <w:r w:rsidRPr="00266E13">
        <w:rPr>
          <w:b/>
        </w:rPr>
        <w:t xml:space="preserve"> objection – not everybody chooses to reason</w:t>
      </w:r>
    </w:p>
    <w:p w14:paraId="5C1E3AB4" w14:textId="77777777" w:rsidR="00DD041D" w:rsidRDefault="00DD041D" w:rsidP="00DD041D">
      <w:pPr>
        <w:pStyle w:val="ListParagraph"/>
      </w:pPr>
    </w:p>
    <w:p w14:paraId="0EBEE4EF" w14:textId="78A90CFE" w:rsidR="00DD041D" w:rsidRPr="007868DB" w:rsidRDefault="00DD041D" w:rsidP="00DD041D">
      <w:pPr>
        <w:pStyle w:val="Heading4"/>
      </w:pPr>
      <w:r>
        <w:t>A2 Regress:</w:t>
      </w:r>
    </w:p>
    <w:p w14:paraId="4C615A9F" w14:textId="77777777" w:rsidR="00DD041D" w:rsidRPr="00266E13" w:rsidRDefault="00DD041D" w:rsidP="00DD041D">
      <w:pPr>
        <w:pStyle w:val="ListParagraph"/>
        <w:numPr>
          <w:ilvl w:val="0"/>
          <w:numId w:val="14"/>
        </w:numPr>
        <w:rPr>
          <w:b/>
        </w:rPr>
      </w:pPr>
      <w:r w:rsidRPr="00266E13">
        <w:rPr>
          <w:b/>
        </w:rPr>
        <w:t xml:space="preserve">“A reason” isn’t the same as “reason.” reason is rationality, while “A reason” is a justification. Justification doesn’t </w:t>
      </w:r>
      <w:proofErr w:type="gramStart"/>
      <w:r w:rsidRPr="00266E13">
        <w:rPr>
          <w:b/>
        </w:rPr>
        <w:t>ceded</w:t>
      </w:r>
      <w:proofErr w:type="gramEnd"/>
      <w:r w:rsidRPr="00266E13">
        <w:rPr>
          <w:b/>
        </w:rPr>
        <w:t xml:space="preserve"> the authority of rationality. Justification can also be empirical rather than rational.</w:t>
      </w:r>
    </w:p>
    <w:p w14:paraId="4DDE6FA3" w14:textId="77777777" w:rsidR="00DD041D" w:rsidRPr="00266E13" w:rsidRDefault="00DD041D" w:rsidP="00DD041D">
      <w:pPr>
        <w:pStyle w:val="ListParagraph"/>
        <w:numPr>
          <w:ilvl w:val="0"/>
          <w:numId w:val="14"/>
        </w:numPr>
        <w:rPr>
          <w:b/>
        </w:rPr>
      </w:pPr>
      <w:r w:rsidRPr="00266E13">
        <w:rPr>
          <w:b/>
        </w:rPr>
        <w:t>The argument is circular. “Reason is good because it is reasonable” just assumes that reason has authority. Using reason to justify reason doesn’t make reason inherently true.</w:t>
      </w:r>
    </w:p>
    <w:p w14:paraId="08645CD2" w14:textId="77777777" w:rsidR="00150854" w:rsidRDefault="00150854" w:rsidP="00DD041D">
      <w:pPr>
        <w:pStyle w:val="ListParagraph"/>
      </w:pPr>
    </w:p>
    <w:p w14:paraId="0D49912D" w14:textId="65DF79FB" w:rsidR="00150854" w:rsidRPr="00150854" w:rsidRDefault="00150854" w:rsidP="00DD041D">
      <w:pPr>
        <w:pStyle w:val="ListParagraph"/>
        <w:rPr>
          <w:b/>
        </w:rPr>
      </w:pPr>
      <w:r w:rsidRPr="00150854">
        <w:rPr>
          <w:b/>
        </w:rPr>
        <w:t xml:space="preserve">On Ferrero – we can use other methods to change our identity – things without setting concrete ends change </w:t>
      </w:r>
      <w:proofErr w:type="gramStart"/>
      <w:r w:rsidRPr="00150854">
        <w:rPr>
          <w:b/>
        </w:rPr>
        <w:t>who</w:t>
      </w:r>
      <w:proofErr w:type="gramEnd"/>
      <w:r w:rsidRPr="00150854">
        <w:rPr>
          <w:b/>
        </w:rPr>
        <w:t xml:space="preserve"> we are</w:t>
      </w:r>
    </w:p>
    <w:p w14:paraId="2AC4D364" w14:textId="77777777" w:rsidR="00DD041D" w:rsidRDefault="00DD041D" w:rsidP="00DD041D">
      <w:pPr>
        <w:pStyle w:val="Heading4"/>
      </w:pPr>
      <w:r>
        <w:t>A2 Action Theory</w:t>
      </w:r>
    </w:p>
    <w:p w14:paraId="5BEE7500" w14:textId="77777777" w:rsidR="00DD041D" w:rsidRPr="007868DB" w:rsidRDefault="00DD041D" w:rsidP="00DD041D">
      <w:pPr>
        <w:pStyle w:val="ListParagraph"/>
        <w:numPr>
          <w:ilvl w:val="0"/>
          <w:numId w:val="15"/>
        </w:numPr>
        <w:rPr>
          <w:b/>
        </w:rPr>
      </w:pPr>
      <w:r w:rsidRPr="007868DB">
        <w:rPr>
          <w:b/>
        </w:rPr>
        <w:t>Intent unifies our actions, which isn’t necessarily defined by reason. We can take actions unified by intuition or emotion.</w:t>
      </w:r>
    </w:p>
    <w:p w14:paraId="660B5A63" w14:textId="77777777" w:rsidR="00DD041D" w:rsidRDefault="00DD041D" w:rsidP="00DD041D">
      <w:pPr>
        <w:pStyle w:val="ListParagraph"/>
        <w:numPr>
          <w:ilvl w:val="0"/>
          <w:numId w:val="15"/>
        </w:numPr>
        <w:rPr>
          <w:b/>
        </w:rPr>
      </w:pPr>
      <w:r>
        <w:rPr>
          <w:b/>
        </w:rPr>
        <w:t>No warrant for why explaining unified action justifies their framework.</w:t>
      </w:r>
    </w:p>
    <w:p w14:paraId="5C977C8D" w14:textId="77777777" w:rsidR="00DD041D" w:rsidRDefault="00DD041D" w:rsidP="00DD041D">
      <w:pPr>
        <w:pStyle w:val="ListParagraph"/>
        <w:numPr>
          <w:ilvl w:val="0"/>
          <w:numId w:val="15"/>
        </w:numPr>
        <w:rPr>
          <w:b/>
        </w:rPr>
      </w:pPr>
      <w:r>
        <w:rPr>
          <w:b/>
        </w:rPr>
        <w:t>Non-unified action is fine: each miniscule movement of your arm can have moral content.</w:t>
      </w:r>
      <w:r w:rsidRPr="007868DB">
        <w:rPr>
          <w:b/>
        </w:rPr>
        <w:t xml:space="preserve"> </w:t>
      </w:r>
    </w:p>
    <w:p w14:paraId="3A921F57" w14:textId="77777777" w:rsidR="00DD041D" w:rsidRDefault="00DD041D" w:rsidP="00DD041D"/>
    <w:p w14:paraId="12C91896" w14:textId="77777777" w:rsidR="00DD041D" w:rsidRDefault="00DD041D" w:rsidP="00DD041D">
      <w:pPr>
        <w:pStyle w:val="Heading3"/>
      </w:pPr>
      <w:r>
        <w:t xml:space="preserve">A2 Prefer </w:t>
      </w:r>
      <w:proofErr w:type="spellStart"/>
      <w:r>
        <w:t>Additionaly</w:t>
      </w:r>
      <w:proofErr w:type="spellEnd"/>
    </w:p>
    <w:p w14:paraId="47C0ED03" w14:textId="77777777" w:rsidR="00DD041D" w:rsidRDefault="00DD041D" w:rsidP="00DD041D"/>
    <w:p w14:paraId="4F51609C" w14:textId="77777777" w:rsidR="00DD041D" w:rsidRDefault="00DD041D" w:rsidP="00DD041D">
      <w:pPr>
        <w:pStyle w:val="Heading4"/>
      </w:pPr>
      <w:r>
        <w:t>A2 Performativity:</w:t>
      </w:r>
    </w:p>
    <w:p w14:paraId="7FF41650" w14:textId="77777777" w:rsidR="00DD041D" w:rsidRPr="00EA1216" w:rsidRDefault="00DD041D" w:rsidP="00DD041D">
      <w:pPr>
        <w:pStyle w:val="ListParagraph"/>
        <w:numPr>
          <w:ilvl w:val="0"/>
          <w:numId w:val="16"/>
        </w:numPr>
        <w:rPr>
          <w:b/>
        </w:rPr>
      </w:pPr>
      <w:r w:rsidRPr="00EA1216">
        <w:rPr>
          <w:b/>
        </w:rPr>
        <w:t xml:space="preserve">Frameworks other than </w:t>
      </w:r>
      <w:proofErr w:type="spellStart"/>
      <w:r w:rsidRPr="00EA1216">
        <w:rPr>
          <w:b/>
        </w:rPr>
        <w:t>kant</w:t>
      </w:r>
      <w:proofErr w:type="spellEnd"/>
      <w:r w:rsidRPr="00EA1216">
        <w:rPr>
          <w:b/>
        </w:rPr>
        <w:t xml:space="preserve"> also justify </w:t>
      </w:r>
      <w:r>
        <w:rPr>
          <w:b/>
        </w:rPr>
        <w:t xml:space="preserve">defending an ethic </w:t>
      </w:r>
      <w:r w:rsidRPr="00EA1216">
        <w:rPr>
          <w:b/>
        </w:rPr>
        <w:t>(insert why yours does)</w:t>
      </w:r>
    </w:p>
    <w:p w14:paraId="5208EC81" w14:textId="77777777" w:rsidR="00DD041D" w:rsidRDefault="00DD041D" w:rsidP="00DD041D">
      <w:pPr>
        <w:pStyle w:val="ListParagraph"/>
        <w:numPr>
          <w:ilvl w:val="0"/>
          <w:numId w:val="16"/>
        </w:numPr>
        <w:rPr>
          <w:b/>
        </w:rPr>
      </w:pPr>
      <w:r>
        <w:rPr>
          <w:b/>
        </w:rPr>
        <w:t>The performance of debate undermines Kantian epistemology: the fact that we need to discuss ethics proves that morality can’t be conceived of solely by rationality.</w:t>
      </w:r>
    </w:p>
    <w:p w14:paraId="3B65EB01" w14:textId="77777777" w:rsidR="00DD041D" w:rsidRDefault="00DD041D" w:rsidP="00DD041D">
      <w:pPr>
        <w:pStyle w:val="ListParagraph"/>
        <w:rPr>
          <w:b/>
        </w:rPr>
      </w:pPr>
    </w:p>
    <w:p w14:paraId="04B7B9BE" w14:textId="77777777" w:rsidR="00DD041D" w:rsidRDefault="00DD041D" w:rsidP="00DD041D">
      <w:pPr>
        <w:rPr>
          <w:b/>
        </w:rPr>
      </w:pPr>
    </w:p>
    <w:p w14:paraId="6A90F43D" w14:textId="77777777" w:rsidR="00DD041D" w:rsidRPr="00DD041D" w:rsidRDefault="00DD041D" w:rsidP="00DD041D">
      <w:bookmarkStart w:id="0" w:name="_GoBack"/>
      <w:bookmarkEnd w:id="0"/>
    </w:p>
    <w:p w14:paraId="55F6C716" w14:textId="77777777" w:rsidR="00E777B2" w:rsidRDefault="00DD041D" w:rsidP="00DD041D">
      <w:pPr>
        <w:pStyle w:val="Heading3"/>
      </w:pPr>
      <w:r>
        <w:t>Turns</w:t>
      </w:r>
    </w:p>
    <w:p w14:paraId="77408BA7" w14:textId="77777777" w:rsidR="00DD041D" w:rsidRDefault="00DD041D" w:rsidP="00DD041D"/>
    <w:p w14:paraId="023A7EC2" w14:textId="77777777" w:rsidR="00DD041D" w:rsidRDefault="00DD041D" w:rsidP="00DD041D">
      <w:pPr>
        <w:pStyle w:val="Heading4"/>
      </w:pPr>
      <w:r>
        <w:t>[1] Strikes fail to fulfill duty</w:t>
      </w:r>
    </w:p>
    <w:p w14:paraId="191D79F9" w14:textId="77777777" w:rsidR="00DD041D" w:rsidRPr="00F21509" w:rsidRDefault="00DD041D" w:rsidP="00DD041D">
      <w:proofErr w:type="spellStart"/>
      <w:r w:rsidRPr="00F21509">
        <w:rPr>
          <w:rStyle w:val="Style13ptBold"/>
        </w:rPr>
        <w:t>Fourie</w:t>
      </w:r>
      <w:proofErr w:type="spellEnd"/>
      <w:r w:rsidRPr="00F21509">
        <w:rPr>
          <w:rStyle w:val="Style13ptBold"/>
        </w:rPr>
        <w:t xml:space="preserve"> 17</w:t>
      </w:r>
      <w:r>
        <w:t xml:space="preserve"> </w:t>
      </w:r>
      <w:r w:rsidRPr="00384BFB">
        <w:rPr>
          <w:sz w:val="16"/>
          <w:szCs w:val="16"/>
        </w:rPr>
        <w:t xml:space="preserve">Johan </w:t>
      </w:r>
      <w:proofErr w:type="spellStart"/>
      <w:r w:rsidRPr="00384BFB">
        <w:rPr>
          <w:sz w:val="16"/>
          <w:szCs w:val="16"/>
        </w:rPr>
        <w:t>Fourie</w:t>
      </w:r>
      <w:proofErr w:type="spellEnd"/>
      <w:r w:rsidRPr="00384BFB">
        <w:rPr>
          <w:sz w:val="16"/>
          <w:szCs w:val="16"/>
        </w:rPr>
        <w:t xml:space="preserv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w:t>
      </w:r>
      <w:proofErr w:type="spellStart"/>
      <w:r w:rsidRPr="00384BFB">
        <w:rPr>
          <w:sz w:val="16"/>
          <w:szCs w:val="16"/>
        </w:rPr>
        <w:t>Fourie</w:t>
      </w:r>
      <w:proofErr w:type="spellEnd"/>
      <w:r w:rsidRPr="00384BFB">
        <w:rPr>
          <w:sz w:val="16"/>
          <w:szCs w:val="16"/>
        </w:rPr>
        <w:t xml:space="preserve"> is professor of Economics and History at Stellenbosch University.</w:t>
      </w:r>
      <w:r>
        <w:rPr>
          <w:sz w:val="16"/>
          <w:szCs w:val="16"/>
        </w:rPr>
        <w:t>) JG</w:t>
      </w:r>
    </w:p>
    <w:p w14:paraId="1ADD005B" w14:textId="77777777" w:rsidR="00DD041D" w:rsidRDefault="00DD041D" w:rsidP="00DD041D">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 xml:space="preserve">whether it </w:t>
      </w:r>
      <w:proofErr w:type="spellStart"/>
      <w:r w:rsidRPr="00F83D7D">
        <w:rPr>
          <w:b/>
          <w:bCs/>
          <w:sz w:val="26"/>
          <w:szCs w:val="26"/>
          <w:highlight w:val="green"/>
          <w:u w:val="single"/>
        </w:rPr>
        <w:t>fulfils</w:t>
      </w:r>
      <w:proofErr w:type="spellEnd"/>
      <w:r w:rsidRPr="00F83D7D">
        <w:rPr>
          <w:b/>
          <w:bCs/>
          <w:sz w:val="26"/>
          <w:szCs w:val="26"/>
          <w:highlight w:val="green"/>
          <w:u w:val="single"/>
        </w:rPr>
        <w:t xml:space="preserve">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w:t>
      </w:r>
      <w:proofErr w:type="gramStart"/>
      <w:r w:rsidRPr="00384BFB">
        <w:rPr>
          <w:sz w:val="14"/>
          <w:szCs w:val="26"/>
        </w:rPr>
        <w:t>Imperatives which</w:t>
      </w:r>
      <w:proofErr w:type="gramEnd"/>
      <w:r w:rsidRPr="00384BFB">
        <w:rPr>
          <w:sz w:val="14"/>
          <w:szCs w:val="26"/>
        </w:rPr>
        <w:t xml:space="preserve">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t>
      </w:r>
      <w:proofErr w:type="gramStart"/>
      <w:r w:rsidRPr="00384BFB">
        <w:rPr>
          <w:sz w:val="26"/>
          <w:szCs w:val="26"/>
          <w:u w:val="single"/>
        </w:rPr>
        <w:t>well-being</w:t>
      </w:r>
      <w:proofErr w:type="gramEnd"/>
      <w:r w:rsidRPr="00384BFB">
        <w:rPr>
          <w:sz w:val="26"/>
          <w:szCs w:val="26"/>
          <w:u w:val="single"/>
        </w:rPr>
        <w:t xml:space="preserve">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 xml:space="preserve">With these services not available, social workers will experience suffering, frustration, unhappiness, </w:t>
      </w:r>
      <w:proofErr w:type="gramStart"/>
      <w:r w:rsidRPr="00384BFB">
        <w:rPr>
          <w:sz w:val="26"/>
          <w:szCs w:val="26"/>
          <w:u w:val="single"/>
        </w:rPr>
        <w:t>harm</w:t>
      </w:r>
      <w:proofErr w:type="gramEnd"/>
      <w:r w:rsidRPr="00384BFB">
        <w:rPr>
          <w:sz w:val="26"/>
          <w:szCs w:val="26"/>
          <w:u w:val="single"/>
        </w:rPr>
        <w:t xml:space="preserve"> as the clients will do with their absence from the office. To this regard, participating and demonstrating labor strike action is not adhering to duty or morally permissible.</w:t>
      </w:r>
      <w:r w:rsidRPr="00384BFB">
        <w:rPr>
          <w:sz w:val="14"/>
          <w:szCs w:val="26"/>
        </w:rPr>
        <w:t xml:space="preserve"> </w:t>
      </w:r>
    </w:p>
    <w:p w14:paraId="2B6364B3" w14:textId="77777777" w:rsidR="00DD041D" w:rsidRPr="00384BFB" w:rsidRDefault="00DD041D" w:rsidP="00DD041D">
      <w:pPr>
        <w:rPr>
          <w:sz w:val="14"/>
          <w:szCs w:val="26"/>
        </w:rPr>
      </w:pPr>
    </w:p>
    <w:p w14:paraId="1F1ADF00" w14:textId="77777777" w:rsidR="00DD041D" w:rsidRDefault="00DD041D" w:rsidP="00DD041D">
      <w:pPr>
        <w:pStyle w:val="Heading4"/>
      </w:pPr>
      <w:r>
        <w:t>[2] Uses others as a mere means to an end</w:t>
      </w:r>
    </w:p>
    <w:p w14:paraId="64E9D0C6" w14:textId="77777777" w:rsidR="00DD041D" w:rsidRPr="00384BFB" w:rsidRDefault="00DD041D" w:rsidP="00DD041D">
      <w:pPr>
        <w:rPr>
          <w:sz w:val="16"/>
          <w:szCs w:val="16"/>
        </w:rPr>
      </w:pPr>
      <w:proofErr w:type="spellStart"/>
      <w:r w:rsidRPr="00F21509">
        <w:rPr>
          <w:rStyle w:val="Style13ptBold"/>
        </w:rPr>
        <w:t>Fourie</w:t>
      </w:r>
      <w:proofErr w:type="spellEnd"/>
      <w:r w:rsidRPr="00F21509">
        <w:rPr>
          <w:rStyle w:val="Style13ptBold"/>
        </w:rPr>
        <w:t xml:space="preserve"> 17</w:t>
      </w:r>
      <w:r>
        <w:t xml:space="preserve"> </w:t>
      </w:r>
      <w:r w:rsidRPr="00384BFB">
        <w:rPr>
          <w:sz w:val="16"/>
          <w:szCs w:val="16"/>
        </w:rPr>
        <w:t xml:space="preserve">Johan </w:t>
      </w:r>
      <w:proofErr w:type="spellStart"/>
      <w:r w:rsidRPr="00384BFB">
        <w:rPr>
          <w:sz w:val="16"/>
          <w:szCs w:val="16"/>
        </w:rPr>
        <w:t>Fourie</w:t>
      </w:r>
      <w:proofErr w:type="spellEnd"/>
      <w:r w:rsidRPr="00384BFB">
        <w:rPr>
          <w:sz w:val="16"/>
          <w:szCs w:val="16"/>
        </w:rPr>
        <w:t xml:space="preserv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w:t>
      </w:r>
      <w:proofErr w:type="spellStart"/>
      <w:r w:rsidRPr="00384BFB">
        <w:rPr>
          <w:sz w:val="16"/>
          <w:szCs w:val="16"/>
        </w:rPr>
        <w:t>Fourie</w:t>
      </w:r>
      <w:proofErr w:type="spellEnd"/>
      <w:r w:rsidRPr="00384BFB">
        <w:rPr>
          <w:sz w:val="16"/>
          <w:szCs w:val="16"/>
        </w:rPr>
        <w:t xml:space="preserve"> is professor of Economics and History at Stellenbosch University.</w:t>
      </w:r>
      <w:r>
        <w:rPr>
          <w:sz w:val="16"/>
          <w:szCs w:val="16"/>
        </w:rPr>
        <w:t>) JG</w:t>
      </w:r>
    </w:p>
    <w:p w14:paraId="78FB2A98" w14:textId="77777777" w:rsidR="00DD041D" w:rsidRDefault="00DD041D" w:rsidP="00DD041D">
      <w:pPr>
        <w:rPr>
          <w:sz w:val="26"/>
          <w:szCs w:val="26"/>
          <w:u w:val="single"/>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t>
      </w:r>
      <w:proofErr w:type="gramStart"/>
      <w:r w:rsidRPr="00384BFB">
        <w:rPr>
          <w:sz w:val="26"/>
          <w:szCs w:val="26"/>
          <w:u w:val="single"/>
        </w:rPr>
        <w:t>well-being</w:t>
      </w:r>
      <w:proofErr w:type="gramEnd"/>
      <w:r w:rsidRPr="00384BFB">
        <w:rPr>
          <w:sz w:val="26"/>
          <w:szCs w:val="26"/>
          <w:u w:val="single"/>
        </w:rPr>
        <w:t xml:space="preserve">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t>
      </w:r>
      <w:proofErr w:type="gramStart"/>
      <w:r w:rsidRPr="00384BFB">
        <w:rPr>
          <w:sz w:val="26"/>
          <w:szCs w:val="26"/>
          <w:u w:val="single"/>
        </w:rPr>
        <w:t>well-being</w:t>
      </w:r>
      <w:proofErr w:type="gramEnd"/>
      <w:r w:rsidRPr="00384BFB">
        <w:rPr>
          <w:sz w:val="26"/>
          <w:szCs w:val="26"/>
          <w:u w:val="single"/>
        </w:rPr>
        <w:t xml:space="preserve"> and welfare of society have lost its inherent importance/value. Though the value of overall </w:t>
      </w:r>
      <w:proofErr w:type="gramStart"/>
      <w:r w:rsidRPr="00384BFB">
        <w:rPr>
          <w:sz w:val="26"/>
          <w:szCs w:val="26"/>
          <w:u w:val="single"/>
        </w:rPr>
        <w:t>well-being</w:t>
      </w:r>
      <w:proofErr w:type="gramEnd"/>
      <w:r w:rsidRPr="00384BFB">
        <w:rPr>
          <w:sz w:val="26"/>
          <w:szCs w:val="26"/>
          <w:u w:val="single"/>
        </w:rPr>
        <w:t xml:space="preserve"> is taught throughout the social work training process and is enshrined in the professional ethical codes. </w:t>
      </w:r>
    </w:p>
    <w:p w14:paraId="569E1449" w14:textId="77777777" w:rsidR="00DD041D" w:rsidRPr="00DD041D" w:rsidRDefault="00DD041D" w:rsidP="00DD041D">
      <w:pPr>
        <w:rPr>
          <w:sz w:val="14"/>
          <w:szCs w:val="26"/>
        </w:rPr>
      </w:pPr>
    </w:p>
    <w:p w14:paraId="097D1328" w14:textId="77777777" w:rsidR="00DD041D" w:rsidRDefault="00DD041D" w:rsidP="00DD041D">
      <w:pPr>
        <w:pStyle w:val="Heading4"/>
      </w:pPr>
      <w:r>
        <w:t>[3] Violence is intrinsic to certain strikes and are uniquely unethical</w:t>
      </w:r>
    </w:p>
    <w:p w14:paraId="1E54A8D2" w14:textId="77777777" w:rsidR="00DD041D" w:rsidRPr="00384BFB" w:rsidRDefault="00DD041D" w:rsidP="00DD041D">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w:t>
      </w:r>
      <w:proofErr w:type="gramStart"/>
      <w:r w:rsidRPr="00384BFB">
        <w:rPr>
          <w:sz w:val="16"/>
          <w:szCs w:val="16"/>
        </w:rPr>
        <w:t>The liability of trade unions for conduct of their members during industrial action.</w:t>
      </w:r>
      <w:proofErr w:type="gramEnd"/>
      <w:r w:rsidRPr="00384BFB">
        <w:rPr>
          <w:sz w:val="16"/>
          <w:szCs w:val="16"/>
        </w:rPr>
        <w:t xml:space="preserve"> Diss. 2016. (</w:t>
      </w:r>
      <w:proofErr w:type="gramStart"/>
      <w:r w:rsidRPr="00384BFB">
        <w:rPr>
          <w:sz w:val="16"/>
          <w:szCs w:val="16"/>
        </w:rPr>
        <w:t>lecturer</w:t>
      </w:r>
      <w:proofErr w:type="gramEnd"/>
      <w:r w:rsidRPr="00384BFB">
        <w:rPr>
          <w:sz w:val="16"/>
          <w:szCs w:val="16"/>
        </w:rPr>
        <w:t xml:space="preserve">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30DD381D" w14:textId="77777777" w:rsidR="00DD041D" w:rsidRPr="00F83D7D" w:rsidRDefault="00DD041D" w:rsidP="00DD041D">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w:t>
      </w:r>
      <w:proofErr w:type="spellStart"/>
      <w:r w:rsidRPr="00384BFB">
        <w:rPr>
          <w:sz w:val="14"/>
          <w:szCs w:val="26"/>
        </w:rPr>
        <w:t>spaza</w:t>
      </w:r>
      <w:proofErr w:type="spellEnd"/>
      <w:r w:rsidRPr="00384BFB">
        <w:rPr>
          <w:sz w:val="14"/>
          <w:szCs w:val="26"/>
        </w:rPr>
        <w:t xml:space="preserve">-shop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proofErr w:type="gramStart"/>
      <w:r w:rsidRPr="00384BFB">
        <w:rPr>
          <w:sz w:val="26"/>
          <w:szCs w:val="26"/>
          <w:u w:val="single"/>
        </w:rPr>
        <w:t xml:space="preserve">This </w:t>
      </w:r>
      <w:r w:rsidRPr="00F83D7D">
        <w:rPr>
          <w:b/>
          <w:bCs/>
          <w:sz w:val="26"/>
          <w:szCs w:val="26"/>
          <w:highlight w:val="green"/>
          <w:u w:val="single"/>
        </w:rPr>
        <w:t>create</w:t>
      </w:r>
      <w:proofErr w:type="gramEnd"/>
      <w:r w:rsidRPr="00F83D7D">
        <w:rPr>
          <w:b/>
          <w:bCs/>
          <w:sz w:val="26"/>
          <w:szCs w:val="26"/>
          <w:highlight w:val="green"/>
          <w:u w:val="single"/>
        </w:rPr>
        <w:t xml:space="preserv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proofErr w:type="gramStart"/>
      <w:r w:rsidRPr="00384BFB">
        <w:rPr>
          <w:sz w:val="26"/>
          <w:szCs w:val="26"/>
          <w:u w:val="single"/>
        </w:rPr>
        <w:t>The</w:t>
      </w:r>
      <w:proofErr w:type="gramEnd"/>
      <w:r w:rsidRPr="00384BFB">
        <w:rPr>
          <w:sz w:val="26"/>
          <w:szCs w:val="26"/>
          <w:u w:val="single"/>
        </w:rPr>
        <w:t xml:space="preserv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 the past and such practices should no longer be tolerated.</w:t>
      </w:r>
    </w:p>
    <w:p w14:paraId="31BE7060" w14:textId="77777777" w:rsidR="00DD041D" w:rsidRPr="00DD041D" w:rsidRDefault="00DD041D" w:rsidP="00DD041D"/>
    <w:sectPr w:rsidR="00DD041D" w:rsidRPr="00DD04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041B5B"/>
    <w:multiLevelType w:val="hybridMultilevel"/>
    <w:tmpl w:val="B4E42B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278D7"/>
    <w:multiLevelType w:val="hybridMultilevel"/>
    <w:tmpl w:val="468E4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9F361D"/>
    <w:multiLevelType w:val="hybridMultilevel"/>
    <w:tmpl w:val="772674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7B71D9"/>
    <w:multiLevelType w:val="hybridMultilevel"/>
    <w:tmpl w:val="E88E11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8F2F93"/>
    <w:multiLevelType w:val="hybridMultilevel"/>
    <w:tmpl w:val="4D66A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B05E4A"/>
    <w:multiLevelType w:val="hybridMultilevel"/>
    <w:tmpl w:val="01B4A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BE4A83"/>
    <w:multiLevelType w:val="hybridMultilevel"/>
    <w:tmpl w:val="C8AE2E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B32BC2"/>
    <w:multiLevelType w:val="hybridMultilevel"/>
    <w:tmpl w:val="4B2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C67E33"/>
    <w:multiLevelType w:val="hybridMultilevel"/>
    <w:tmpl w:val="73F89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844A59"/>
    <w:multiLevelType w:val="hybridMultilevel"/>
    <w:tmpl w:val="3104E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3"/>
  </w:num>
  <w:num w:numId="15">
    <w:abstractNumId w:val="18"/>
  </w:num>
  <w:num w:numId="16">
    <w:abstractNumId w:val="15"/>
  </w:num>
  <w:num w:numId="17">
    <w:abstractNumId w:val="17"/>
  </w:num>
  <w:num w:numId="18">
    <w:abstractNumId w:val="11"/>
  </w:num>
  <w:num w:numId="19">
    <w:abstractNumId w:val="25"/>
  </w:num>
  <w:num w:numId="20">
    <w:abstractNumId w:val="14"/>
  </w:num>
  <w:num w:numId="21">
    <w:abstractNumId w:val="24"/>
  </w:num>
  <w:num w:numId="22">
    <w:abstractNumId w:val="22"/>
  </w:num>
  <w:num w:numId="23">
    <w:abstractNumId w:val="23"/>
  </w:num>
  <w:num w:numId="24">
    <w:abstractNumId w:val="16"/>
  </w:num>
  <w:num w:numId="25">
    <w:abstractNumId w:val="2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777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50854"/>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1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8F6D3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41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7B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68A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777B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777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77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77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777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77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7B2"/>
  </w:style>
  <w:style w:type="character" w:customStyle="1" w:styleId="Heading1Char">
    <w:name w:val="Heading 1 Char"/>
    <w:aliases w:val="Pocket Char"/>
    <w:basedOn w:val="DefaultParagraphFont"/>
    <w:link w:val="Heading1"/>
    <w:uiPriority w:val="9"/>
    <w:rsid w:val="00E777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77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77B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777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77B2"/>
    <w:rPr>
      <w:b/>
      <w:sz w:val="26"/>
      <w:u w:val="none"/>
    </w:rPr>
  </w:style>
  <w:style w:type="character" w:customStyle="1" w:styleId="StyleUnderline">
    <w:name w:val="Style Underline"/>
    <w:aliases w:val="Underline"/>
    <w:basedOn w:val="DefaultParagraphFont"/>
    <w:uiPriority w:val="1"/>
    <w:qFormat/>
    <w:rsid w:val="00E777B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777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77B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777B2"/>
    <w:rPr>
      <w:color w:val="auto"/>
      <w:u w:val="none"/>
    </w:rPr>
  </w:style>
  <w:style w:type="paragraph" w:styleId="DocumentMap">
    <w:name w:val="Document Map"/>
    <w:basedOn w:val="Normal"/>
    <w:link w:val="DocumentMapChar"/>
    <w:uiPriority w:val="99"/>
    <w:semiHidden/>
    <w:unhideWhenUsed/>
    <w:rsid w:val="00E777B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77B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D04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D041D"/>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DD04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777B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777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77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77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777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77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7B2"/>
  </w:style>
  <w:style w:type="character" w:customStyle="1" w:styleId="Heading1Char">
    <w:name w:val="Heading 1 Char"/>
    <w:aliases w:val="Pocket Char"/>
    <w:basedOn w:val="DefaultParagraphFont"/>
    <w:link w:val="Heading1"/>
    <w:uiPriority w:val="9"/>
    <w:rsid w:val="00E777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77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77B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777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77B2"/>
    <w:rPr>
      <w:b/>
      <w:sz w:val="26"/>
      <w:u w:val="none"/>
    </w:rPr>
  </w:style>
  <w:style w:type="character" w:customStyle="1" w:styleId="StyleUnderline">
    <w:name w:val="Style Underline"/>
    <w:aliases w:val="Underline"/>
    <w:basedOn w:val="DefaultParagraphFont"/>
    <w:uiPriority w:val="1"/>
    <w:qFormat/>
    <w:rsid w:val="00E777B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777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77B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777B2"/>
    <w:rPr>
      <w:color w:val="auto"/>
      <w:u w:val="none"/>
    </w:rPr>
  </w:style>
  <w:style w:type="paragraph" w:styleId="DocumentMap">
    <w:name w:val="Document Map"/>
    <w:basedOn w:val="Normal"/>
    <w:link w:val="DocumentMapChar"/>
    <w:uiPriority w:val="99"/>
    <w:semiHidden/>
    <w:unhideWhenUsed/>
    <w:rsid w:val="00E777B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77B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D04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D041D"/>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aliases w:val="6 font"/>
    <w:basedOn w:val="Normal"/>
    <w:uiPriority w:val="34"/>
    <w:qFormat/>
    <w:rsid w:val="00DD0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otherpapers.com/essay/Ethicality-of-Labor-Strike-Demonstrates-by-Social-Workers/62694.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D15372-D883-6545-8C08-298061FDC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4</Pages>
  <Words>5660</Words>
  <Characters>32268</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37853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2021-11-06T14:39:00Z</dcterms:created>
  <dcterms:modified xsi:type="dcterms:W3CDTF">2021-11-06T15:16:00Z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