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4126F" w14:textId="6CC20838"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1B3FC8C6" w14:textId="77777777" w:rsidR="00774F3E" w:rsidRPr="00774F3E" w:rsidRDefault="00774F3E" w:rsidP="00774F3E">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78D26161" w14:textId="77777777" w:rsidR="00774F3E" w:rsidRPr="00774F3E" w:rsidRDefault="00774F3E" w:rsidP="00774F3E">
      <w:pPr>
        <w:rPr>
          <w:rFonts w:eastAsia="Times New Roman"/>
        </w:rPr>
      </w:pPr>
      <w:r w:rsidRPr="00774F3E">
        <w:rPr>
          <w:rFonts w:eastAsia="Times New Roman"/>
        </w:rPr>
        <w:t>council of receipt. Fulfilling these requirements would needlessly delay the vital task of vaccinating the world.</w:t>
      </w:r>
    </w:p>
    <w:p w14:paraId="39EEBF40" w14:textId="7F9E839E" w:rsidR="00774F3E" w:rsidRPr="00774F3E" w:rsidRDefault="00774F3E" w:rsidP="00774F3E">
      <w:pPr>
        <w:rPr>
          <w:rStyle w:val="Emphasis"/>
        </w:rPr>
      </w:pPr>
      <w:r w:rsidRPr="00774F3E">
        <w:rPr>
          <w:rFonts w:eastAsia="Times New Roman"/>
        </w:rPr>
        <w:t xml:space="preserve">Finally, </w:t>
      </w:r>
      <w:r w:rsidRPr="00774F3E">
        <w:rPr>
          <w:rFonts w:eastAsia="Times New Roman"/>
          <w:highlight w:val="green"/>
          <w:u w:val="single"/>
        </w:rPr>
        <w:t xml:space="preserve">critics might point to the case of </w:t>
      </w:r>
      <w:proofErr w:type="spellStart"/>
      <w:r w:rsidRPr="00774F3E">
        <w:rPr>
          <w:rFonts w:eastAsia="Times New Roman"/>
          <w:highlight w:val="green"/>
          <w:u w:val="single"/>
        </w:rPr>
        <w:t>Moderna</w:t>
      </w:r>
      <w:proofErr w:type="spellEnd"/>
      <w:r w:rsidRPr="00774F3E">
        <w:rPr>
          <w:rFonts w:eastAsia="Times New Roman"/>
          <w:highlight w:val="green"/>
          <w:u w:val="single"/>
        </w:rPr>
        <w:t>,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w:t>
      </w:r>
      <w:proofErr w:type="spellStart"/>
      <w:r w:rsidRPr="00774F3E">
        <w:rPr>
          <w:rFonts w:eastAsia="Times New Roman"/>
        </w:rPr>
        <w:t>Moderna’s</w:t>
      </w:r>
      <w:proofErr w:type="spellEnd"/>
      <w:r w:rsidRPr="00774F3E">
        <w:rPr>
          <w:rFonts w:eastAsia="Times New Roman"/>
        </w:rPr>
        <w:t xml:space="preserve">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sidR="00E902E2">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172BBB37" w14:textId="77777777" w:rsidR="00774F3E" w:rsidRPr="00774F3E" w:rsidRDefault="00774F3E" w:rsidP="00774F3E"/>
    <w:p w14:paraId="03B9F2F8" w14:textId="77777777" w:rsidR="00774F3E" w:rsidRPr="00774F3E" w:rsidRDefault="00774F3E" w:rsidP="00774F3E">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10"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B754BC" w14:textId="77777777" w:rsidR="00774F3E" w:rsidRPr="00774F3E" w:rsidRDefault="00774F3E" w:rsidP="00774F3E">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w:t>
      </w:r>
      <w:r w:rsidRPr="00774F3E">
        <w:lastRenderedPageBreak/>
        <w:t xml:space="preserve">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B3A67F8" w14:textId="77777777" w:rsidR="00774F3E" w:rsidRPr="00774F3E" w:rsidRDefault="00774F3E" w:rsidP="00774F3E"/>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1" w:history="1">
        <w:r w:rsidRPr="00774F3E">
          <w:rPr>
            <w:rStyle w:val="Hyperlink"/>
          </w:rPr>
          <w:t>https://www.brookings.edu/blog/up-front/2021/06/03/why-intellectual-property-and</w:t>
        </w:r>
        <w:r w:rsidRPr="00774F3E">
          <w:rPr>
            <w:rStyle w:val="Hyperlink"/>
          </w:rPr>
          <w:lastRenderedPageBreak/>
          <w:t>-pandemics-dont-mix/</w:t>
        </w:r>
      </w:hyperlink>
      <w:r w:rsidRPr="00774F3E">
        <w:t xml:space="preserve">, RJP, </w:t>
      </w:r>
      <w:proofErr w:type="spellStart"/>
      <w:r w:rsidRPr="00774F3E">
        <w:rPr>
          <w:b/>
          <w:bCs/>
        </w:rPr>
        <w:t>DebateDrills</w:t>
      </w:r>
      <w:proofErr w:type="spellEnd"/>
      <w:r w:rsidRPr="00774F3E">
        <w:t xml:space="preserve">. </w:t>
      </w:r>
    </w:p>
    <w:p w14:paraId="292769D3" w14:textId="77777777" w:rsidR="00774F3E" w:rsidRPr="00774F3E" w:rsidRDefault="00774F3E" w:rsidP="00774F3E">
      <w:pPr>
        <w:rPr>
          <w:rStyle w:val="Style13ptBold"/>
          <w:b w:val="0"/>
          <w:bCs/>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12"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68138A02" w14:textId="77777777" w:rsidR="00774F3E" w:rsidRPr="00774F3E" w:rsidRDefault="00774F3E" w:rsidP="00774F3E">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50A25E12" w14:textId="77777777" w:rsidR="00774F3E" w:rsidRPr="00774F3E" w:rsidRDefault="00774F3E" w:rsidP="00774F3E">
      <w:pPr>
        <w:rPr>
          <w:rFonts w:eastAsia="Times New Roman"/>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w:t>
      </w:r>
      <w:r w:rsidRPr="00774F3E">
        <w:rPr>
          <w:rFonts w:eastAsia="Times New Roman"/>
        </w:rPr>
        <w:lastRenderedPageBreak/>
        <w:t xml:space="preserve">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01AD8A1" w14:textId="77777777" w:rsidR="00774F3E" w:rsidRPr="00774F3E" w:rsidRDefault="00774F3E" w:rsidP="00774F3E">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20F556FB" w14:textId="77777777" w:rsidR="00774F3E" w:rsidRPr="00774F3E" w:rsidRDefault="00774F3E" w:rsidP="00774F3E">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since i</w:t>
      </w:r>
      <w:r w:rsidRPr="00774F3E">
        <w:rPr>
          <w:rFonts w:eastAsia="Times New Roman"/>
        </w:rPr>
        <w:lastRenderedPageBreak/>
        <w:t xml:space="preserve">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223A6920" w14:textId="77777777" w:rsidR="00774F3E" w:rsidRPr="00774F3E" w:rsidRDefault="00774F3E" w:rsidP="00774F3E">
      <w:pPr>
        <w:rPr>
          <w:rFonts w:eastAsia="Times New Roman"/>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sz w:val="16"/>
          </w:rPr>
          <w:t>https://populationmatters.org/news/2021/05/sixth-mass-extinction-and-future-humanity</w:t>
        </w:r>
      </w:hyperlink>
      <w:r w:rsidRPr="00774F3E">
        <w:rPr>
          <w:sz w:val="16"/>
        </w:rPr>
        <w:t xml:space="preserve"> DD AG</w:t>
      </w:r>
    </w:p>
    <w:p w14:paraId="69133ED9" w14:textId="77777777" w:rsidR="00774F3E" w:rsidRPr="00774F3E" w:rsidRDefault="00774F3E" w:rsidP="00774F3E">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lastRenderedPageBreak/>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225F00EC" w14:textId="77777777" w:rsidR="00774F3E" w:rsidRPr="00774F3E" w:rsidRDefault="00774F3E" w:rsidP="00774F3E">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1B31B67" w14:textId="77777777" w:rsidR="00774F3E" w:rsidRPr="00774F3E" w:rsidRDefault="00774F3E" w:rsidP="00774F3E">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3F2F04B3" w14:textId="77777777" w:rsidR="00774F3E" w:rsidRPr="00774F3E" w:rsidRDefault="00774F3E" w:rsidP="00774F3E">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w:t>
      </w:r>
      <w:r w:rsidRPr="00774F3E">
        <w:rPr>
          <w:sz w:val="16"/>
        </w:rPr>
        <w:lastRenderedPageBreak/>
        <w:t>lation”.</w:t>
      </w:r>
    </w:p>
    <w:p w14:paraId="2C2B5D3C" w14:textId="77777777" w:rsidR="00774F3E" w:rsidRPr="00774F3E" w:rsidRDefault="00774F3E" w:rsidP="00774F3E">
      <w:pPr>
        <w:rPr>
          <w:sz w:val="16"/>
        </w:rPr>
      </w:pPr>
      <w:r w:rsidRPr="00774F3E">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16A47FF8" w14:textId="77777777" w:rsidR="00774F3E" w:rsidRPr="00774F3E" w:rsidRDefault="00774F3E" w:rsidP="00774F3E">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3FCE1746" w14:textId="77777777" w:rsidR="00774F3E" w:rsidRPr="00774F3E" w:rsidRDefault="00774F3E" w:rsidP="00774F3E">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roofErr w:type="spellStart"/>
      <w:r w:rsidRPr="00774F3E">
        <w:rPr>
          <w:rStyle w:val="Style13ptBold"/>
        </w:rPr>
        <w:t>Baschuk</w:t>
      </w:r>
      <w:proofErr w:type="spellEnd"/>
      <w:r w:rsidRPr="00774F3E">
        <w:rPr>
          <w:rStyle w:val="Style13ptBold"/>
        </w:rPr>
        <w:t xml:space="preserve"> 4-27</w:t>
      </w:r>
      <w:r w:rsidRPr="00774F3E">
        <w:t xml:space="preserve"> – Bryce </w:t>
      </w:r>
      <w:proofErr w:type="spellStart"/>
      <w:r w:rsidRPr="00774F3E">
        <w:t>Baschuk</w:t>
      </w:r>
      <w:proofErr w:type="spellEnd"/>
      <w:r w:rsidRPr="00774F3E">
        <w:t xml:space="preserve"> is a Bloomberg Reporter; </w:t>
      </w:r>
      <w:hyperlink r:id="rId15"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7AE942B4" w14:textId="77777777" w:rsidR="00774F3E" w:rsidRPr="00774F3E" w:rsidRDefault="00774F3E" w:rsidP="00774F3E">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lastRenderedPageBreak/>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t>
      </w:r>
      <w:r w:rsidRPr="00774F3E">
        <w:rPr>
          <w:rStyle w:val="StyleUnderline"/>
        </w:rPr>
        <w:lastRenderedPageBreak/>
        <w:t xml:space="preserve">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61B0EB33" w14:textId="77777777" w:rsidR="00774F3E" w:rsidRPr="00774F3E" w:rsidRDefault="00774F3E" w:rsidP="00774F3E">
      <w:pPr>
        <w:rPr>
          <w:rStyle w:val="StyleUnderline"/>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w:t>
      </w:r>
      <w:r w:rsidRPr="00774F3E">
        <w:rPr>
          <w:rFonts w:cs="Calibri"/>
        </w:rPr>
        <w:lastRenderedPageBreak/>
        <w:t xml:space="preserve">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601C10C0" w14:textId="77777777" w:rsidR="00774F3E" w:rsidRPr="00774F3E" w:rsidRDefault="00774F3E" w:rsidP="00774F3E">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Former U.S. President Donald Trump threw a wrench into its core function of resolving trade disputes—a blocker that President Joe Biden ha</w:t>
      </w:r>
      <w:r w:rsidRPr="00774F3E">
        <w:rPr>
          <w:sz w:val="16"/>
        </w:rPr>
        <w:lastRenderedPageBreak/>
        <w:t xml:space="preserve">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t>
      </w:r>
      <w:r w:rsidRPr="00774F3E">
        <w:rPr>
          <w:rStyle w:val="StyleUnderline"/>
          <w:highlight w:val="green"/>
        </w:rPr>
        <w:lastRenderedPageBreak/>
        <w:t xml:space="preserve">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w:t>
      </w:r>
      <w:r w:rsidRPr="00774F3E">
        <w:rPr>
          <w:rStyle w:val="StyleUnderline"/>
        </w:rPr>
        <w:lastRenderedPageBreak/>
        <w:t>K.—the U.S. recently flipped from opposing the idea of a waiver to supporting it, as did France</w:t>
      </w:r>
      <w:r w:rsidRPr="00774F3E">
        <w:rPr>
          <w:sz w:val="16"/>
        </w:rPr>
        <w:t xml:space="preserve">. It's a dispute between countries, but the result will be on the </w:t>
      </w:r>
      <w:proofErr w:type="gramStart"/>
      <w:r w:rsidRPr="00774F3E">
        <w:rPr>
          <w:sz w:val="16"/>
        </w:rPr>
        <w:t>WTO as a whole, say</w:t>
      </w:r>
      <w:proofErr w:type="gramEnd"/>
      <w:r w:rsidRPr="00774F3E">
        <w:rPr>
          <w:sz w:val="16"/>
        </w:rPr>
        <w:t xml:space="preserve">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sz w:val="16"/>
        </w:rPr>
        <w:t>ended</w:t>
      </w:r>
      <w:proofErr w:type="gramEnd"/>
      <w:r w:rsidRPr="00774F3E">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w:t>
      </w:r>
      <w:r w:rsidRPr="00774F3E">
        <w:rPr>
          <w:rStyle w:val="Emphasis"/>
        </w:rPr>
        <w:lastRenderedPageBreak/>
        <w:t>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r w:rsidRPr="00774F3E">
        <w:rPr>
          <w:rStyle w:val="Style13ptBold"/>
        </w:rPr>
        <w:t>Solís 20</w:t>
      </w:r>
      <w:r w:rsidRPr="00774F3E">
        <w:t xml:space="preserve"> – Mireya Solís is director of the Center for East Asia Policy Studies, Philip Knight Chair in Japan Studies, and a senior fellow in the Foreign Policy program at </w:t>
      </w:r>
      <w:r w:rsidRPr="00774F3E">
        <w:lastRenderedPageBreak/>
        <w:t xml:space="preserve">Brookings; “The post COVID-19 world: Economic nationalism triumphant?”; July 10, 2020; </w:t>
      </w:r>
      <w:hyperlink r:id="rId17"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40D929A4" w14:textId="77777777" w:rsidR="00774F3E" w:rsidRPr="00774F3E" w:rsidRDefault="00774F3E" w:rsidP="00774F3E">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lastRenderedPageBreak/>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w:t>
      </w:r>
      <w:r w:rsidRPr="00774F3E">
        <w:lastRenderedPageBreak/>
        <w:t xml:space="preserve">States”; April 30, 2018; </w:t>
      </w:r>
      <w:hyperlink r:id="rId18" w:history="1">
        <w:r w:rsidRPr="00774F3E">
          <w:rPr>
            <w:rStyle w:val="Hyperlink"/>
          </w:rPr>
          <w:t>https://papers.ssrn.com/sol3/papers.cfm?abstract_id=3171196/</w:t>
        </w:r>
      </w:hyperlink>
      <w:r w:rsidRPr="00774F3E">
        <w:t xml:space="preserve"> //</w:t>
      </w:r>
      <w:proofErr w:type="spellStart"/>
      <w:r w:rsidRPr="00774F3E">
        <w:t>advay</w:t>
      </w:r>
      <w:proofErr w:type="spellEnd"/>
    </w:p>
    <w:p w14:paraId="26DC95CB" w14:textId="77777777" w:rsidR="00774F3E" w:rsidRPr="00774F3E" w:rsidRDefault="00774F3E" w:rsidP="00774F3E">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w:t>
      </w:r>
      <w:proofErr w:type="gramStart"/>
      <w:r w:rsidRPr="00774F3E">
        <w:rPr>
          <w:sz w:val="14"/>
        </w:rPr>
        <w:t>domestically-oriented</w:t>
      </w:r>
      <w:proofErr w:type="gramEnd"/>
      <w:r w:rsidRPr="00774F3E">
        <w:rPr>
          <w:sz w:val="14"/>
        </w:rPr>
        <w:t xml:space="preserve">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sz w:val="14"/>
        </w:rPr>
        <w:t>the majority of</w:t>
      </w:r>
      <w:proofErr w:type="gramEnd"/>
      <w:r w:rsidRPr="00774F3E">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 xml:space="preserve">China has gained greatly from economic openness, its domestic political system will be prone to </w:t>
      </w:r>
      <w:proofErr w:type="gramStart"/>
      <w:r w:rsidRPr="00774F3E">
        <w:rPr>
          <w:rStyle w:val="StyleUnderline"/>
        </w:rPr>
        <w:t>rent-seeking</w:t>
      </w:r>
      <w:proofErr w:type="gramEnd"/>
      <w:r w:rsidRPr="00774F3E">
        <w:rPr>
          <w:rStyle w:val="StyleUnderline"/>
        </w:rPr>
        <w:t xml:space="preserve"> demands </w:t>
      </w:r>
      <w:r w:rsidRPr="00774F3E">
        <w:rPr>
          <w:rStyle w:val="StyleUnderline"/>
        </w:rPr>
        <w:lastRenderedPageBreak/>
        <w:t>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 xml:space="preserve">rather than testing the theory in any rigorous sense or delving into </w:t>
      </w:r>
      <w:proofErr w:type="gramStart"/>
      <w:r w:rsidRPr="00774F3E">
        <w:rPr>
          <w:rStyle w:val="StyleUnderline"/>
        </w:rPr>
        <w:t>particular cases</w:t>
      </w:r>
      <w:proofErr w:type="gramEnd"/>
      <w:r w:rsidRPr="00774F3E">
        <w:rPr>
          <w:rStyle w:val="StyleUnderline"/>
        </w:rPr>
        <w:t xml:space="preserve">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 xml:space="preserve">13 The tendency is also influenced, however, by the actions of other countries. Protectionism can sour great power </w:t>
      </w:r>
      <w:r w:rsidRPr="00774F3E">
        <w:rPr>
          <w:rStyle w:val="StyleUnderline"/>
        </w:rPr>
        <w:lastRenderedPageBreak/>
        <w:t xml:space="preserve">relations, but it is the desire for exclusive economic zones that drives great power competition </w:t>
      </w:r>
      <w:proofErr w:type="gramStart"/>
      <w:r w:rsidRPr="00774F3E">
        <w:rPr>
          <w:rStyle w:val="StyleUnderline"/>
        </w:rPr>
        <w:t>and,</w:t>
      </w:r>
      <w:proofErr w:type="gramEnd"/>
      <w:r w:rsidRPr="00774F3E">
        <w:rPr>
          <w:rStyle w:val="StyleUnderline"/>
        </w:rPr>
        <w:t xml:space="preserve">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0A885128" w14:textId="77777777" w:rsidR="00C044C4" w:rsidRPr="00C044C4" w:rsidRDefault="00C044C4" w:rsidP="00C044C4">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w:t>
      </w:r>
      <w:proofErr w:type="gramStart"/>
      <w:r w:rsidRPr="00C044C4">
        <w:rPr>
          <w:sz w:val="16"/>
        </w:rPr>
        <w:t>have to</w:t>
      </w:r>
      <w:proofErr w:type="gramEnd"/>
      <w:r w:rsidRPr="00C044C4">
        <w:rPr>
          <w:sz w:val="16"/>
        </w:rPr>
        <w:t xml:space="preserve"> uphold the organization's credibility. 108</w:t>
      </w:r>
    </w:p>
    <w:p w14:paraId="23BDB1A3" w14:textId="77777777" w:rsidR="00280C9D" w:rsidRDefault="00280C9D" w:rsidP="00280C9D">
      <w:pPr>
        <w:pStyle w:val="Heading4"/>
        <w:rPr>
          <w:rFonts w:cs="Calibri"/>
        </w:rPr>
      </w:pPr>
      <w:r>
        <w:rPr>
          <w:rFonts w:cs="Calibri"/>
        </w:rPr>
        <w:t xml:space="preserve">Extinction – nuke war fallout creates Ice Age and mass starvation </w:t>
      </w:r>
    </w:p>
    <w:p w14:paraId="3F54799B" w14:textId="77777777" w:rsidR="00280C9D" w:rsidRDefault="00280C9D" w:rsidP="00280C9D">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9" w:history="1">
        <w:r>
          <w:rPr>
            <w:rStyle w:val="Hyperlink"/>
            <w:color w:val="000000"/>
          </w:rPr>
          <w:t>https://ratical.org/radiation/NuclearExtinction/StevenStarr022815.html</w:t>
        </w:r>
      </w:hyperlink>
      <w:r>
        <w:t xml:space="preserve"> TG</w:t>
      </w:r>
    </w:p>
    <w:p w14:paraId="26C9FC69" w14:textId="77777777" w:rsidR="00280C9D" w:rsidRDefault="00280C9D" w:rsidP="00280C9D">
      <w:pPr>
        <w:rPr>
          <w:rStyle w:val="StyleUnderline"/>
        </w:rPr>
      </w:pPr>
      <w:r>
        <w:rPr>
          <w:rStyle w:val="StyleUnderline"/>
          <w:highlight w:val="green"/>
        </w:rPr>
        <w:t xml:space="preserve">A war </w:t>
      </w:r>
      <w:r>
        <w:rPr>
          <w:rStyle w:val="StyleUnderline"/>
        </w:rPr>
        <w:t xml:space="preserve">fought </w:t>
      </w:r>
      <w:r>
        <w:rPr>
          <w:rStyle w:val="StyleUnderline"/>
          <w:highlight w:val="green"/>
        </w:rPr>
        <w:t>with</w:t>
      </w:r>
      <w:r>
        <w:rPr>
          <w:rStyle w:val="StyleUnderline"/>
        </w:rPr>
        <w:t xml:space="preserve"> 21st century</w:t>
      </w:r>
      <w:r>
        <w:t xml:space="preserve"> strategic </w:t>
      </w:r>
      <w:r>
        <w:rPr>
          <w:rStyle w:val="StyleUnderline"/>
          <w:highlight w:val="green"/>
        </w:rPr>
        <w:t>nuclear weapons</w:t>
      </w:r>
      <w:r>
        <w:rPr>
          <w:rStyle w:val="StyleUnderline"/>
        </w:rPr>
        <w:t xml:space="preserve"> would be more than just a great catastrophe in human history. If we allow it to happen, such a war </w:t>
      </w:r>
      <w:r>
        <w:rPr>
          <w:rStyle w:val="StyleUnderline"/>
          <w:highlight w:val="green"/>
        </w:rPr>
        <w:t>would be a mass extinction event</w:t>
      </w:r>
      <w:r>
        <w:rPr>
          <w:rStyle w:val="StyleUnderline"/>
        </w:rPr>
        <w:t xml:space="preserve"> that </w:t>
      </w:r>
      <w:hyperlink r:id="rId20" w:history="1">
        <w:r>
          <w:rPr>
            <w:rStyle w:val="StyleUnderline"/>
            <w:color w:val="000000"/>
          </w:rPr>
          <w:t>ends human history</w:t>
        </w:r>
      </w:hyperlink>
      <w:r>
        <w:rPr>
          <w:rStyle w:val="StyleUnderline"/>
        </w:rPr>
        <w:t xml:space="preserve">. There is a profound </w:t>
      </w:r>
      <w:r>
        <w:rPr>
          <w:rStyle w:val="StyleUnderline"/>
        </w:rPr>
        <w:lastRenderedPageBreak/>
        <w:t>difference between extinction and “an unprecedented disaster,” or even “the end of civilization,” because even after such an immense catastrophe, human life would go on.</w:t>
      </w:r>
    </w:p>
    <w:p w14:paraId="2DE51E77" w14:textId="77777777" w:rsidR="00280C9D" w:rsidRDefault="00280C9D" w:rsidP="00280C9D">
      <w:r>
        <w:t xml:space="preserve">But </w:t>
      </w:r>
      <w:r>
        <w:rPr>
          <w:rStyle w:val="StyleUnderline"/>
          <w:highlight w:val="green"/>
        </w:rPr>
        <w:t>extinction</w:t>
      </w:r>
      <w:r>
        <w:rPr>
          <w:rStyle w:val="StyleUnderline"/>
        </w:rPr>
        <w:t xml:space="preserve">, by definition, </w:t>
      </w:r>
      <w:r>
        <w:rPr>
          <w:rStyle w:val="StyleUnderline"/>
          <w:highlight w:val="green"/>
        </w:rPr>
        <w:t>is an event of utter finality</w:t>
      </w:r>
      <w:r>
        <w:rPr>
          <w:rStyle w:val="StyleUnderline"/>
        </w:rPr>
        <w:t>, and a nuclear war that could cause human extinction should really be considered as the ultimate criminal act</w:t>
      </w:r>
      <w:r>
        <w:t>. It certainly would be the crime to end all crimes.</w:t>
      </w:r>
    </w:p>
    <w:p w14:paraId="49CE784C" w14:textId="77777777" w:rsidR="00280C9D" w:rsidRDefault="00280C9D" w:rsidP="00280C9D">
      <w:r>
        <w:rPr>
          <w:rStyle w:val="StyleUnderline"/>
        </w:rPr>
        <w:t>The world’s leading climatologists now tell us that nuclear war threatens our continued existence as a species</w:t>
      </w:r>
      <w:r>
        <w:t xml:space="preserve">. Their </w:t>
      </w:r>
      <w:r>
        <w:rPr>
          <w:rStyle w:val="StyleUnderline"/>
        </w:rPr>
        <w:t xml:space="preserve">studies predict that a large nuclear war, especially one fought with strategic nuclear weapons, would create a post-war environment in which </w:t>
      </w:r>
      <w:r>
        <w:rPr>
          <w:rStyle w:val="StyleUnderline"/>
          <w:highlight w:val="green"/>
        </w:rPr>
        <w:t>for many years it would be too cold and dark to</w:t>
      </w:r>
      <w:r>
        <w:rPr>
          <w:rStyle w:val="StyleUnderline"/>
        </w:rPr>
        <w:t xml:space="preserve"> even </w:t>
      </w:r>
      <w:r>
        <w:rPr>
          <w:rStyle w:val="StyleUnderline"/>
          <w:highlight w:val="green"/>
        </w:rPr>
        <w:t>grow food</w:t>
      </w:r>
      <w:r>
        <w:t xml:space="preserve">. Their findings make it clear that </w:t>
      </w:r>
      <w:r>
        <w:rPr>
          <w:rStyle w:val="StyleUnderline"/>
        </w:rPr>
        <w:t xml:space="preserve">not only humans, but most large animals and many other forms of complex life would likely vanish forever in a nuclear darkness </w:t>
      </w:r>
      <w:r>
        <w:t>of our own making.</w:t>
      </w:r>
    </w:p>
    <w:p w14:paraId="10E9D6E0" w14:textId="77777777" w:rsidR="00280C9D" w:rsidRDefault="00280C9D" w:rsidP="00280C9D">
      <w:pPr>
        <w:rPr>
          <w:rStyle w:val="StyleUnderline"/>
        </w:rPr>
      </w:pPr>
      <w:r>
        <w:rPr>
          <w:rStyle w:val="StyleUnderline"/>
        </w:rPr>
        <w:t xml:space="preserve">The environmental consequences of nuclear war would attack the ecological support systems of life at every level. </w:t>
      </w:r>
      <w:r>
        <w:rPr>
          <w:rStyle w:val="StyleUnderline"/>
          <w:highlight w:val="green"/>
        </w:rPr>
        <w:t>Radioactive fallout</w:t>
      </w:r>
      <w:r>
        <w:rPr>
          <w:rStyle w:val="StyleUnderline"/>
        </w:rPr>
        <w:t xml:space="preserve"> produced not only by nuclear bombs, but also by the destruction of nuclear power plants and their spent fuel pools, </w:t>
      </w:r>
      <w:r>
        <w:rPr>
          <w:rStyle w:val="StyleUnderline"/>
          <w:highlight w:val="green"/>
        </w:rPr>
        <w:t>would poison the biosphere. Millions of tons of smoke would</w:t>
      </w:r>
      <w:r>
        <w:rPr>
          <w:rStyle w:val="StyleUnderline"/>
        </w:rPr>
        <w:t xml:space="preserve"> act to </w:t>
      </w:r>
      <w:hyperlink r:id="rId21" w:history="1">
        <w:r>
          <w:rPr>
            <w:rStyle w:val="StyleUnderline"/>
            <w:color w:val="000000"/>
            <w:highlight w:val="green"/>
          </w:rPr>
          <w:t>destroy</w:t>
        </w:r>
        <w:r>
          <w:rPr>
            <w:rStyle w:val="StyleUnderline"/>
            <w:color w:val="000000"/>
          </w:rPr>
          <w:t xml:space="preserve"> Earth’s protective </w:t>
        </w:r>
        <w:r>
          <w:rPr>
            <w:rStyle w:val="StyleUnderline"/>
            <w:color w:val="000000"/>
            <w:highlight w:val="green"/>
          </w:rPr>
          <w:t>ozone</w:t>
        </w:r>
        <w:r>
          <w:rPr>
            <w:rStyle w:val="StyleUnderline"/>
            <w:color w:val="000000"/>
          </w:rPr>
          <w:t xml:space="preserve"> layer</w:t>
        </w:r>
      </w:hyperlink>
      <w:r>
        <w:rPr>
          <w:rStyle w:val="StyleUnderline"/>
        </w:rPr>
        <w:t> </w:t>
      </w:r>
      <w:r>
        <w:rPr>
          <w:rStyle w:val="StyleUnderline"/>
          <w:highlight w:val="green"/>
        </w:rPr>
        <w:t>and block</w:t>
      </w:r>
      <w:r>
        <w:rPr>
          <w:rStyle w:val="StyleUnderline"/>
        </w:rPr>
        <w:t xml:space="preserve"> most </w:t>
      </w:r>
      <w:r>
        <w:rPr>
          <w:rStyle w:val="StyleUnderline"/>
          <w:highlight w:val="green"/>
        </w:rPr>
        <w:t>sunlight</w:t>
      </w:r>
      <w:r>
        <w:rPr>
          <w:rStyle w:val="StyleUnderline"/>
        </w:rPr>
        <w:t xml:space="preserve"> from reaching Earth’s surface, </w:t>
      </w:r>
      <w:r>
        <w:rPr>
          <w:rStyle w:val="StyleUnderline"/>
          <w:highlight w:val="green"/>
        </w:rPr>
        <w:t>creating Ice Age</w:t>
      </w:r>
      <w:r>
        <w:rPr>
          <w:rStyle w:val="StyleUnderline"/>
        </w:rPr>
        <w:t xml:space="preserve"> weather conditions that would last </w:t>
      </w:r>
      <w:r>
        <w:rPr>
          <w:rStyle w:val="StyleUnderline"/>
          <w:highlight w:val="green"/>
        </w:rPr>
        <w:t>for decades</w:t>
      </w:r>
      <w:r>
        <w:rPr>
          <w:rStyle w:val="StyleUnderline"/>
        </w:rPr>
        <w:t>.</w:t>
      </w:r>
    </w:p>
    <w:p w14:paraId="75E50BFD" w14:textId="77777777" w:rsidR="00280C9D" w:rsidRDefault="00280C9D" w:rsidP="00280C9D">
      <w:r>
        <w:t>Yet the political and military leaders who control nuclear weapons strictly avoid any direct public discussion of the consequences of nuclear war. They do so by arguing that nuclear weapons are not intended to be used, but only to deter.</w:t>
      </w:r>
    </w:p>
    <w:p w14:paraId="776B5845" w14:textId="69F332B2" w:rsidR="00774F3E" w:rsidRPr="00280C9D" w:rsidRDefault="00280C9D" w:rsidP="00774F3E">
      <w:pPr>
        <w:rPr>
          <w:b/>
          <w:u w:val="single"/>
        </w:rPr>
      </w:pPr>
      <w:r>
        <w:t xml:space="preserve">Remarkably, the leaders of the Nuclear Weapon States have chosen to ignore the authoritative, long-standing scientific research done by the climatologists, </w:t>
      </w:r>
      <w:r>
        <w:rPr>
          <w:rStyle w:val="StyleUnderline"/>
        </w:rPr>
        <w:t>research</w:t>
      </w:r>
      <w:r>
        <w:t xml:space="preserve"> that </w:t>
      </w:r>
      <w:r>
        <w:rPr>
          <w:rStyle w:val="StyleUnderline"/>
        </w:rPr>
        <w:t xml:space="preserve">predicts </w:t>
      </w:r>
      <w:r>
        <w:rPr>
          <w:rStyle w:val="StyleUnderline"/>
          <w:highlight w:val="green"/>
        </w:rPr>
        <w:t>virtually any nuclear war</w:t>
      </w:r>
      <w:r>
        <w:rPr>
          <w:rStyle w:val="StyleUnderline"/>
        </w:rPr>
        <w:t xml:space="preserve">, fought with even a fraction of the operational and deployed nuclear arsenals, </w:t>
      </w:r>
      <w:r>
        <w:rPr>
          <w:rStyle w:val="StyleUnderline"/>
          <w:highlight w:val="green"/>
        </w:rPr>
        <w:t>will leave the Earth essentially uninhabitable</w:t>
      </w:r>
      <w:r>
        <w:rPr>
          <w:rStyle w:val="StyleUnderline"/>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22"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0B74D30C" w14:textId="77777777" w:rsidR="00774F3E" w:rsidRPr="00774F3E" w:rsidRDefault="00774F3E" w:rsidP="00774F3E">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lastRenderedPageBreak/>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23"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24"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25"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6"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7A59A1E2" w14:textId="77777777" w:rsidR="00F5660C" w:rsidRPr="00F5660C" w:rsidRDefault="00F5660C" w:rsidP="00F5660C">
      <w:pPr>
        <w:pStyle w:val="Heading4"/>
        <w:rPr>
          <w:rFonts w:cs="Calibri"/>
        </w:rPr>
      </w:pPr>
      <w:r w:rsidRPr="00F5660C">
        <w:rPr>
          <w:rFonts w:cs="Calibri"/>
        </w:rPr>
        <w:t xml:space="preserve">The plan </w:t>
      </w:r>
      <w:r w:rsidRPr="00F5660C">
        <w:rPr>
          <w:rFonts w:cs="Calibri"/>
          <w:u w:val="single"/>
        </w:rPr>
        <w:t>seamlessly</w:t>
      </w:r>
      <w:r w:rsidRPr="00F5660C">
        <w:rPr>
          <w:rFonts w:cs="Calibri"/>
        </w:rPr>
        <w:t xml:space="preserve"> shifts to a </w:t>
      </w:r>
      <w:r w:rsidRPr="00F5660C">
        <w:rPr>
          <w:rFonts w:cs="Calibri"/>
          <w:u w:val="single"/>
        </w:rPr>
        <w:t>direct support model</w:t>
      </w:r>
      <w:r w:rsidRPr="00F5660C">
        <w:rPr>
          <w:rFonts w:cs="Calibri"/>
        </w:rPr>
        <w:t xml:space="preserve"> during pandemics, which allows pharma companies to profit and innovate while </w:t>
      </w:r>
      <w:r w:rsidRPr="00F5660C">
        <w:rPr>
          <w:rFonts w:cs="Calibri"/>
          <w:u w:val="single"/>
        </w:rPr>
        <w:t>speeding up the process</w:t>
      </w:r>
      <w:r w:rsidRPr="00F5660C">
        <w:rPr>
          <w:rFonts w:cs="Calibri"/>
        </w:rPr>
        <w:t xml:space="preserve">---that solves </w:t>
      </w:r>
      <w:r w:rsidRPr="00F5660C">
        <w:rPr>
          <w:rFonts w:cs="Calibri"/>
          <w:u w:val="single"/>
        </w:rPr>
        <w:t>but</w:t>
      </w:r>
      <w:r w:rsidRPr="00F5660C">
        <w:rPr>
          <w:rFonts w:cs="Calibri"/>
        </w:rPr>
        <w:t xml:space="preserve"> avoids the innovation DA.</w:t>
      </w:r>
    </w:p>
    <w:p w14:paraId="5BA44E6A" w14:textId="77777777" w:rsidR="00F5660C" w:rsidRPr="00F5660C" w:rsidRDefault="00F5660C" w:rsidP="00F5660C">
      <w:r w:rsidRPr="00F5660C">
        <w:t xml:space="preserve">Brink </w:t>
      </w:r>
      <w:r w:rsidRPr="00F5660C">
        <w:rPr>
          <w:b/>
          <w:bCs/>
          <w:szCs w:val="26"/>
        </w:rPr>
        <w:t>Lindsey 21</w:t>
      </w:r>
      <w:r w:rsidRPr="00F5660C">
        <w:t xml:space="preserve">. Vice President, </w:t>
      </w:r>
      <w:proofErr w:type="spellStart"/>
      <w:r w:rsidRPr="00F5660C">
        <w:t>Niskanen</w:t>
      </w:r>
      <w:proofErr w:type="spellEnd"/>
      <w:r w:rsidRPr="00F5660C">
        <w:t xml:space="preserve"> Center; Writes for Brookings, “Why Intellectual Property and Pandemics Don’t Mix,” Brookings, June 3, 2021, </w:t>
      </w:r>
      <w:hyperlink r:id="rId27" w:history="1">
        <w:r w:rsidRPr="00F5660C">
          <w:rPr>
            <w:rStyle w:val="Hyperlink"/>
          </w:rPr>
          <w:t>https://www.brookings.edu/blog/up-front/2021/06/03/why-intellectual-property-and-pandemics-dont-mix/</w:t>
        </w:r>
      </w:hyperlink>
      <w:r w:rsidRPr="00F5660C">
        <w:t xml:space="preserve">, RJP, </w:t>
      </w:r>
      <w:proofErr w:type="spellStart"/>
      <w:r w:rsidRPr="00F5660C">
        <w:rPr>
          <w:b/>
          <w:bCs/>
        </w:rPr>
        <w:t>DebateDrills</w:t>
      </w:r>
      <w:proofErr w:type="spellEnd"/>
      <w:r w:rsidRPr="00F5660C">
        <w:t xml:space="preserve">. </w:t>
      </w:r>
    </w:p>
    <w:p w14:paraId="49612754" w14:textId="77777777" w:rsidR="00F5660C" w:rsidRPr="00F5660C" w:rsidRDefault="00F5660C" w:rsidP="00F5660C">
      <w:r w:rsidRPr="00F5660C">
        <w:rPr>
          <w:rStyle w:val="Strong"/>
          <w:caps/>
          <w:bdr w:val="none" w:sz="0" w:space="0" w:color="auto" w:frame="1"/>
        </w:rPr>
        <w:t>PUBLIC HEALTH EMERGENCIES AND DIRECT GOVERNMENT SUPPORT</w:t>
      </w:r>
    </w:p>
    <w:p w14:paraId="2F2E8DCB" w14:textId="77777777" w:rsidR="00F5660C" w:rsidRPr="00F5660C" w:rsidRDefault="00F5660C" w:rsidP="00F5660C">
      <w:pPr>
        <w:rPr>
          <w:u w:val="single"/>
        </w:rPr>
      </w:pPr>
      <w:r w:rsidRPr="00F5660C">
        <w:rPr>
          <w:highlight w:val="green"/>
          <w:u w:val="single"/>
        </w:rPr>
        <w:t>For pandemics</w:t>
      </w:r>
      <w:r w:rsidRPr="00F5660C">
        <w:rPr>
          <w:u w:val="single"/>
        </w:rPr>
        <w:t xml:space="preserve"> and other public health emergencies, </w:t>
      </w:r>
      <w:r w:rsidRPr="00F5660C">
        <w:rPr>
          <w:highlight w:val="green"/>
          <w:u w:val="single"/>
        </w:rPr>
        <w:t>patents’</w:t>
      </w:r>
      <w:r w:rsidRPr="00F5660C">
        <w:rPr>
          <w:u w:val="single"/>
        </w:rPr>
        <w:t xml:space="preserve"> mix of c</w:t>
      </w:r>
      <w:r w:rsidRPr="00F5660C">
        <w:rPr>
          <w:highlight w:val="green"/>
          <w:u w:val="single"/>
        </w:rPr>
        <w:t xml:space="preserve">osts and benefits is </w:t>
      </w:r>
      <w:r w:rsidRPr="00F5660C">
        <w:rPr>
          <w:rStyle w:val="Emphasis"/>
          <w:highlight w:val="green"/>
        </w:rPr>
        <w:t>misaligned</w:t>
      </w:r>
      <w:r w:rsidRPr="00F5660C">
        <w:rPr>
          <w:u w:val="single"/>
        </w:rPr>
        <w:t xml:space="preserve"> with what is needed for an effective policy response.</w:t>
      </w:r>
      <w:r w:rsidRPr="00F5660C">
        <w:t xml:space="preserve"> </w:t>
      </w:r>
      <w:r w:rsidRPr="00F5660C">
        <w:rPr>
          <w:highlight w:val="green"/>
          <w:u w:val="single"/>
        </w:rPr>
        <w:t xml:space="preserve">The </w:t>
      </w:r>
      <w:r w:rsidRPr="00F5660C">
        <w:rPr>
          <w:highlight w:val="green"/>
          <w:u w:val="single"/>
        </w:rPr>
        <w:lastRenderedPageBreak/>
        <w:t>basic patent bargain</w:t>
      </w:r>
      <w:r w:rsidRPr="00F5660C">
        <w:rPr>
          <w:u w:val="single"/>
        </w:rPr>
        <w:t xml:space="preserve">, even when well struck, </w:t>
      </w:r>
      <w:r w:rsidRPr="00F5660C">
        <w:rPr>
          <w:highlight w:val="green"/>
          <w:u w:val="single"/>
        </w:rPr>
        <w:t>is</w:t>
      </w:r>
      <w:r w:rsidRPr="00F5660C">
        <w:rPr>
          <w:u w:val="single"/>
        </w:rPr>
        <w:t xml:space="preserve"> to pay for more </w:t>
      </w:r>
      <w:r w:rsidRPr="00F5660C">
        <w:rPr>
          <w:highlight w:val="green"/>
          <w:u w:val="single"/>
        </w:rPr>
        <w:t xml:space="preserve">innovation down the road with </w:t>
      </w:r>
      <w:r w:rsidRPr="00F5660C">
        <w:rPr>
          <w:rStyle w:val="Emphasis"/>
          <w:highlight w:val="green"/>
        </w:rPr>
        <w:t>slower diffusion of innovation today</w:t>
      </w:r>
      <w:r w:rsidRPr="00F5660C">
        <w:rPr>
          <w:u w:val="single"/>
        </w:rPr>
        <w:t xml:space="preserve">. </w:t>
      </w:r>
      <w:r w:rsidRPr="00F5660C">
        <w:rPr>
          <w:highlight w:val="green"/>
          <w:u w:val="single"/>
        </w:rPr>
        <w:t xml:space="preserve">In the </w:t>
      </w:r>
      <w:r w:rsidRPr="00F5660C">
        <w:rPr>
          <w:rStyle w:val="Emphasis"/>
          <w:highlight w:val="green"/>
        </w:rPr>
        <w:t>context of a pandemic</w:t>
      </w:r>
      <w:r w:rsidRPr="00F5660C">
        <w:rPr>
          <w:u w:val="single"/>
        </w:rPr>
        <w:t>, that bargain is a bad one and should be rejected entirely.</w:t>
      </w:r>
      <w:r w:rsidRPr="00F5660C">
        <w:t xml:space="preserve"> </w:t>
      </w:r>
      <w:r w:rsidRPr="00F5660C">
        <w:rPr>
          <w:u w:val="single"/>
        </w:rPr>
        <w:t xml:space="preserve">Here </w:t>
      </w:r>
      <w:r w:rsidRPr="00F5660C">
        <w:rPr>
          <w:highlight w:val="green"/>
          <w:u w:val="single"/>
        </w:rPr>
        <w:t>the imperative is to </w:t>
      </w:r>
      <w:r w:rsidRPr="00F5660C">
        <w:rPr>
          <w:rStyle w:val="Emphasis"/>
          <w:highlight w:val="green"/>
        </w:rPr>
        <w:t>accelerate</w:t>
      </w:r>
      <w:r w:rsidRPr="00F5660C">
        <w:rPr>
          <w:u w:val="single"/>
        </w:rPr>
        <w:t> the diffusion of vaccines and other treatments, not slow it down. Giving drug companies the power to hold things up by blocking competitors and raising prices pushes in the completely wrong direction.</w:t>
      </w:r>
    </w:p>
    <w:p w14:paraId="28027B24" w14:textId="77777777" w:rsidR="00F5660C" w:rsidRPr="00F5660C" w:rsidRDefault="00F5660C" w:rsidP="00F5660C">
      <w:r w:rsidRPr="00F5660C">
        <w:rPr>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F5660C">
        <w:rPr>
          <w:highlight w:val="green"/>
          <w:u w:val="single"/>
        </w:rPr>
        <w:t>The most effective approach</w:t>
      </w:r>
      <w:r w:rsidRPr="00F5660C">
        <w:rPr>
          <w:u w:val="single"/>
        </w:rPr>
        <w:t xml:space="preserve"> during a public health crisis </w:t>
      </w:r>
      <w:r w:rsidRPr="00F5660C">
        <w:rPr>
          <w:highlight w:val="green"/>
          <w:u w:val="single"/>
        </w:rPr>
        <w:t>is</w:t>
      </w:r>
      <w:r w:rsidRPr="00F5660C">
        <w:rPr>
          <w:u w:val="single"/>
        </w:rPr>
        <w:t xml:space="preserve"> </w:t>
      </w:r>
      <w:r w:rsidRPr="00F5660C">
        <w:rPr>
          <w:rStyle w:val="Emphasis"/>
          <w:highlight w:val="green"/>
        </w:rPr>
        <w:t>direct government support</w:t>
      </w:r>
      <w:r w:rsidRPr="00F5660C">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023AD81E" w14:textId="77777777" w:rsidR="00F5660C" w:rsidRPr="00F5660C" w:rsidRDefault="00F5660C" w:rsidP="00F5660C">
      <w:r w:rsidRPr="00F5660C">
        <w:rPr>
          <w:u w:val="single"/>
        </w:rPr>
        <w:t xml:space="preserve">It was direct support via </w:t>
      </w:r>
      <w:r w:rsidRPr="00F5660C">
        <w:rPr>
          <w:rStyle w:val="Emphasis"/>
        </w:rPr>
        <w:t>Operation Warp Speed</w:t>
      </w:r>
      <w:r w:rsidRPr="00F5660C">
        <w:rPr>
          <w:u w:val="single"/>
        </w:rPr>
        <w:t xml:space="preserve"> that made possible the astonishingly rapid development of COVID-19 vaccines and then facilitated a relatively rapid rollout of vaccine distribution </w:t>
      </w:r>
      <w:r w:rsidRPr="00F5660C">
        <w:t>(relative, that is, to most of the rest of the world). And it’s worth noting that a major reason for the faster rollout here and in the United Kingdom compared to the European Union was the latter’s </w:t>
      </w:r>
      <w:hyperlink r:id="rId28" w:history="1">
        <w:r w:rsidRPr="00F5660C">
          <w:rPr>
            <w:rStyle w:val="Hyperlink"/>
            <w:bdr w:val="none" w:sz="0" w:space="0" w:color="auto" w:frame="1"/>
          </w:rPr>
          <w:t>misguided penny-pinching</w:t>
        </w:r>
      </w:hyperlink>
      <w:r w:rsidRPr="00F5660C">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1BD120EB" w14:textId="570A7B34" w:rsidR="00774F3E" w:rsidRPr="00F5660C" w:rsidRDefault="00F5660C" w:rsidP="00774F3E">
      <w:r w:rsidRPr="00F5660C">
        <w:rPr>
          <w:highlight w:val="green"/>
          <w:u w:val="single"/>
        </w:rPr>
        <w:t xml:space="preserve">Patent law and direct support should be seen </w:t>
      </w:r>
      <w:r w:rsidRPr="00F5660C">
        <w:rPr>
          <w:rStyle w:val="Emphasis"/>
          <w:highlight w:val="green"/>
        </w:rPr>
        <w:t>not as either-o</w:t>
      </w:r>
      <w:r w:rsidRPr="00F5660C">
        <w:rPr>
          <w:rStyle w:val="Emphasis"/>
        </w:rPr>
        <w:t xml:space="preserve">r alternatives </w:t>
      </w:r>
      <w:r w:rsidRPr="00F5660C">
        <w:rPr>
          <w:rStyle w:val="Emphasis"/>
          <w:highlight w:val="green"/>
        </w:rPr>
        <w:t>but</w:t>
      </w:r>
      <w:r w:rsidRPr="00F5660C">
        <w:rPr>
          <w:rStyle w:val="Emphasis"/>
        </w:rPr>
        <w:t xml:space="preserve"> as </w:t>
      </w:r>
      <w:r w:rsidRPr="00F5660C">
        <w:rPr>
          <w:rStyle w:val="Emphasis"/>
          <w:highlight w:val="green"/>
        </w:rPr>
        <w:t>complements</w:t>
      </w:r>
      <w:r w:rsidRPr="00F5660C">
        <w:rPr>
          <w:u w:val="single"/>
        </w:rPr>
        <w:t xml:space="preserve"> </w:t>
      </w:r>
      <w:r w:rsidRPr="00F5660C">
        <w:rPr>
          <w:highlight w:val="green"/>
          <w:u w:val="single"/>
        </w:rPr>
        <w:t>that apply different incentives to different circumstances</w:t>
      </w:r>
      <w:r w:rsidRPr="00F5660C">
        <w:rPr>
          <w:u w:val="single"/>
        </w:rPr>
        <w:t xml:space="preserve"> and time horizons</w:t>
      </w:r>
      <w:r w:rsidRPr="00F5660C">
        <w:t xml:space="preserve">. </w:t>
      </w:r>
      <w:r w:rsidRPr="00F5660C">
        <w:rPr>
          <w:u w:val="single"/>
        </w:rPr>
        <w:t>Patent law provides a decentralized system for encouraging innovation. The government doesn’t presume to tell the industry which new drugs are needed</w:t>
      </w:r>
      <w:r w:rsidRPr="00F5660C">
        <w:t xml:space="preserve">; it simply incentivizes the development of whatever new drugs that pharmaceutical firms can come up with by offering them a temporary monopoly. </w:t>
      </w:r>
      <w:r w:rsidRPr="00F5660C">
        <w:lastRenderedPageBreak/>
        <w:t xml:space="preserve">It is important to note that patent law’s incentives offer no commercial guarantees. Yes, you can block other competitors for </w:t>
      </w:r>
      <w:proofErr w:type="gramStart"/>
      <w:r w:rsidRPr="00F5660C">
        <w:t>a number of</w:t>
      </w:r>
      <w:proofErr w:type="gramEnd"/>
      <w:r w:rsidRPr="00F5660C">
        <w:t xml:space="preserve"> years, but that still doesn’t ensure enough consumer demand for the new product to make it profitable. </w:t>
      </w:r>
      <w:r w:rsidRPr="00F5660C">
        <w:rPr>
          <w:rStyle w:val="Emphasis"/>
        </w:rPr>
        <w:t xml:space="preserve">DIRECT SUPPORT MAKES PATENTS REDUNDANT </w:t>
      </w:r>
      <w:r w:rsidRPr="00F5660C">
        <w:rPr>
          <w:u w:val="single"/>
        </w:rPr>
        <w:t xml:space="preserve">The situation is different </w:t>
      </w:r>
      <w:r w:rsidRPr="00F5660C">
        <w:rPr>
          <w:highlight w:val="green"/>
          <w:u w:val="single"/>
        </w:rPr>
        <w:t>in a pandemic</w:t>
      </w:r>
      <w:r w:rsidRPr="00F5660C">
        <w:rPr>
          <w:u w:val="single"/>
        </w:rPr>
        <w:t xml:space="preserve">. Here the </w:t>
      </w:r>
      <w:r w:rsidRPr="00F5660C">
        <w:rPr>
          <w:highlight w:val="green"/>
          <w:u w:val="single"/>
        </w:rPr>
        <w:t>government knows exactly what it wants</w:t>
      </w:r>
      <w:r w:rsidRPr="00F5660C">
        <w:rPr>
          <w:u w:val="single"/>
        </w:rPr>
        <w:t xml:space="preserve"> to incentivize: the </w:t>
      </w:r>
      <w:r w:rsidRPr="00F5660C">
        <w:rPr>
          <w:highlight w:val="green"/>
          <w:u w:val="single"/>
        </w:rPr>
        <w:t>creation of vaccines</w:t>
      </w:r>
      <w:r w:rsidRPr="00F5660C">
        <w:rPr>
          <w:u w:val="single"/>
        </w:rPr>
        <w:t xml:space="preserve"> to prevent the spread of a specific virus and other drugs</w:t>
      </w:r>
      <w:r w:rsidRPr="00F5660C">
        <w:t xml:space="preserve"> to treat that virus. Under these circumstances, the decentralized approach isn’t good enough. </w:t>
      </w:r>
      <w:r w:rsidRPr="00F5660C">
        <w:rPr>
          <w:highlight w:val="green"/>
          <w:u w:val="single"/>
        </w:rPr>
        <w:t xml:space="preserve">There is no time to sit back and let drug makers </w:t>
      </w:r>
      <w:r w:rsidRPr="00F5660C">
        <w:rPr>
          <w:rStyle w:val="Emphasis"/>
          <w:highlight w:val="green"/>
        </w:rPr>
        <w:t>take the initiative</w:t>
      </w:r>
      <w:r w:rsidRPr="00F5660C">
        <w:rPr>
          <w:u w:val="single"/>
        </w:rPr>
        <w:t xml:space="preserve"> on their own timeline.</w:t>
      </w:r>
      <w:r w:rsidRPr="00F5660C">
        <w:t xml:space="preserve"> Instead, the government needs to be more involved to incentivize specific innovations now. As recompense for </w:t>
      </w:r>
      <w:proofErr w:type="gramStart"/>
      <w:r w:rsidRPr="00F5660C">
        <w:t>letting</w:t>
      </w:r>
      <w:proofErr w:type="gramEnd"/>
      <w:r w:rsidRPr="00F5660C">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32B419C" w14:textId="06C9266B"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r w:rsidR="007710C3">
        <w:rPr>
          <w:rFonts w:cs="Calibri"/>
        </w:rPr>
        <w:t xml:space="preserve"> through the WTO</w:t>
      </w:r>
      <w:r w:rsidR="00F6480B">
        <w:rPr>
          <w:rFonts w:cs="Calibri"/>
        </w:rPr>
        <w:t xml:space="preserve"> TRIPS council</w:t>
      </w:r>
      <w:r w:rsidR="007710C3">
        <w:rPr>
          <w:rFonts w:cs="Calibri"/>
        </w:rPr>
        <w:t>.</w:t>
      </w:r>
    </w:p>
    <w:p w14:paraId="3D80E320" w14:textId="77777777" w:rsidR="00774F3E" w:rsidRPr="00774F3E" w:rsidRDefault="00774F3E" w:rsidP="00774F3E">
      <w:r w:rsidRPr="00774F3E">
        <w:t xml:space="preserve">-- that’s </w:t>
      </w:r>
      <w:proofErr w:type="spellStart"/>
      <w:r w:rsidRPr="00774F3E">
        <w:t>Moderna</w:t>
      </w:r>
      <w:proofErr w:type="spellEnd"/>
      <w:r w:rsidRPr="00774F3E">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763D5896" w14:textId="77777777" w:rsidR="00774F3E" w:rsidRPr="00774F3E" w:rsidRDefault="00774F3E" w:rsidP="00774F3E">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 xml:space="preserve">IP protections further frustrate the goal of </w:t>
      </w:r>
      <w:r w:rsidRPr="00774F3E">
        <w:rPr>
          <w:rFonts w:eastAsia="Times New Roman"/>
          <w:u w:val="single"/>
        </w:rPr>
        <w:lastRenderedPageBreak/>
        <w:t>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6522AC58" w14:textId="77777777" w:rsidR="00280C9D" w:rsidRPr="00A0610A" w:rsidRDefault="00280C9D" w:rsidP="00280C9D">
      <w:pPr>
        <w:pStyle w:val="Heading3"/>
        <w:rPr>
          <w:rFonts w:cs="Calibri"/>
        </w:rPr>
      </w:pPr>
      <w:r w:rsidRPr="00A0610A">
        <w:rPr>
          <w:rFonts w:cs="Calibri"/>
        </w:rPr>
        <w:lastRenderedPageBreak/>
        <w:t>Framework</w:t>
      </w:r>
    </w:p>
    <w:p w14:paraId="7E3AA294" w14:textId="77777777" w:rsidR="00280C9D" w:rsidRPr="00A0610A" w:rsidRDefault="00280C9D" w:rsidP="00280C9D">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2A7BF636" w14:textId="77777777" w:rsidR="00280C9D" w:rsidRPr="00A0610A" w:rsidRDefault="00280C9D" w:rsidP="00280C9D">
      <w:r w:rsidRPr="00A0610A">
        <w:rPr>
          <w:b/>
        </w:rPr>
        <w:t>Moen 16</w:t>
      </w:r>
      <w:r w:rsidRPr="00A0610A">
        <w:t xml:space="preserve"> [Ole Martin Moen, Research Fellow in Philosophy at University of Oslo “An Argument for Hedonism” Journal of Value Inquiry (Springer), 50 (2) 2016: 267–281] SJDI</w:t>
      </w:r>
    </w:p>
    <w:p w14:paraId="70A14590" w14:textId="77777777" w:rsidR="00280C9D" w:rsidRPr="00A0610A" w:rsidRDefault="00280C9D" w:rsidP="00280C9D">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75F69E3E" w14:textId="77777777" w:rsidR="00280C9D" w:rsidRPr="007928AC" w:rsidRDefault="00280C9D" w:rsidP="00280C9D">
      <w:pPr>
        <w:pStyle w:val="Heading4"/>
        <w:rPr>
          <w:rFonts w:cs="Calibri"/>
        </w:rPr>
      </w:pPr>
      <w:r w:rsidRPr="00A0610A">
        <w:rPr>
          <w:rFonts w:cs="Calibri"/>
        </w:rPr>
        <w:lastRenderedPageBreak/>
        <w:t xml:space="preserve">Thus, the standard is maximizing expected well-being. Prefer additionally – </w:t>
      </w:r>
    </w:p>
    <w:p w14:paraId="1121B753" w14:textId="77777777" w:rsidR="00280C9D" w:rsidRPr="00A0610A" w:rsidRDefault="00280C9D" w:rsidP="00280C9D">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58295EF" w14:textId="3D9A4819" w:rsidR="00280C9D" w:rsidRPr="00A0610A" w:rsidRDefault="00280C9D" w:rsidP="00280C9D">
      <w:pPr>
        <w:pStyle w:val="Heading4"/>
        <w:rPr>
          <w:rFonts w:cs="Calibri"/>
        </w:rPr>
      </w:pPr>
      <w:r w:rsidRPr="00A0610A">
        <w:rPr>
          <w:rFonts w:cs="Calibri"/>
        </w:rPr>
        <w:t>2</w:t>
      </w:r>
      <w:r>
        <w:rPr>
          <w:rFonts w:cs="Calibri"/>
        </w:rPr>
        <w:t xml:space="preserve">. </w:t>
      </w:r>
      <w:r w:rsidR="001B5B7D">
        <w:rPr>
          <w:rFonts w:cs="Calibri"/>
        </w:rPr>
        <w:t>Intuitions</w:t>
      </w:r>
      <w:r w:rsidRPr="00A0610A">
        <w:rPr>
          <w:rFonts w:cs="Calibri"/>
        </w:rPr>
        <w:t xml:space="preserve"> outweig</w:t>
      </w:r>
      <w:r w:rsidR="001B5B7D">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0DBEE72A" w14:textId="77777777" w:rsidR="00280C9D" w:rsidRDefault="00280C9D" w:rsidP="00280C9D">
      <w:pPr>
        <w:pStyle w:val="Heading4"/>
        <w:rPr>
          <w:rFonts w:cs="Calibri"/>
        </w:rPr>
      </w:pPr>
      <w:r w:rsidRPr="00A0610A">
        <w:rPr>
          <w:rFonts w:cs="Calibri"/>
        </w:rPr>
        <w:t>3</w:t>
      </w:r>
      <w:r>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6FB6FAF7" w14:textId="77777777" w:rsidR="00280C9D" w:rsidRPr="00586B80" w:rsidRDefault="00280C9D" w:rsidP="00280C9D">
      <w:pPr>
        <w:pStyle w:val="Heading4"/>
      </w:pPr>
      <w:r>
        <w:t xml:space="preserve">Extinction o/w - </w:t>
      </w:r>
    </w:p>
    <w:p w14:paraId="59C6C539" w14:textId="77777777" w:rsidR="00280C9D" w:rsidRPr="00611230" w:rsidRDefault="00280C9D" w:rsidP="00280C9D">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9890056" w14:textId="77777777" w:rsidR="00280C9D" w:rsidRDefault="00280C9D" w:rsidP="00280C9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this case is strengthened by the fact that there’s a good chance that many existing people will, with the aid of life-</w:t>
      </w:r>
      <w:r w:rsidRPr="00611230">
        <w:rPr>
          <w:rStyle w:val="StyleUnderline"/>
        </w:rPr>
        <w:lastRenderedPageBreak/>
        <w:t xml:space="preserv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3BF64D5" w14:textId="77777777" w:rsidR="00E42E4C" w:rsidRPr="00A16F0D" w:rsidRDefault="00E42E4C" w:rsidP="00280C9D">
      <w:pPr>
        <w:pStyle w:val="Heading3"/>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E105B9"/>
    <w:multiLevelType w:val="hybridMultilevel"/>
    <w:tmpl w:val="E2C0A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017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0669"/>
    <w:rsid w:val="0008785F"/>
    <w:rsid w:val="00090CBE"/>
    <w:rsid w:val="00094DEC"/>
    <w:rsid w:val="000A2D8A"/>
    <w:rsid w:val="000B5E52"/>
    <w:rsid w:val="000C1CB5"/>
    <w:rsid w:val="000D26A6"/>
    <w:rsid w:val="000D2B90"/>
    <w:rsid w:val="000D6ED8"/>
    <w:rsid w:val="000D717B"/>
    <w:rsid w:val="00100B28"/>
    <w:rsid w:val="00117316"/>
    <w:rsid w:val="001209B4"/>
    <w:rsid w:val="00173569"/>
    <w:rsid w:val="001761FC"/>
    <w:rsid w:val="00182655"/>
    <w:rsid w:val="001840F2"/>
    <w:rsid w:val="00185134"/>
    <w:rsid w:val="001856C6"/>
    <w:rsid w:val="00191B5F"/>
    <w:rsid w:val="001921C9"/>
    <w:rsid w:val="00192487"/>
    <w:rsid w:val="00193416"/>
    <w:rsid w:val="00195073"/>
    <w:rsid w:val="0019668D"/>
    <w:rsid w:val="001A25FD"/>
    <w:rsid w:val="001A4491"/>
    <w:rsid w:val="001A5371"/>
    <w:rsid w:val="001A6E45"/>
    <w:rsid w:val="001A72C7"/>
    <w:rsid w:val="001B3DA2"/>
    <w:rsid w:val="001B40C3"/>
    <w:rsid w:val="001B5B7D"/>
    <w:rsid w:val="001B73E3"/>
    <w:rsid w:val="001C316D"/>
    <w:rsid w:val="001D1A0D"/>
    <w:rsid w:val="001D36BF"/>
    <w:rsid w:val="001D4C28"/>
    <w:rsid w:val="001E0B1F"/>
    <w:rsid w:val="001E0C0F"/>
    <w:rsid w:val="001E1E0B"/>
    <w:rsid w:val="001F1173"/>
    <w:rsid w:val="002005A8"/>
    <w:rsid w:val="0020151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C9D"/>
    <w:rsid w:val="002843B2"/>
    <w:rsid w:val="00284ED6"/>
    <w:rsid w:val="00290C5A"/>
    <w:rsid w:val="00290C92"/>
    <w:rsid w:val="0029647A"/>
    <w:rsid w:val="00296504"/>
    <w:rsid w:val="002B5511"/>
    <w:rsid w:val="002B7ACF"/>
    <w:rsid w:val="002E0643"/>
    <w:rsid w:val="002E392E"/>
    <w:rsid w:val="002E41BF"/>
    <w:rsid w:val="002E6BBC"/>
    <w:rsid w:val="002F1BA9"/>
    <w:rsid w:val="002F6E74"/>
    <w:rsid w:val="0030058A"/>
    <w:rsid w:val="003106B3"/>
    <w:rsid w:val="0031385D"/>
    <w:rsid w:val="003171AB"/>
    <w:rsid w:val="003223B2"/>
    <w:rsid w:val="00322A67"/>
    <w:rsid w:val="00330E13"/>
    <w:rsid w:val="00335A23"/>
    <w:rsid w:val="0034051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575"/>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28"/>
    <w:rsid w:val="00482AF9"/>
    <w:rsid w:val="00496BB2"/>
    <w:rsid w:val="004B37B4"/>
    <w:rsid w:val="004B72B4"/>
    <w:rsid w:val="004C0314"/>
    <w:rsid w:val="004C04EF"/>
    <w:rsid w:val="004C0D3D"/>
    <w:rsid w:val="004C213E"/>
    <w:rsid w:val="004C376C"/>
    <w:rsid w:val="004C657F"/>
    <w:rsid w:val="004D17D8"/>
    <w:rsid w:val="004D4546"/>
    <w:rsid w:val="004D52D8"/>
    <w:rsid w:val="004E355B"/>
    <w:rsid w:val="004F1305"/>
    <w:rsid w:val="005028E5"/>
    <w:rsid w:val="00503735"/>
    <w:rsid w:val="00512A62"/>
    <w:rsid w:val="00516A88"/>
    <w:rsid w:val="00522065"/>
    <w:rsid w:val="0052228B"/>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BF9"/>
    <w:rsid w:val="006C3A56"/>
    <w:rsid w:val="006D13F4"/>
    <w:rsid w:val="006D6AED"/>
    <w:rsid w:val="006E6D0B"/>
    <w:rsid w:val="006F126E"/>
    <w:rsid w:val="006F1964"/>
    <w:rsid w:val="006F32C9"/>
    <w:rsid w:val="006F3834"/>
    <w:rsid w:val="006F5693"/>
    <w:rsid w:val="006F5D4C"/>
    <w:rsid w:val="0071023D"/>
    <w:rsid w:val="00717B01"/>
    <w:rsid w:val="007227D9"/>
    <w:rsid w:val="0072491F"/>
    <w:rsid w:val="00725598"/>
    <w:rsid w:val="007374A1"/>
    <w:rsid w:val="00743722"/>
    <w:rsid w:val="0074538A"/>
    <w:rsid w:val="00752712"/>
    <w:rsid w:val="00753A84"/>
    <w:rsid w:val="00756D42"/>
    <w:rsid w:val="007611F5"/>
    <w:rsid w:val="007619E4"/>
    <w:rsid w:val="00761E75"/>
    <w:rsid w:val="0076495E"/>
    <w:rsid w:val="00765FC8"/>
    <w:rsid w:val="007710C3"/>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1BD0"/>
    <w:rsid w:val="00834842"/>
    <w:rsid w:val="00840E7B"/>
    <w:rsid w:val="008536AF"/>
    <w:rsid w:val="00853D40"/>
    <w:rsid w:val="008564FC"/>
    <w:rsid w:val="008630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FE7"/>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77B56"/>
    <w:rsid w:val="00981F23"/>
    <w:rsid w:val="00990634"/>
    <w:rsid w:val="00991733"/>
    <w:rsid w:val="00992078"/>
    <w:rsid w:val="00992BE3"/>
    <w:rsid w:val="009A1467"/>
    <w:rsid w:val="009A6464"/>
    <w:rsid w:val="009B69F5"/>
    <w:rsid w:val="009C5FF7"/>
    <w:rsid w:val="009C6292"/>
    <w:rsid w:val="009D15DB"/>
    <w:rsid w:val="009D3133"/>
    <w:rsid w:val="009D37D2"/>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18"/>
    <w:rsid w:val="00AF2516"/>
    <w:rsid w:val="00AF4760"/>
    <w:rsid w:val="00AF55D4"/>
    <w:rsid w:val="00B0505F"/>
    <w:rsid w:val="00B05C2D"/>
    <w:rsid w:val="00B12933"/>
    <w:rsid w:val="00B12B88"/>
    <w:rsid w:val="00B137E0"/>
    <w:rsid w:val="00B13851"/>
    <w:rsid w:val="00B13BC8"/>
    <w:rsid w:val="00B24662"/>
    <w:rsid w:val="00B3569C"/>
    <w:rsid w:val="00B43676"/>
    <w:rsid w:val="00B5602D"/>
    <w:rsid w:val="00B60125"/>
    <w:rsid w:val="00B6656B"/>
    <w:rsid w:val="00B71625"/>
    <w:rsid w:val="00B75C54"/>
    <w:rsid w:val="00B83FEF"/>
    <w:rsid w:val="00B8710E"/>
    <w:rsid w:val="00B92A93"/>
    <w:rsid w:val="00BA17A8"/>
    <w:rsid w:val="00BA3C33"/>
    <w:rsid w:val="00BB0878"/>
    <w:rsid w:val="00BB1879"/>
    <w:rsid w:val="00BB5F63"/>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1DBC"/>
    <w:rsid w:val="00C34D3E"/>
    <w:rsid w:val="00C35B37"/>
    <w:rsid w:val="00C3747A"/>
    <w:rsid w:val="00C37F29"/>
    <w:rsid w:val="00C56DCC"/>
    <w:rsid w:val="00C57075"/>
    <w:rsid w:val="00C72AFE"/>
    <w:rsid w:val="00C81619"/>
    <w:rsid w:val="00C9381E"/>
    <w:rsid w:val="00CA013C"/>
    <w:rsid w:val="00CA6D6D"/>
    <w:rsid w:val="00CB1ED8"/>
    <w:rsid w:val="00CC433E"/>
    <w:rsid w:val="00CC7A4E"/>
    <w:rsid w:val="00CD1359"/>
    <w:rsid w:val="00CD4C83"/>
    <w:rsid w:val="00D01EDC"/>
    <w:rsid w:val="00D078AA"/>
    <w:rsid w:val="00D10058"/>
    <w:rsid w:val="00D11978"/>
    <w:rsid w:val="00D14AF4"/>
    <w:rsid w:val="00D15E30"/>
    <w:rsid w:val="00D16129"/>
    <w:rsid w:val="00D25DBD"/>
    <w:rsid w:val="00D26929"/>
    <w:rsid w:val="00D30CBD"/>
    <w:rsid w:val="00D30D9E"/>
    <w:rsid w:val="00D33908"/>
    <w:rsid w:val="00D354F2"/>
    <w:rsid w:val="00D3575D"/>
    <w:rsid w:val="00D36C30"/>
    <w:rsid w:val="00D37C90"/>
    <w:rsid w:val="00D43A8C"/>
    <w:rsid w:val="00D53072"/>
    <w:rsid w:val="00D61A4E"/>
    <w:rsid w:val="00D634EA"/>
    <w:rsid w:val="00D713A1"/>
    <w:rsid w:val="00D77956"/>
    <w:rsid w:val="00D80F0C"/>
    <w:rsid w:val="00D92077"/>
    <w:rsid w:val="00D937D4"/>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1C0"/>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EF3"/>
    <w:rsid w:val="00F238C9"/>
    <w:rsid w:val="00F23CA5"/>
    <w:rsid w:val="00F270FF"/>
    <w:rsid w:val="00F277AA"/>
    <w:rsid w:val="00F31955"/>
    <w:rsid w:val="00F34C06"/>
    <w:rsid w:val="00F43EA3"/>
    <w:rsid w:val="00F50C55"/>
    <w:rsid w:val="00F5660C"/>
    <w:rsid w:val="00F578C5"/>
    <w:rsid w:val="00F57FFB"/>
    <w:rsid w:val="00F601E6"/>
    <w:rsid w:val="00F6480B"/>
    <w:rsid w:val="00F726D7"/>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26D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726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F726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726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F726D7"/>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437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726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6D7"/>
  </w:style>
  <w:style w:type="character" w:customStyle="1" w:styleId="Heading1Char">
    <w:name w:val="Heading 1 Char"/>
    <w:aliases w:val="Pocket Char"/>
    <w:basedOn w:val="DefaultParagraphFont"/>
    <w:link w:val="Heading1"/>
    <w:uiPriority w:val="9"/>
    <w:rsid w:val="00F726D7"/>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 Char Char Char1 Char,Hats Char"/>
    <w:basedOn w:val="DefaultParagraphFont"/>
    <w:link w:val="Heading2"/>
    <w:uiPriority w:val="9"/>
    <w:rsid w:val="00F726D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726D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726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26D7"/>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726D7"/>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726D7"/>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F726D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726D7"/>
    <w:rPr>
      <w:color w:val="auto"/>
      <w:u w:val="none"/>
    </w:rPr>
  </w:style>
  <w:style w:type="paragraph" w:styleId="DocumentMap">
    <w:name w:val="Document Map"/>
    <w:basedOn w:val="Normal"/>
    <w:link w:val="DocumentMapChar"/>
    <w:uiPriority w:val="99"/>
    <w:semiHidden/>
    <w:unhideWhenUsed/>
    <w:rsid w:val="00F726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26D7"/>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Block Heading,Read This"/>
    <w:basedOn w:val="Normal"/>
    <w:next w:val="NoSpacing"/>
    <w:link w:val="TitleChar"/>
    <w:uiPriority w:val="99"/>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Block Heading Char,Read This Char"/>
    <w:basedOn w:val="DefaultParagraphFont"/>
    <w:link w:val="Title"/>
    <w:uiPriority w:val="99"/>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743722"/>
    <w:pPr>
      <w:widowControl w:val="0"/>
      <w:suppressAutoHyphens/>
      <w:spacing w:after="200"/>
      <w:contextualSpacing/>
    </w:pPr>
    <w:rPr>
      <w:rFonts w:asciiTheme="minorHAnsi" w:hAnsiTheme="minorHAnsi" w:cstheme="minorBidi"/>
      <w:b/>
      <w:u w:val="single"/>
    </w:rPr>
  </w:style>
  <w:style w:type="character" w:customStyle="1" w:styleId="Heading5Char">
    <w:name w:val="Heading 5 Char"/>
    <w:basedOn w:val="DefaultParagraphFont"/>
    <w:link w:val="Heading5"/>
    <w:uiPriority w:val="9"/>
    <w:rsid w:val="00743722"/>
    <w:rPr>
      <w:rFonts w:asciiTheme="majorHAnsi" w:eastAsiaTheme="majorEastAsia" w:hAnsiTheme="majorHAnsi" w:cstheme="majorBidi"/>
      <w:color w:val="365F91" w:themeColor="accent1" w:themeShade="BF"/>
      <w:sz w:val="26"/>
    </w:rPr>
  </w:style>
  <w:style w:type="paragraph" w:styleId="ListParagraph">
    <w:name w:val="List Paragraph"/>
    <w:basedOn w:val="Normal"/>
    <w:uiPriority w:val="34"/>
    <w:qFormat/>
    <w:rsid w:val="00D937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www.niskanencenter.org/wp-content/uploads/2019/09/LT_IPMisnomer-2-1.pdf"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i-mak.org/wp-content/uploads/2018/08/I-MAK-Overpatented-Overpriced-Report.pdf"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hyperlink" Target="https://jme.bmj.com/content/medethics/early/2021/07/06/medethics-2021-107555.ful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scholarship.law.cornell.edu/cgi/viewcontent.cgi?article=4620&amp;context=clr"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uspto.gov/web/offices/ac/ido/oeip/taf/us_stat.htm" TargetMode="External"/><Relationship Id="rId28" Type="http://schemas.openxmlformats.org/officeDocument/2006/relationships/hyperlink" Target="https://www.nytimes.com/2021/05/17/opinion/europe-vaccines-commission.html?smid=tw-share"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ratical.org/radiation/NuclearExtinction/StevenStarr022815.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brookings.edu/blog/up-front/2021/06/03/why-intellectual-property-and-pandemics-dont-mix/" TargetMode="External"/><Relationship Id="rId27" Type="http://schemas.openxmlformats.org/officeDocument/2006/relationships/hyperlink" Target="https://www.brookings.edu/blog/up-front/2021/06/03/why-intellectual-property-and-pandemics-dont-mi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39</Pages>
  <Words>11534</Words>
  <Characters>62518</Characters>
  <Application>Microsoft Office Word</Application>
  <DocSecurity>0</DocSecurity>
  <Lines>822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5</cp:revision>
  <dcterms:created xsi:type="dcterms:W3CDTF">2021-09-13T18:10:00Z</dcterms:created>
  <dcterms:modified xsi:type="dcterms:W3CDTF">2021-09-13T19:22:00Z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