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6F" w14:textId="41E40DAD"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 xml:space="preserve">have caused the extinction of thousands of </w:t>
      </w:r>
      <w:proofErr w:type="gramStart"/>
      <w:r w:rsidRPr="00774F3E">
        <w:rPr>
          <w:rStyle w:val="StyleUnderline"/>
          <w:highlight w:val="green"/>
        </w:rPr>
        <w:t>species</w:t>
      </w:r>
      <w:proofErr w:type="gramEnd"/>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w:t>
      </w:r>
      <w:proofErr w:type="gramStart"/>
      <w:r w:rsidRPr="00774F3E">
        <w:rPr>
          <w:sz w:val="16"/>
        </w:rPr>
        <w:t>species</w:t>
      </w:r>
      <w:proofErr w:type="gramEnd"/>
      <w:r w:rsidRPr="00774F3E">
        <w:rPr>
          <w:sz w:val="16"/>
        </w:rPr>
        <w:t xml:space="preserve">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22"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3"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4"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5"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6"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1BD120EB" w14:textId="77777777" w:rsidR="00774F3E" w:rsidRPr="00774F3E" w:rsidRDefault="00774F3E" w:rsidP="00774F3E"/>
    <w:p w14:paraId="532B419C" w14:textId="77777777"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w:t>
      </w:r>
      <w:r w:rsidRPr="00774F3E">
        <w:rPr>
          <w:rFonts w:eastAsia="Times New Roman"/>
        </w:rPr>
        <w:lastRenderedPageBreak/>
        <w:t xml:space="preserve">is ours: waiving intellectual property protections for COVID-19 vaccines,” Journal of Medical Ethics, July 6, 2021, </w:t>
      </w:r>
      <w:hyperlink r:id="rId2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77777777" w:rsidR="00280C9D" w:rsidRPr="00A0610A" w:rsidRDefault="00280C9D" w:rsidP="00280C9D">
      <w:pPr>
        <w:pStyle w:val="Heading4"/>
        <w:rPr>
          <w:rFonts w:cs="Calibri"/>
        </w:rPr>
      </w:pPr>
      <w:r w:rsidRPr="00A0610A">
        <w:rPr>
          <w:rFonts w:cs="Calibri"/>
        </w:rPr>
        <w:t>2</w:t>
      </w:r>
      <w:r>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0822B1E2" w14:textId="77777777" w:rsidR="001B40C3" w:rsidRPr="00FF0CF7" w:rsidRDefault="001B40C3" w:rsidP="001B40C3">
      <w:pPr>
        <w:pStyle w:val="Heading4"/>
        <w:rPr>
          <w:rFonts w:cs="Calibri"/>
        </w:rPr>
      </w:pPr>
      <w:r>
        <w:rPr>
          <w:rFonts w:cs="Calibri"/>
        </w:rPr>
        <w:t>Biological d</w:t>
      </w:r>
      <w:r w:rsidRPr="00FF0CF7">
        <w:rPr>
          <w:rFonts w:cs="Calibri"/>
        </w:rPr>
        <w:t>eath is the worst evil</w:t>
      </w:r>
    </w:p>
    <w:p w14:paraId="360EF20F" w14:textId="77777777" w:rsidR="001B40C3" w:rsidRPr="00FF0CF7" w:rsidRDefault="001B40C3" w:rsidP="001B40C3">
      <w:r w:rsidRPr="00FF0CF7">
        <w:rPr>
          <w:rStyle w:val="Style13ptBold"/>
        </w:rPr>
        <w:t xml:space="preserve">Paterson 03 </w:t>
      </w:r>
      <w:r w:rsidRPr="00FF0CF7">
        <w:t xml:space="preserve">– Department of Philosophy, Providence College, Rhode Island. (Craig, “A Life Not Worth Living?”, Studies in Christian Ethics, </w:t>
      </w:r>
      <w:hyperlink r:id="rId28" w:history="1">
        <w:r w:rsidRPr="00FF0CF7">
          <w:rPr>
            <w:rStyle w:val="Hyperlink"/>
          </w:rPr>
          <w:t>http://sce.sagepub.com</w:t>
        </w:r>
      </w:hyperlink>
      <w:r w:rsidRPr="00FF0CF7">
        <w:t>)</w:t>
      </w:r>
    </w:p>
    <w:p w14:paraId="69EF2079" w14:textId="77777777" w:rsidR="001B40C3" w:rsidRDefault="001B40C3" w:rsidP="001B40C3">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w:t>
      </w:r>
      <w:proofErr w:type="gramStart"/>
      <w:r w:rsidRPr="00FF0CF7">
        <w:rPr>
          <w:rStyle w:val="StyleUnderline"/>
        </w:rPr>
        <w:t>actually suffers</w:t>
      </w:r>
      <w:proofErr w:type="gramEnd"/>
      <w:r w:rsidRPr="00FF0CF7">
        <w:rPr>
          <w:rStyle w:val="StyleUnderline"/>
        </w:rPr>
        <w:t xml:space="preserve"> from the sub-sequent non-participation. Rather, death </w:t>
      </w:r>
      <w:proofErr w:type="gramStart"/>
      <w:r w:rsidRPr="00FF0CF7">
        <w:rPr>
          <w:rStyle w:val="StyleUnderline"/>
        </w:rPr>
        <w:t>in itself is</w:t>
      </w:r>
      <w:proofErr w:type="gramEnd"/>
      <w:r w:rsidRPr="00FF0CF7">
        <w:rPr>
          <w:rStyle w:val="StyleUnderline"/>
        </w:rPr>
        <w:t xml:space="preserve">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w:t>
      </w:r>
      <w:proofErr w:type="gramStart"/>
      <w:r w:rsidRPr="00FF0CF7">
        <w:rPr>
          <w:rStyle w:val="StyleUnderline"/>
        </w:rPr>
        <w:t xml:space="preserve">here, </w:t>
      </w:r>
      <w:r w:rsidRPr="00FF0CF7">
        <w:rPr>
          <w:szCs w:val="16"/>
        </w:rPr>
        <w:t>and</w:t>
      </w:r>
      <w:proofErr w:type="gramEnd"/>
      <w:r w:rsidRPr="00FF0CF7">
        <w:rPr>
          <w:szCs w:val="16"/>
        </w:rPr>
        <w:t xml:space="preserve">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 xml:space="preserve">of the kind of </w:t>
      </w:r>
      <w:r w:rsidRPr="00FF0CF7">
        <w:rPr>
          <w:szCs w:val="16"/>
        </w:rPr>
        <w:lastRenderedPageBreak/>
        <w:t>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in a rational manner. To deal with the sources of disvalue (pain, suffering, etc.) we should not seek to irrationally destroy the person, the very source and condition of all human possibility.82</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61FC"/>
    <w:rsid w:val="00182655"/>
    <w:rsid w:val="001840F2"/>
    <w:rsid w:val="00185134"/>
    <w:rsid w:val="001856C6"/>
    <w:rsid w:val="00191B5F"/>
    <w:rsid w:val="001921C9"/>
    <w:rsid w:val="00192487"/>
    <w:rsid w:val="00193416"/>
    <w:rsid w:val="00195073"/>
    <w:rsid w:val="0019668D"/>
    <w:rsid w:val="001A25FD"/>
    <w:rsid w:val="001A5371"/>
    <w:rsid w:val="001A6E45"/>
    <w:rsid w:val="001A72C7"/>
    <w:rsid w:val="001B3DA2"/>
    <w:rsid w:val="001B40C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6BBC"/>
    <w:rsid w:val="002F1BA9"/>
    <w:rsid w:val="002F6E74"/>
    <w:rsid w:val="0030058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43722"/>
    <w:rsid w:val="00752712"/>
    <w:rsid w:val="00753A84"/>
    <w:rsid w:val="007611F5"/>
    <w:rsid w:val="007619E4"/>
    <w:rsid w:val="00761E75"/>
    <w:rsid w:val="0076495E"/>
    <w:rsid w:val="00765FC8"/>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0C9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80C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0C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80C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280C9D"/>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80C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C9D"/>
  </w:style>
  <w:style w:type="character" w:customStyle="1" w:styleId="Heading1Char">
    <w:name w:val="Heading 1 Char"/>
    <w:aliases w:val="Pocket Char"/>
    <w:basedOn w:val="DefaultParagraphFont"/>
    <w:link w:val="Heading1"/>
    <w:uiPriority w:val="9"/>
    <w:rsid w:val="00280C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0C9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80C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280C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0C9D"/>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80C9D"/>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80C9D"/>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80C9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80C9D"/>
    <w:rPr>
      <w:color w:val="auto"/>
      <w:u w:val="none"/>
    </w:rPr>
  </w:style>
  <w:style w:type="paragraph" w:styleId="DocumentMap">
    <w:name w:val="Document Map"/>
    <w:basedOn w:val="Normal"/>
    <w:link w:val="DocumentMapChar"/>
    <w:uiPriority w:val="99"/>
    <w:semiHidden/>
    <w:unhideWhenUsed/>
    <w:rsid w:val="00280C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0C9D"/>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hyperlink" Target="http://sce.sagepub.com"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38</Pages>
  <Words>10755</Words>
  <Characters>61304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4</cp:revision>
  <dcterms:created xsi:type="dcterms:W3CDTF">2021-09-11T17:20:00Z</dcterms:created>
  <dcterms:modified xsi:type="dcterms:W3CDTF">2021-09-11T18:18:00Z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