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D98EC" w14:textId="77777777" w:rsidR="008043D9" w:rsidRDefault="008043D9" w:rsidP="008043D9">
      <w:pPr>
        <w:pStyle w:val="Heading1"/>
      </w:pPr>
      <w:r>
        <w:t>AFF – Vaccine Imperialism</w:t>
      </w:r>
    </w:p>
    <w:p w14:paraId="1B905B92" w14:textId="77777777" w:rsidR="008043D9" w:rsidRDefault="008043D9" w:rsidP="008043D9">
      <w:pPr>
        <w:pStyle w:val="Heading2"/>
      </w:pPr>
      <w:r>
        <w:t>1AC</w:t>
      </w:r>
    </w:p>
    <w:p w14:paraId="0C15AE9C" w14:textId="77777777" w:rsidR="008043D9" w:rsidRDefault="008043D9" w:rsidP="008043D9">
      <w:pPr>
        <w:pStyle w:val="Heading3"/>
      </w:pPr>
      <w:r>
        <w:t>1AC – Framing</w:t>
      </w:r>
    </w:p>
    <w:p w14:paraId="36D83D7C" w14:textId="77777777" w:rsidR="008043D9" w:rsidRPr="00D8228C" w:rsidRDefault="008043D9" w:rsidP="008043D9">
      <w:pPr>
        <w:pStyle w:val="Heading4"/>
      </w:pPr>
      <w:r>
        <w:t xml:space="preserve">Prioritize </w:t>
      </w:r>
      <w:r w:rsidRPr="00E92D9F">
        <w:rPr>
          <w:u w:val="single"/>
        </w:rPr>
        <w:t>probability</w:t>
      </w:r>
      <w:r>
        <w:t>.</w:t>
      </w:r>
    </w:p>
    <w:p w14:paraId="20BB9B56" w14:textId="77777777" w:rsidR="008043D9" w:rsidRPr="00D8228C" w:rsidRDefault="008043D9" w:rsidP="008043D9">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842EB30" w14:textId="77777777" w:rsidR="008043D9" w:rsidRDefault="008043D9" w:rsidP="008043D9">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1A456C14" w14:textId="77777777" w:rsidR="008043D9" w:rsidRDefault="008043D9" w:rsidP="008043D9">
      <w:pPr>
        <w:pStyle w:val="Heading4"/>
        <w:tabs>
          <w:tab w:val="left" w:pos="0"/>
        </w:tabs>
      </w:pPr>
      <w:r>
        <w:t xml:space="preserve">Structural violence is the most important impact – ignoring them actively exacerbates exclusion </w:t>
      </w:r>
    </w:p>
    <w:p w14:paraId="744FF45C" w14:textId="77777777" w:rsidR="008043D9" w:rsidRDefault="008043D9" w:rsidP="008043D9">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3A5E56FF" w14:textId="77777777" w:rsidR="008043D9" w:rsidRDefault="008043D9" w:rsidP="008043D9">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503C4BED" w14:textId="77777777" w:rsidR="008043D9" w:rsidRPr="001F14F9" w:rsidRDefault="008043D9" w:rsidP="008043D9">
      <w:pPr>
        <w:pStyle w:val="Heading4"/>
      </w:pPr>
      <w:r w:rsidRPr="001F14F9">
        <w:t>Particularity is the best standard</w:t>
      </w:r>
    </w:p>
    <w:p w14:paraId="3439B464" w14:textId="77777777" w:rsidR="008043D9" w:rsidRPr="001F14F9" w:rsidRDefault="008043D9" w:rsidP="008043D9">
      <w:pPr>
        <w:rPr>
          <w:b/>
        </w:rPr>
      </w:pPr>
      <w:r w:rsidRPr="001F14F9">
        <w:rPr>
          <w:rStyle w:val="Style13ptBold"/>
        </w:rPr>
        <w:t xml:space="preserve">Price 98 </w:t>
      </w:r>
      <w:r w:rsidRPr="001F14F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24CA2C62" w14:textId="77777777" w:rsidR="008043D9" w:rsidRDefault="008043D9" w:rsidP="008043D9">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037222">
        <w:rPr>
          <w:rStyle w:val="StyleUnderline"/>
          <w:szCs w:val="28"/>
          <w:highlight w:val="gree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7B156D16" w14:textId="77777777" w:rsidR="008043D9" w:rsidRPr="00442419" w:rsidRDefault="008043D9" w:rsidP="008043D9">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0006DBC2" w14:textId="77777777" w:rsidR="008043D9" w:rsidRPr="008F0228" w:rsidRDefault="008043D9" w:rsidP="008043D9">
      <w:r w:rsidRPr="008F0228">
        <w:rPr>
          <w:rStyle w:val="Style13ptBold"/>
        </w:rPr>
        <w:t>Medina 11</w:t>
      </w:r>
      <w:r w:rsidRPr="008F0228">
        <w:t xml:space="preserve"> Medina, J. (2011). Toward a Foucaultian Epistemology of Resistance: Counter-Memory, Epistemic Friction, and Guerrilla Pluralism. Foucault Studies, 1(12), 9–35.</w:t>
      </w:r>
    </w:p>
    <w:p w14:paraId="22295135" w14:textId="77777777" w:rsidR="008043D9" w:rsidRDefault="008043D9" w:rsidP="008043D9">
      <w:pPr>
        <w:rPr>
          <w:sz w:val="16"/>
        </w:rPr>
      </w:pPr>
      <w:r w:rsidRPr="006F2AB1">
        <w:rPr>
          <w:sz w:val="16"/>
        </w:rPr>
        <w:t xml:space="preserve">The central goal of this paper is to show the emancipatory potential of the epistemological framework underlying Foucault’s work. More specifically, I will try to show that the Foucaultian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contain particular discursive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xml:space="preserve">, which are critical 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and the lived experiences and memo- ries of those whose marginalized lives have become the silent scars of forgotten struggles.</w:t>
      </w:r>
    </w:p>
    <w:p w14:paraId="261D2CC8" w14:textId="77777777" w:rsidR="008043D9" w:rsidRDefault="008043D9" w:rsidP="008043D9">
      <w:pPr>
        <w:pStyle w:val="Heading4"/>
        <w:spacing w:line="276" w:lineRule="auto"/>
      </w:pPr>
      <w:r>
        <w:t>Racism is the biggest impact – it makes all violence structurally inevitable and is the basis for all morality. Memmi 2k</w:t>
      </w:r>
    </w:p>
    <w:p w14:paraId="484BC38E" w14:textId="77777777" w:rsidR="008043D9" w:rsidRPr="00C320DE" w:rsidRDefault="008043D9" w:rsidP="008043D9">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1D9A02B1" w14:textId="77777777" w:rsidR="008043D9" w:rsidRDefault="008043D9" w:rsidP="008043D9">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38660D8D" w14:textId="77777777" w:rsidR="008043D9" w:rsidRPr="00B321A2" w:rsidRDefault="008043D9" w:rsidP="008043D9">
      <w:pPr>
        <w:pStyle w:val="Heading4"/>
      </w:pPr>
      <w:r>
        <w:t>Large scale extinction impacts are impossible to predict or simulate and will almost always be wrong – prefer impacts we know are happening</w:t>
      </w:r>
    </w:p>
    <w:p w14:paraId="3E22BE7A" w14:textId="77777777" w:rsidR="008043D9" w:rsidRDefault="008043D9" w:rsidP="008043D9">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14:paraId="55F22982" w14:textId="77777777" w:rsidR="008043D9" w:rsidRPr="006612F9" w:rsidRDefault="008043D9" w:rsidP="008043D9">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462F3C3D" w14:textId="77777777" w:rsidR="008043D9" w:rsidRPr="000572ED" w:rsidRDefault="008043D9" w:rsidP="008043D9">
      <w:pPr>
        <w:spacing w:line="276" w:lineRule="auto"/>
        <w:rPr>
          <w:sz w:val="14"/>
        </w:rPr>
      </w:pPr>
    </w:p>
    <w:p w14:paraId="1D26CC1A" w14:textId="77777777" w:rsidR="008043D9" w:rsidRPr="00FF3EBE" w:rsidRDefault="008043D9" w:rsidP="008043D9">
      <w:pPr>
        <w:pStyle w:val="Heading3"/>
      </w:pPr>
      <w:r>
        <w:t xml:space="preserve">1AC – Advantage </w:t>
      </w:r>
    </w:p>
    <w:p w14:paraId="7470B00C" w14:textId="77777777" w:rsidR="008043D9" w:rsidRDefault="008043D9" w:rsidP="008043D9">
      <w:pPr>
        <w:pStyle w:val="Heading4"/>
      </w:pPr>
      <w:r>
        <w:t>The status quo ensures vaccine imperialism. Intellectual property law is the lynchpin of North-South health inequality and has empirically resulted in disparate life outcomes, accelerating disease spread.</w:t>
      </w:r>
    </w:p>
    <w:p w14:paraId="221EBBD1" w14:textId="77777777" w:rsidR="008043D9" w:rsidRDefault="008043D9" w:rsidP="008043D9">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julian</w:t>
      </w:r>
    </w:p>
    <w:p w14:paraId="1017F35B" w14:textId="77777777" w:rsidR="008043D9" w:rsidRDefault="008043D9" w:rsidP="008043D9">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01DFA6E8" w14:textId="77777777" w:rsidR="008043D9" w:rsidRDefault="008043D9" w:rsidP="008043D9">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7C12B246" w14:textId="77777777" w:rsidR="008043D9" w:rsidRDefault="008043D9" w:rsidP="008043D9">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Thus, while recognising a broken global IP regime that triggered the scramble for vaccines, the racialized impact of the pandemic cannot be ignored, and it points to the entangled roots of race and capitalism.</w:t>
      </w:r>
    </w:p>
    <w:p w14:paraId="744E16C6" w14:textId="77777777" w:rsidR="008043D9" w:rsidRDefault="008043D9" w:rsidP="008043D9">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72CC97B2" w14:textId="77777777" w:rsidR="008043D9" w:rsidRDefault="008043D9" w:rsidP="008043D9"/>
    <w:p w14:paraId="2DE48BEA" w14:textId="77777777" w:rsidR="008043D9" w:rsidRDefault="008043D9" w:rsidP="008043D9">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33D85A6A" w14:textId="77777777" w:rsidR="008043D9" w:rsidRDefault="008043D9" w:rsidP="008043D9">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julian</w:t>
      </w:r>
    </w:p>
    <w:p w14:paraId="0E115626" w14:textId="77777777" w:rsidR="008043D9" w:rsidRPr="006A00B3" w:rsidRDefault="008043D9" w:rsidP="008043D9">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4A22A7C7" w14:textId="77777777" w:rsidR="008043D9" w:rsidRDefault="008043D9" w:rsidP="008043D9">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Deidré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2E8B4B12" w14:textId="77777777" w:rsidR="008043D9" w:rsidRPr="006A00B3" w:rsidRDefault="008043D9" w:rsidP="008043D9">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30CBB9D9" w14:textId="77777777" w:rsidR="008043D9" w:rsidRDefault="008043D9" w:rsidP="008043D9">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12A5782D" w14:textId="77777777" w:rsidR="008043D9" w:rsidRDefault="008043D9" w:rsidP="008043D9">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71000E9E" w14:textId="77777777" w:rsidR="008043D9" w:rsidRPr="006A00B3" w:rsidRDefault="008043D9" w:rsidP="008043D9">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A3DAD0D" w14:textId="77777777" w:rsidR="008043D9" w:rsidRDefault="008043D9" w:rsidP="008043D9">
      <w:r w:rsidRPr="006A00B3">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1B2483B2" w14:textId="77777777" w:rsidR="008043D9" w:rsidRDefault="008043D9" w:rsidP="008043D9">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62DD1170" w14:textId="77777777" w:rsidR="008043D9" w:rsidRDefault="008043D9" w:rsidP="008043D9"/>
    <w:p w14:paraId="55F2E45B" w14:textId="77777777" w:rsidR="008043D9" w:rsidRDefault="008043D9" w:rsidP="008043D9">
      <w:pPr>
        <w:pStyle w:val="Heading4"/>
      </w:pPr>
      <w:r>
        <w:t xml:space="preserve">Vaccine imperialism inevitably commodifies medicine and results in vaccine nationalism that magnifies North-South health disparities. </w:t>
      </w:r>
    </w:p>
    <w:p w14:paraId="622F5BC3" w14:textId="77777777" w:rsidR="008043D9" w:rsidRDefault="008043D9" w:rsidP="008043D9">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4DE02679" w14:textId="77777777" w:rsidR="008043D9" w:rsidRPr="00B40755" w:rsidRDefault="008043D9" w:rsidP="008043D9">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2B30D99C" w14:textId="77777777" w:rsidR="008043D9" w:rsidRPr="00B40755" w:rsidRDefault="008043D9" w:rsidP="008043D9">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0C18ED7F" w14:textId="77777777" w:rsidR="008043D9" w:rsidRPr="00B40755" w:rsidRDefault="008043D9" w:rsidP="008043D9">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335BE0FA" w14:textId="77777777" w:rsidR="008043D9" w:rsidRPr="00B40755" w:rsidRDefault="008043D9" w:rsidP="008043D9">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using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66D2A75E" w14:textId="77777777" w:rsidR="008043D9" w:rsidRPr="00B40755" w:rsidRDefault="008043D9" w:rsidP="008043D9">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3A6BA51A" w14:textId="77777777" w:rsidR="008043D9" w:rsidRPr="00B40755" w:rsidRDefault="008043D9" w:rsidP="008043D9">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4EA9BC1F" w14:textId="77777777" w:rsidR="008043D9" w:rsidRPr="00B40755" w:rsidRDefault="008043D9" w:rsidP="008043D9">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60A2DDC2" w14:textId="77777777" w:rsidR="008043D9" w:rsidRPr="00B40755" w:rsidRDefault="008043D9" w:rsidP="008043D9">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632235EA" w14:textId="77777777" w:rsidR="008043D9" w:rsidRPr="00B40755" w:rsidRDefault="008043D9" w:rsidP="008043D9">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327B3510" w14:textId="77777777" w:rsidR="008043D9" w:rsidRPr="00B40755" w:rsidRDefault="008043D9" w:rsidP="008043D9"/>
    <w:p w14:paraId="3BAF8599" w14:textId="77777777" w:rsidR="008043D9" w:rsidRPr="005C0339" w:rsidRDefault="008043D9" w:rsidP="008043D9">
      <w:pPr>
        <w:pStyle w:val="Heading4"/>
      </w:pPr>
      <w:r>
        <w:t>Status quo distribution results in disparities between nations. That results in colonial hierarchies of health.</w:t>
      </w:r>
    </w:p>
    <w:p w14:paraId="57A50FCE" w14:textId="77777777" w:rsidR="008043D9" w:rsidRPr="005C0339" w:rsidRDefault="008043D9" w:rsidP="008043D9">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725C27C7" w14:textId="77777777" w:rsidR="008043D9" w:rsidRPr="005C0339" w:rsidRDefault="008043D9" w:rsidP="008043D9">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546EE43E" w14:textId="77777777" w:rsidR="008043D9" w:rsidRPr="005C0339" w:rsidRDefault="008043D9" w:rsidP="008043D9">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3D370E8B" w14:textId="77777777" w:rsidR="008043D9" w:rsidRPr="005C0339" w:rsidRDefault="008043D9" w:rsidP="008043D9">
      <w:r w:rsidRPr="005C0339">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programmes</w:t>
      </w:r>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These programmes may increase debt and undermine development in ways that limit the realisation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0435B32E" w14:textId="77777777" w:rsidR="008043D9" w:rsidRPr="00B40755" w:rsidRDefault="008043D9" w:rsidP="008043D9"/>
    <w:p w14:paraId="1B27A688" w14:textId="77777777" w:rsidR="008043D9" w:rsidRDefault="008043D9" w:rsidP="008043D9">
      <w:pPr>
        <w:pStyle w:val="Heading4"/>
      </w:pPr>
      <w:r>
        <w:t xml:space="preserve">It also results in inequalities within nations. Politicians create a hierarchy of access, which feeds racism, classism, and corruption. </w:t>
      </w:r>
    </w:p>
    <w:p w14:paraId="5B2C796F" w14:textId="77777777" w:rsidR="008043D9" w:rsidRDefault="008043D9" w:rsidP="008043D9">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w:t>
      </w:r>
      <w:r>
        <w:t>4-5) julian</w:t>
      </w:r>
    </w:p>
    <w:p w14:paraId="543B82D8" w14:textId="77777777" w:rsidR="008043D9" w:rsidRPr="00B82C8E" w:rsidRDefault="008043D9" w:rsidP="008043D9">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using complex arrangements that prioritise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means that wealthier individuals are prioritised</w:t>
      </w:r>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marginalised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0A178B6A" w14:textId="77777777" w:rsidR="008043D9" w:rsidRPr="00B82C8E" w:rsidRDefault="008043D9" w:rsidP="008043D9">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marginalised populations</w:t>
      </w:r>
      <w:r w:rsidRPr="00B82C8E">
        <w:t xml:space="preserve">. </w:t>
      </w:r>
      <w:r w:rsidRPr="00C759E1">
        <w:t>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r w:rsidRPr="00037222">
        <w:rPr>
          <w:rStyle w:val="StyleUnderline"/>
          <w:highlight w:val="green"/>
        </w:rPr>
        <w:t>prioritised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other 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444C070C" w14:textId="77777777" w:rsidR="008043D9" w:rsidRPr="00B82C8E" w:rsidRDefault="008043D9" w:rsidP="008043D9">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33B73146" w14:textId="77777777" w:rsidR="008043D9" w:rsidRDefault="008043D9" w:rsidP="008043D9"/>
    <w:p w14:paraId="15EA2313" w14:textId="77777777" w:rsidR="008043D9" w:rsidRPr="00A77AC2" w:rsidRDefault="008043D9" w:rsidP="008043D9">
      <w:pPr>
        <w:pStyle w:val="Heading4"/>
      </w:pPr>
      <w:r>
        <w:t xml:space="preserve">This means COVID and future pandemics will reproduce untenable working conditions and racialized and classed life outcomes. </w:t>
      </w:r>
    </w:p>
    <w:p w14:paraId="52503ECF" w14:textId="77777777" w:rsidR="008043D9" w:rsidRPr="00681A90" w:rsidRDefault="008043D9" w:rsidP="008043D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6B8659CC" w14:textId="77777777" w:rsidR="008043D9" w:rsidRPr="00A77AC2" w:rsidRDefault="008043D9" w:rsidP="008043D9">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1C2FD5B5" w14:textId="77777777" w:rsidR="008043D9" w:rsidRPr="00A77AC2" w:rsidRDefault="008043D9" w:rsidP="008043D9">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72263820" w14:textId="77777777" w:rsidR="008043D9" w:rsidRPr="006A00B3" w:rsidRDefault="008043D9" w:rsidP="008043D9">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3F440662" w14:textId="77777777" w:rsidR="008043D9" w:rsidRDefault="008043D9" w:rsidP="008043D9"/>
    <w:p w14:paraId="2FB5A0AA" w14:textId="77777777" w:rsidR="008043D9" w:rsidRDefault="008043D9" w:rsidP="008043D9">
      <w:pPr>
        <w:pStyle w:val="Heading4"/>
      </w:pPr>
      <w:r>
        <w:t>The plan reverse casually ensures the reduction of vaccine imperialism.</w:t>
      </w:r>
    </w:p>
    <w:p w14:paraId="65E16309" w14:textId="77777777" w:rsidR="008043D9" w:rsidRDefault="008043D9" w:rsidP="008043D9">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julian</w:t>
      </w:r>
    </w:p>
    <w:p w14:paraId="12A142D7" w14:textId="77777777" w:rsidR="008043D9" w:rsidRDefault="008043D9" w:rsidP="008043D9">
      <w:r w:rsidRPr="00DC21DC">
        <w:t xml:space="preserve">This brings us to the present and how this dysfunction continues to be normalised in the current pandemic. </w:t>
      </w:r>
      <w:r w:rsidRPr="00FD7445">
        <w:rPr>
          <w:rStyle w:val="StyleUnderline"/>
        </w:rPr>
        <w:t>Moderna</w:t>
      </w:r>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particular </w:t>
      </w:r>
      <w:r w:rsidRPr="00037222">
        <w:rPr>
          <w:rStyle w:val="Emphasis"/>
          <w:highlight w:val="gree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in health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4F8DDB2A" w14:textId="77777777" w:rsidR="008043D9" w:rsidRDefault="008043D9" w:rsidP="008043D9">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01DC8C8" w14:textId="77777777" w:rsidR="008043D9" w:rsidRDefault="008043D9" w:rsidP="008043D9">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61AC510F" w14:textId="77777777" w:rsidR="008043D9" w:rsidRDefault="008043D9" w:rsidP="008043D9">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2AAE9354" w14:textId="77777777" w:rsidR="008043D9" w:rsidRDefault="008043D9" w:rsidP="008043D9">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adapted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0656C00E" w14:textId="77777777" w:rsidR="008043D9" w:rsidRDefault="008043D9" w:rsidP="008043D9">
      <w:pPr>
        <w:pStyle w:val="Heading3"/>
      </w:pPr>
      <w:r>
        <w:t>1AC – Plan</w:t>
      </w:r>
    </w:p>
    <w:p w14:paraId="491297F3" w14:textId="77777777" w:rsidR="008043D9" w:rsidRPr="00FF3EBE" w:rsidRDefault="008043D9" w:rsidP="008043D9">
      <w:pPr>
        <w:pStyle w:val="Heading4"/>
      </w:pPr>
      <w:r>
        <w:t xml:space="preserve">Plan: The member of nations of the World Trade Organization ought to eliminate patent protections for medicines </w:t>
      </w:r>
    </w:p>
    <w:p w14:paraId="695C2E53" w14:textId="77777777" w:rsidR="008043D9" w:rsidRDefault="008043D9" w:rsidP="008043D9">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julian</w:t>
      </w:r>
    </w:p>
    <w:p w14:paraId="106A1952" w14:textId="77777777" w:rsidR="008043D9" w:rsidRDefault="008043D9" w:rsidP="008043D9">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515A193B" w14:textId="77777777" w:rsidR="008043D9" w:rsidRDefault="008043D9" w:rsidP="008043D9">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0886E05A" w14:textId="77777777" w:rsidR="008043D9" w:rsidRDefault="008043D9" w:rsidP="008043D9">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39599019" w14:textId="77777777" w:rsidR="008043D9" w:rsidRDefault="008043D9" w:rsidP="008043D9"/>
    <w:p w14:paraId="3BF9D9C9" w14:textId="77777777" w:rsidR="008043D9" w:rsidRPr="00B95FC3" w:rsidRDefault="008043D9" w:rsidP="008043D9">
      <w:pPr>
        <w:pStyle w:val="Heading4"/>
      </w:pPr>
      <w:r>
        <w:t xml:space="preserve">Prioritize our impacts. Intellectual monopoly capitalism prioritizes profitability over health, which blurs the lines between life and death. </w:t>
      </w:r>
    </w:p>
    <w:p w14:paraId="7B24D187" w14:textId="77777777" w:rsidR="008043D9" w:rsidRPr="00681A90" w:rsidRDefault="008043D9" w:rsidP="008043D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julian</w:t>
      </w:r>
    </w:p>
    <w:p w14:paraId="4E871C42" w14:textId="77777777" w:rsidR="008043D9" w:rsidRDefault="008043D9" w:rsidP="008043D9">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TRIPs is hard law</w:t>
      </w:r>
      <w:r w:rsidRPr="00B95FC3">
        <w:t xml:space="preserve">; it is binding and enforceable. It mandates 20 years of patent protection for pharmaceutical products. Violations result in trade sanctions. </w:t>
      </w:r>
    </w:p>
    <w:p w14:paraId="3053DF54" w14:textId="77777777" w:rsidR="008043D9" w:rsidRDefault="008043D9" w:rsidP="008043D9">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1CAB5AB5" w14:textId="77777777" w:rsidR="008043D9" w:rsidRDefault="008043D9" w:rsidP="008043D9">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TRIPs’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74C38647" w14:textId="77777777" w:rsidR="008043D9" w:rsidRDefault="008043D9" w:rsidP="008043D9">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behaviour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0C03384C" w14:textId="77777777" w:rsidR="008043D9" w:rsidRDefault="008043D9" w:rsidP="008043D9">
      <w:r>
        <w:t xml:space="preserve">The competitive scramble for COVID-19 vaccines is in full cry, with many affluent countries negotiating advance purchasing deals and raising concerns that the Global South will once again be ‘left to die’ (Torjesen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(Nkengasong et al. 2020: 197; Garrison 2020). </w:t>
      </w:r>
    </w:p>
    <w:p w14:paraId="729381AA" w14:textId="77777777" w:rsidR="008043D9" w:rsidRDefault="008043D9" w:rsidP="008043D9">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1FE25098" w14:textId="77777777" w:rsidR="008043D9" w:rsidRDefault="008043D9" w:rsidP="008043D9"/>
    <w:p w14:paraId="483A982E" w14:textId="77777777" w:rsidR="008043D9" w:rsidRPr="006F2390" w:rsidRDefault="008043D9" w:rsidP="008043D9">
      <w:pPr>
        <w:pStyle w:val="Heading4"/>
      </w:pPr>
      <w:r>
        <w:t xml:space="preserve">Status quo medical innovation results in inequality, which the aff corrects. </w:t>
      </w:r>
    </w:p>
    <w:p w14:paraId="0AED0910" w14:textId="77777777" w:rsidR="008043D9" w:rsidRPr="006F2390" w:rsidRDefault="008043D9" w:rsidP="008043D9">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428150F4" w14:textId="77777777" w:rsidR="008043D9" w:rsidRPr="006F2390" w:rsidRDefault="008043D9" w:rsidP="008043D9">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760B6592" w14:textId="77777777" w:rsidR="008043D9" w:rsidRPr="006F2390" w:rsidRDefault="008043D9" w:rsidP="008043D9">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2E449670" w14:textId="77777777" w:rsidR="008043D9" w:rsidRPr="006F2390" w:rsidRDefault="008043D9" w:rsidP="008043D9">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184C1F08" w14:textId="77777777" w:rsidR="008043D9" w:rsidRPr="006F2390" w:rsidRDefault="008043D9" w:rsidP="008043D9">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(Maxmen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3B4F2F4D" w14:textId="77777777" w:rsidR="008043D9" w:rsidRPr="006F2390" w:rsidRDefault="008043D9" w:rsidP="008043D9">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67D67C0E" w14:textId="77777777" w:rsidR="008043D9" w:rsidRPr="006F2390" w:rsidRDefault="008043D9" w:rsidP="008043D9">
      <w:r w:rsidRPr="006F2390">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2A62122F" w14:textId="77777777" w:rsidR="008043D9" w:rsidRDefault="008043D9" w:rsidP="008043D9">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0F605A89" w14:textId="77777777" w:rsidR="008043D9" w:rsidRDefault="008043D9" w:rsidP="008043D9"/>
    <w:p w14:paraId="7E7DFBDA" w14:textId="77777777" w:rsidR="008043D9" w:rsidRDefault="008043D9" w:rsidP="008043D9">
      <w:pPr>
        <w:pStyle w:val="Heading4"/>
      </w:pPr>
      <w:r>
        <w:t xml:space="preserve">Flexibilities are insufficient. </w:t>
      </w:r>
    </w:p>
    <w:p w14:paraId="4233E257" w14:textId="77777777" w:rsidR="008043D9" w:rsidRDefault="008043D9" w:rsidP="008043D9">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5B7EFF17" w14:textId="77777777" w:rsidR="008043D9" w:rsidRPr="005C0339" w:rsidRDefault="008043D9" w:rsidP="008043D9">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For instance, </w:t>
      </w:r>
      <w:r w:rsidRPr="00912E7D">
        <w:rPr>
          <w:rStyle w:val="StyleUnderline"/>
        </w:rPr>
        <w:t>TRIPS allows states with limited manufacturing capacity to waive a patent for a limited duration so as to import essential medicines through a compulsory licence</w:t>
      </w:r>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in order to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5C0339">
        <w:t xml:space="preserve">.36 </w:t>
      </w:r>
    </w:p>
    <w:p w14:paraId="320D0D3E" w14:textId="77777777" w:rsidR="008043D9" w:rsidRPr="00C10443" w:rsidRDefault="008043D9" w:rsidP="008043D9">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the Bolivian government, which is seeking to use TRIPS flexibilities through compulsory licences</w:t>
      </w:r>
      <w:r w:rsidRPr="005C0339">
        <w:t xml:space="preserve">, </w:t>
      </w:r>
      <w:r w:rsidRPr="00912E7D">
        <w:t>recognises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pressures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2A35CA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43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3D9"/>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B1A950"/>
  <w14:defaultImageDpi w14:val="300"/>
  <w15:docId w15:val="{2276FD3E-2F74-BB40-901B-DF3545FAB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43D9"/>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8043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043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8043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8043D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8043D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043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3D9"/>
  </w:style>
  <w:style w:type="character" w:customStyle="1" w:styleId="Heading1Char">
    <w:name w:val="Heading 1 Char"/>
    <w:aliases w:val="Pocket Char"/>
    <w:basedOn w:val="DefaultParagraphFont"/>
    <w:link w:val="Heading1"/>
    <w:uiPriority w:val="9"/>
    <w:rsid w:val="008043D9"/>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8043D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043D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8043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43D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043D9"/>
    <w:rPr>
      <w:b w:val="0"/>
      <w:sz w:val="24"/>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8043D9"/>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043D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8043D9"/>
    <w:rPr>
      <w:color w:val="auto"/>
      <w:u w:val="none"/>
    </w:rPr>
  </w:style>
  <w:style w:type="paragraph" w:styleId="DocumentMap">
    <w:name w:val="Document Map"/>
    <w:basedOn w:val="Normal"/>
    <w:link w:val="DocumentMapChar"/>
    <w:uiPriority w:val="99"/>
    <w:semiHidden/>
    <w:unhideWhenUsed/>
    <w:rsid w:val="008043D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043D9"/>
    <w:rPr>
      <w:rFonts w:ascii="Lucida Grande" w:hAnsi="Lucida Grande" w:cs="Lucida Grande"/>
    </w:rPr>
  </w:style>
  <w:style w:type="character" w:customStyle="1" w:styleId="Heading5Char">
    <w:name w:val="Heading 5 Char"/>
    <w:basedOn w:val="DefaultParagraphFont"/>
    <w:link w:val="Heading5"/>
    <w:uiPriority w:val="99"/>
    <w:semiHidden/>
    <w:rsid w:val="008043D9"/>
    <w:rPr>
      <w:rFonts w:asciiTheme="majorHAnsi" w:eastAsiaTheme="majorEastAsia" w:hAnsiTheme="majorHAnsi" w:cstheme="majorBidi"/>
      <w:color w:val="365F91" w:themeColor="accent1" w:themeShade="BF"/>
    </w:rPr>
  </w:style>
  <w:style w:type="paragraph" w:customStyle="1" w:styleId="textbold">
    <w:name w:val="text bold"/>
    <w:basedOn w:val="Normal"/>
    <w:link w:val="Emphasis"/>
    <w:uiPriority w:val="20"/>
    <w:qFormat/>
    <w:rsid w:val="008043D9"/>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043D9"/>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043D9"/>
    <w:rPr>
      <w:rFonts w:ascii="Times New Roman" w:eastAsia="Times New Roman" w:hAnsi="Times New Roman" w:cs="Times New Roman"/>
    </w:rPr>
  </w:style>
  <w:style w:type="paragraph" w:customStyle="1" w:styleId="BigJr">
    <w:name w:val="Big Jr."/>
    <w:basedOn w:val="Normal"/>
    <w:autoRedefine/>
    <w:qFormat/>
    <w:rsid w:val="008043D9"/>
    <w:pPr>
      <w:spacing w:after="0"/>
    </w:pPr>
    <w:rPr>
      <w:b/>
      <w:color w:val="000000"/>
      <w:szCs w:val="28"/>
    </w:rPr>
  </w:style>
  <w:style w:type="character" w:styleId="UnresolvedMention">
    <w:name w:val="Unresolved Mention"/>
    <w:basedOn w:val="DefaultParagraphFont"/>
    <w:uiPriority w:val="99"/>
    <w:unhideWhenUsed/>
    <w:rsid w:val="008043D9"/>
    <w:rPr>
      <w:color w:val="605E5C"/>
      <w:shd w:val="clear" w:color="auto" w:fill="E1DFDD"/>
    </w:rPr>
  </w:style>
  <w:style w:type="paragraph" w:styleId="ListParagraph">
    <w:name w:val="List Paragraph"/>
    <w:aliases w:val="6 font"/>
    <w:basedOn w:val="Normal"/>
    <w:uiPriority w:val="34"/>
    <w:qFormat/>
    <w:rsid w:val="008043D9"/>
    <w:pPr>
      <w:ind w:left="720"/>
      <w:contextualSpacing/>
    </w:pPr>
  </w:style>
  <w:style w:type="paragraph" w:customStyle="1" w:styleId="dropcap">
    <w:name w:val="dropcap"/>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8043D9"/>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8043D9"/>
    <w:pPr>
      <w:pBdr>
        <w:bottom w:val="single" w:sz="8" w:space="4" w:color="4F81BD"/>
      </w:pBdr>
      <w:spacing w:after="300" w:line="240" w:lineRule="auto"/>
      <w:contextualSpacing/>
    </w:pPr>
    <w:rPr>
      <w:u w:val="single"/>
    </w:rPr>
  </w:style>
  <w:style w:type="character" w:customStyle="1" w:styleId="TitleChar1">
    <w:name w:val="Title Char1"/>
    <w:basedOn w:val="DefaultParagraphFont"/>
    <w:uiPriority w:val="10"/>
    <w:rsid w:val="008043D9"/>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8043D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8043D9"/>
    <w:rPr>
      <w:b/>
      <w:bCs/>
    </w:rPr>
  </w:style>
  <w:style w:type="character" w:customStyle="1" w:styleId="image-source-caption">
    <w:name w:val="image-source-caption"/>
    <w:basedOn w:val="DefaultParagraphFont"/>
    <w:rsid w:val="008043D9"/>
  </w:style>
  <w:style w:type="character" w:customStyle="1" w:styleId="image-source">
    <w:name w:val="image-source"/>
    <w:basedOn w:val="DefaultParagraphFont"/>
    <w:rsid w:val="008043D9"/>
  </w:style>
  <w:style w:type="paragraph" w:customStyle="1" w:styleId="body-text">
    <w:name w:val="body-text"/>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8043D9"/>
  </w:style>
  <w:style w:type="paragraph" w:customStyle="1" w:styleId="video-title">
    <w:name w:val="video-title"/>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8043D9"/>
  </w:style>
  <w:style w:type="paragraph" w:customStyle="1" w:styleId="element">
    <w:name w:val="element"/>
    <w:basedOn w:val="Normal"/>
    <w:rsid w:val="008043D9"/>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8043D9"/>
  </w:style>
  <w:style w:type="character" w:customStyle="1" w:styleId="author-name">
    <w:name w:val="author-name"/>
    <w:basedOn w:val="DefaultParagraphFont"/>
    <w:rsid w:val="008043D9"/>
  </w:style>
  <w:style w:type="character" w:customStyle="1" w:styleId="Title1">
    <w:name w:val="Title1"/>
    <w:basedOn w:val="DefaultParagraphFont"/>
    <w:rsid w:val="008043D9"/>
  </w:style>
  <w:style w:type="paragraph" w:styleId="z-TopofForm">
    <w:name w:val="HTML Top of Form"/>
    <w:basedOn w:val="Normal"/>
    <w:next w:val="Normal"/>
    <w:link w:val="z-TopofFormChar"/>
    <w:hidden/>
    <w:uiPriority w:val="99"/>
    <w:semiHidden/>
    <w:unhideWhenUsed/>
    <w:rsid w:val="008043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043D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043D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043D9"/>
    <w:rPr>
      <w:rFonts w:ascii="Arial" w:eastAsia="Times New Roman" w:hAnsi="Arial" w:cs="Arial"/>
      <w:vanish/>
      <w:sz w:val="16"/>
      <w:szCs w:val="16"/>
    </w:rPr>
  </w:style>
  <w:style w:type="paragraph" w:customStyle="1" w:styleId="drop-cap">
    <w:name w:val="drop-cap"/>
    <w:basedOn w:val="Normal"/>
    <w:rsid w:val="008043D9"/>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8043D9"/>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8043D9"/>
    <w:rPr>
      <w:bCs w:val="0"/>
      <w:iCs/>
      <w:color w:val="000000" w:themeColor="text1"/>
    </w:rPr>
  </w:style>
  <w:style w:type="character" w:customStyle="1" w:styleId="AnalyticChar">
    <w:name w:val="Analytic Char"/>
    <w:basedOn w:val="DefaultParagraphFont"/>
    <w:link w:val="Analytic"/>
    <w:uiPriority w:val="4"/>
    <w:rsid w:val="008043D9"/>
    <w:rPr>
      <w:rFonts w:ascii="Calibri" w:eastAsiaTheme="majorEastAsia" w:hAnsi="Calibri" w:cstheme="majorBidi"/>
      <w:b/>
      <w:iCs/>
      <w:color w:val="000000" w:themeColor="text1"/>
      <w:sz w:val="26"/>
      <w:szCs w:val="26"/>
    </w:rPr>
  </w:style>
  <w:style w:type="character" w:customStyle="1" w:styleId="underline">
    <w:name w:val="underline"/>
    <w:basedOn w:val="DefaultParagraphFont"/>
    <w:rsid w:val="008043D9"/>
    <w:rPr>
      <w:rFonts w:ascii="Garamond" w:hAnsi="Garamond" w:cs="Garamond"/>
      <w:sz w:val="20"/>
      <w:u w:val="single"/>
    </w:rPr>
  </w:style>
  <w:style w:type="character" w:customStyle="1" w:styleId="dt">
    <w:name w:val="dt"/>
    <w:basedOn w:val="DefaultParagraphFont"/>
    <w:rsid w:val="008043D9"/>
  </w:style>
  <w:style w:type="paragraph" w:customStyle="1" w:styleId="function-label">
    <w:name w:val="function-label"/>
    <w:basedOn w:val="Normal"/>
    <w:rsid w:val="008043D9"/>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8043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8043D9"/>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8043D9"/>
  </w:style>
  <w:style w:type="character" w:customStyle="1" w:styleId="css-1uk1gs8">
    <w:name w:val="css-1uk1gs8"/>
    <w:basedOn w:val="DefaultParagraphFont"/>
    <w:rsid w:val="008043D9"/>
  </w:style>
  <w:style w:type="character" w:customStyle="1" w:styleId="css-1ly73wi">
    <w:name w:val="css-1ly73wi"/>
    <w:basedOn w:val="DefaultParagraphFont"/>
    <w:rsid w:val="008043D9"/>
  </w:style>
  <w:style w:type="character" w:customStyle="1" w:styleId="css-cnj6d5">
    <w:name w:val="css-cnj6d5"/>
    <w:basedOn w:val="DefaultParagraphFont"/>
    <w:rsid w:val="008043D9"/>
  </w:style>
  <w:style w:type="paragraph" w:customStyle="1" w:styleId="wordsection1">
    <w:name w:val="wordsection1"/>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8043D9"/>
  </w:style>
  <w:style w:type="character" w:customStyle="1" w:styleId="Emph">
    <w:name w:val="Emph"/>
    <w:uiPriority w:val="1"/>
    <w:rsid w:val="008043D9"/>
    <w:rPr>
      <w:rFonts w:ascii="Arial" w:hAnsi="Arial"/>
      <w:b/>
      <w:sz w:val="20"/>
      <w:u w:val="single"/>
      <w:bdr w:val="single" w:sz="8" w:space="0" w:color="auto"/>
    </w:rPr>
  </w:style>
  <w:style w:type="paragraph" w:customStyle="1" w:styleId="selectionshareable">
    <w:name w:val="selectionshareable"/>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8043D9"/>
  </w:style>
  <w:style w:type="character" w:customStyle="1" w:styleId="pull-quote-sidebar">
    <w:name w:val="pull-quote-sidebar"/>
    <w:basedOn w:val="DefaultParagraphFont"/>
    <w:rsid w:val="008043D9"/>
  </w:style>
  <w:style w:type="paragraph" w:customStyle="1" w:styleId="Body">
    <w:name w:val="Body"/>
    <w:link w:val="BodyChar"/>
    <w:autoRedefine/>
    <w:rsid w:val="008043D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043D9"/>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8043D9"/>
  </w:style>
  <w:style w:type="character" w:customStyle="1" w:styleId="apple-style-span">
    <w:name w:val="apple-style-span"/>
    <w:basedOn w:val="DefaultParagraphFont"/>
    <w:rsid w:val="008043D9"/>
    <w:rPr>
      <w:rFonts w:cs="Times New Roman"/>
    </w:rPr>
  </w:style>
  <w:style w:type="paragraph" w:customStyle="1" w:styleId="noindent">
    <w:name w:val="noindent"/>
    <w:basedOn w:val="Normal"/>
    <w:rsid w:val="008043D9"/>
    <w:pPr>
      <w:spacing w:before="100" w:beforeAutospacing="1" w:after="100" w:afterAutospacing="1"/>
    </w:pPr>
    <w:rPr>
      <w:rFonts w:eastAsia="Times New Roman"/>
    </w:rPr>
  </w:style>
  <w:style w:type="paragraph" w:styleId="Header">
    <w:name w:val="header"/>
    <w:basedOn w:val="Normal"/>
    <w:link w:val="HeaderChar"/>
    <w:uiPriority w:val="99"/>
    <w:unhideWhenUsed/>
    <w:rsid w:val="00804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3D9"/>
    <w:rPr>
      <w:rFonts w:ascii="Calibri" w:hAnsi="Calibri" w:cs="Calibri"/>
    </w:rPr>
  </w:style>
  <w:style w:type="paragraph" w:styleId="Footer">
    <w:name w:val="footer"/>
    <w:basedOn w:val="Normal"/>
    <w:link w:val="FooterChar"/>
    <w:uiPriority w:val="99"/>
    <w:unhideWhenUsed/>
    <w:rsid w:val="00804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3D9"/>
    <w:rPr>
      <w:rFonts w:ascii="Calibri" w:hAnsi="Calibri" w:cs="Calibri"/>
    </w:rPr>
  </w:style>
  <w:style w:type="paragraph" w:styleId="BodyText">
    <w:name w:val="Body Text"/>
    <w:basedOn w:val="Normal"/>
    <w:link w:val="BodyTextChar"/>
    <w:uiPriority w:val="1"/>
    <w:qFormat/>
    <w:rsid w:val="008043D9"/>
    <w:pPr>
      <w:spacing w:after="140" w:line="276" w:lineRule="auto"/>
    </w:pPr>
    <w:rPr>
      <w:rFonts w:eastAsia="Calibri" w:cs="Times New Roman"/>
    </w:rPr>
  </w:style>
  <w:style w:type="character" w:customStyle="1" w:styleId="BodyTextChar">
    <w:name w:val="Body Text Char"/>
    <w:basedOn w:val="DefaultParagraphFont"/>
    <w:link w:val="BodyText"/>
    <w:uiPriority w:val="1"/>
    <w:rsid w:val="008043D9"/>
    <w:rPr>
      <w:rFonts w:ascii="Calibri" w:eastAsia="Calibri" w:hAnsi="Calibri" w:cs="Times New Roman"/>
    </w:rPr>
  </w:style>
  <w:style w:type="paragraph" w:customStyle="1" w:styleId="UnderlinePara">
    <w:name w:val="Underline Para"/>
    <w:basedOn w:val="Normal"/>
    <w:uiPriority w:val="1"/>
    <w:qFormat/>
    <w:rsid w:val="008043D9"/>
    <w:pPr>
      <w:widowControl w:val="0"/>
      <w:suppressAutoHyphens/>
      <w:spacing w:after="200"/>
      <w:contextualSpacing/>
    </w:pPr>
    <w:rPr>
      <w:u w:val="single"/>
    </w:rPr>
  </w:style>
  <w:style w:type="paragraph" w:customStyle="1" w:styleId="analytics">
    <w:name w:val="analytics"/>
    <w:basedOn w:val="Normal"/>
    <w:link w:val="analyticsChar"/>
    <w:uiPriority w:val="4"/>
    <w:qFormat/>
    <w:rsid w:val="008043D9"/>
    <w:rPr>
      <w:b/>
      <w:color w:val="C00000"/>
      <w:sz w:val="26"/>
    </w:rPr>
  </w:style>
  <w:style w:type="character" w:customStyle="1" w:styleId="analyticsChar">
    <w:name w:val="analytics Char"/>
    <w:basedOn w:val="DefaultParagraphFont"/>
    <w:link w:val="analytics"/>
    <w:uiPriority w:val="4"/>
    <w:rsid w:val="008043D9"/>
    <w:rPr>
      <w:rFonts w:ascii="Calibri" w:hAnsi="Calibri" w:cs="Calibri"/>
      <w:b/>
      <w:color w:val="C00000"/>
      <w:sz w:val="26"/>
    </w:rPr>
  </w:style>
  <w:style w:type="paragraph" w:customStyle="1" w:styleId="Small">
    <w:name w:val="Small"/>
    <w:basedOn w:val="Normal"/>
    <w:qFormat/>
    <w:rsid w:val="008043D9"/>
    <w:pPr>
      <w:spacing w:after="0" w:line="240" w:lineRule="auto"/>
    </w:pPr>
    <w:rPr>
      <w:sz w:val="14"/>
    </w:rPr>
  </w:style>
  <w:style w:type="paragraph" w:customStyle="1" w:styleId="cardtext">
    <w:name w:val="card text"/>
    <w:basedOn w:val="Normal"/>
    <w:link w:val="cardtextChar"/>
    <w:qFormat/>
    <w:rsid w:val="008043D9"/>
    <w:pPr>
      <w:widowControl w:val="0"/>
      <w:ind w:left="288" w:right="288"/>
    </w:pPr>
    <w:rPr>
      <w:rFonts w:eastAsia="Calibri"/>
    </w:rPr>
  </w:style>
  <w:style w:type="character" w:customStyle="1" w:styleId="cardtextChar">
    <w:name w:val="card text Char"/>
    <w:basedOn w:val="DefaultParagraphFont"/>
    <w:link w:val="cardtext"/>
    <w:rsid w:val="008043D9"/>
    <w:rPr>
      <w:rFonts w:ascii="Calibri" w:eastAsia="Calibri" w:hAnsi="Calibri" w:cs="Calibri"/>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8043D9"/>
    <w:rPr>
      <w:b/>
      <w:bCs/>
      <w:strike w:val="0"/>
      <w:dstrike w:val="0"/>
      <w:sz w:val="26"/>
      <w:u w:val="none"/>
      <w:effect w:val="none"/>
    </w:rPr>
  </w:style>
  <w:style w:type="character" w:customStyle="1" w:styleId="oecd-shared-footercopyright-first">
    <w:name w:val="oecd-shared-footer__copyright-first"/>
    <w:basedOn w:val="DefaultParagraphFont"/>
    <w:rsid w:val="008043D9"/>
  </w:style>
  <w:style w:type="character" w:customStyle="1" w:styleId="oecd-shared-footercopyright-second">
    <w:name w:val="oecd-shared-footer__copyright-second"/>
    <w:basedOn w:val="DefaultParagraphFont"/>
    <w:rsid w:val="008043D9"/>
  </w:style>
  <w:style w:type="paragraph" w:customStyle="1" w:styleId="font--body">
    <w:name w:val="font--body"/>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8043D9"/>
  </w:style>
  <w:style w:type="character" w:customStyle="1" w:styleId="education">
    <w:name w:val="education"/>
    <w:basedOn w:val="DefaultParagraphFont"/>
    <w:rsid w:val="008043D9"/>
  </w:style>
  <w:style w:type="character" w:customStyle="1" w:styleId="longbio">
    <w:name w:val="long_bio"/>
    <w:basedOn w:val="DefaultParagraphFont"/>
    <w:rsid w:val="008043D9"/>
  </w:style>
  <w:style w:type="paragraph" w:styleId="FootnoteText">
    <w:name w:val="footnote text"/>
    <w:basedOn w:val="Normal"/>
    <w:link w:val="FootnoteTextChar"/>
    <w:uiPriority w:val="99"/>
    <w:unhideWhenUsed/>
    <w:qFormat/>
    <w:rsid w:val="008043D9"/>
    <w:pPr>
      <w:spacing w:after="0" w:line="240" w:lineRule="auto"/>
    </w:pPr>
    <w:rPr>
      <w:sz w:val="20"/>
      <w:szCs w:val="20"/>
    </w:rPr>
  </w:style>
  <w:style w:type="character" w:customStyle="1" w:styleId="FootnoteTextChar">
    <w:name w:val="Footnote Text Char"/>
    <w:basedOn w:val="DefaultParagraphFont"/>
    <w:link w:val="FootnoteText"/>
    <w:uiPriority w:val="99"/>
    <w:rsid w:val="008043D9"/>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8043D9"/>
    <w:rPr>
      <w:vertAlign w:val="superscript"/>
    </w:rPr>
  </w:style>
  <w:style w:type="character" w:customStyle="1" w:styleId="Minimize">
    <w:name w:val="Minimize"/>
    <w:aliases w:val="Style Minimize"/>
    <w:uiPriority w:val="1"/>
    <w:qFormat/>
    <w:rsid w:val="008043D9"/>
    <w:rPr>
      <w:rFonts w:asciiTheme="minorHAnsi" w:hAnsiTheme="minorHAnsi"/>
      <w:sz w:val="16"/>
    </w:rPr>
  </w:style>
  <w:style w:type="paragraph" w:customStyle="1" w:styleId="css-axufdj">
    <w:name w:val="css-axufdj"/>
    <w:basedOn w:val="Normal"/>
    <w:rsid w:val="008043D9"/>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8043D9"/>
    <w:rPr>
      <w:rFonts w:ascii="Calibri" w:eastAsiaTheme="minorHAnsi" w:hAnsi="Calibri" w:cs="Calibri"/>
      <w:sz w:val="22"/>
      <w:szCs w:val="22"/>
    </w:rPr>
  </w:style>
  <w:style w:type="paragraph" w:customStyle="1" w:styleId="Nothing">
    <w:name w:val="Nothing"/>
    <w:link w:val="NothingChar"/>
    <w:rsid w:val="008043D9"/>
    <w:pPr>
      <w:jc w:val="both"/>
    </w:pPr>
    <w:rPr>
      <w:rFonts w:ascii="Times New Roman" w:eastAsia="Times New Roman" w:hAnsi="Times New Roman" w:cs="Times New Roman"/>
      <w:sz w:val="20"/>
    </w:rPr>
  </w:style>
  <w:style w:type="character" w:customStyle="1" w:styleId="NothingChar">
    <w:name w:val="Nothing Char"/>
    <w:link w:val="Nothing"/>
    <w:locked/>
    <w:rsid w:val="008043D9"/>
    <w:rPr>
      <w:rFonts w:ascii="Times New Roman" w:eastAsia="Times New Roman" w:hAnsi="Times New Roman" w:cs="Times New Roman"/>
      <w:sz w:val="20"/>
    </w:rPr>
  </w:style>
  <w:style w:type="character" w:customStyle="1" w:styleId="hvr">
    <w:name w:val="hvr"/>
    <w:basedOn w:val="DefaultParagraphFont"/>
    <w:rsid w:val="008043D9"/>
  </w:style>
  <w:style w:type="character" w:customStyle="1" w:styleId="idir">
    <w:name w:val="idir"/>
    <w:basedOn w:val="DefaultParagraphFont"/>
    <w:rsid w:val="008043D9"/>
  </w:style>
  <w:style w:type="character" w:customStyle="1" w:styleId="illustration">
    <w:name w:val="illustration"/>
    <w:basedOn w:val="DefaultParagraphFont"/>
    <w:rsid w:val="008043D9"/>
  </w:style>
  <w:style w:type="character" w:customStyle="1" w:styleId="span">
    <w:name w:val="span"/>
    <w:basedOn w:val="DefaultParagraphFont"/>
    <w:rsid w:val="008043D9"/>
  </w:style>
  <w:style w:type="character" w:customStyle="1" w:styleId="tb">
    <w:name w:val="tb"/>
    <w:basedOn w:val="DefaultParagraphFont"/>
    <w:rsid w:val="008043D9"/>
  </w:style>
  <w:style w:type="character" w:customStyle="1" w:styleId="target">
    <w:name w:val="target"/>
    <w:basedOn w:val="DefaultParagraphFont"/>
    <w:rsid w:val="008043D9"/>
  </w:style>
  <w:style w:type="character" w:customStyle="1" w:styleId="panel-title">
    <w:name w:val="panel-title"/>
    <w:basedOn w:val="DefaultParagraphFont"/>
    <w:rsid w:val="008043D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8043D9"/>
    <w:rPr>
      <w:u w:val="single"/>
    </w:rPr>
  </w:style>
  <w:style w:type="paragraph" w:customStyle="1" w:styleId="UnderlinedText">
    <w:name w:val="Underlined Text"/>
    <w:link w:val="IntenseEmphasis"/>
    <w:uiPriority w:val="6"/>
    <w:qFormat/>
    <w:rsid w:val="008043D9"/>
    <w:pPr>
      <w:suppressAutoHyphens/>
      <w:autoSpaceDN w:val="0"/>
      <w:textAlignment w:val="baseline"/>
    </w:pPr>
    <w:rPr>
      <w:u w:val="single"/>
    </w:rPr>
  </w:style>
  <w:style w:type="paragraph" w:customStyle="1" w:styleId="gntarbp">
    <w:name w:val="gnt_ar_b_p"/>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8043D9"/>
  </w:style>
  <w:style w:type="character" w:customStyle="1" w:styleId="credit">
    <w:name w:val="credit"/>
    <w:basedOn w:val="DefaultParagraphFont"/>
    <w:rsid w:val="008043D9"/>
  </w:style>
  <w:style w:type="character" w:customStyle="1" w:styleId="num">
    <w:name w:val="num"/>
    <w:basedOn w:val="DefaultParagraphFont"/>
    <w:rsid w:val="008043D9"/>
  </w:style>
  <w:style w:type="character" w:customStyle="1" w:styleId="letter">
    <w:name w:val="letter"/>
    <w:basedOn w:val="DefaultParagraphFont"/>
    <w:rsid w:val="008043D9"/>
  </w:style>
  <w:style w:type="character" w:customStyle="1" w:styleId="dttext">
    <w:name w:val="dttext"/>
    <w:basedOn w:val="DefaultParagraphFont"/>
    <w:rsid w:val="008043D9"/>
  </w:style>
  <w:style w:type="character" w:customStyle="1" w:styleId="ex-sent">
    <w:name w:val="ex-sent"/>
    <w:basedOn w:val="DefaultParagraphFont"/>
    <w:rsid w:val="008043D9"/>
  </w:style>
  <w:style w:type="character" w:customStyle="1" w:styleId="mwtwi">
    <w:name w:val="mw_t_wi"/>
    <w:basedOn w:val="DefaultParagraphFont"/>
    <w:rsid w:val="008043D9"/>
  </w:style>
  <w:style w:type="character" w:customStyle="1" w:styleId="auth">
    <w:name w:val="auth"/>
    <w:basedOn w:val="DefaultParagraphFont"/>
    <w:rsid w:val="008043D9"/>
  </w:style>
  <w:style w:type="character" w:customStyle="1" w:styleId="sdsense">
    <w:name w:val="sdsense"/>
    <w:basedOn w:val="DefaultParagraphFont"/>
    <w:rsid w:val="008043D9"/>
  </w:style>
  <w:style w:type="character" w:customStyle="1" w:styleId="sd">
    <w:name w:val="sd"/>
    <w:basedOn w:val="DefaultParagraphFont"/>
    <w:rsid w:val="008043D9"/>
  </w:style>
  <w:style w:type="paragraph" w:customStyle="1" w:styleId="NOTES">
    <w:name w:val="NOTES"/>
    <w:basedOn w:val="Normal"/>
    <w:autoRedefine/>
    <w:qFormat/>
    <w:rsid w:val="008043D9"/>
    <w:rPr>
      <w:sz w:val="26"/>
    </w:rPr>
  </w:style>
  <w:style w:type="paragraph" w:customStyle="1" w:styleId="Style2">
    <w:name w:val="Style2"/>
    <w:basedOn w:val="Normal"/>
    <w:qFormat/>
    <w:rsid w:val="008043D9"/>
  </w:style>
  <w:style w:type="paragraph" w:styleId="BalloonText">
    <w:name w:val="Balloon Text"/>
    <w:basedOn w:val="Normal"/>
    <w:link w:val="BalloonTextChar"/>
    <w:uiPriority w:val="99"/>
    <w:semiHidden/>
    <w:unhideWhenUsed/>
    <w:rsid w:val="008043D9"/>
    <w:rPr>
      <w:sz w:val="18"/>
      <w:szCs w:val="18"/>
    </w:rPr>
  </w:style>
  <w:style w:type="character" w:customStyle="1" w:styleId="BalloonTextChar">
    <w:name w:val="Balloon Text Char"/>
    <w:basedOn w:val="DefaultParagraphFont"/>
    <w:link w:val="BalloonText"/>
    <w:uiPriority w:val="99"/>
    <w:semiHidden/>
    <w:rsid w:val="008043D9"/>
    <w:rPr>
      <w:rFonts w:ascii="Calibri" w:hAnsi="Calibri"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8043D9"/>
    <w:pPr>
      <w:autoSpaceDE w:val="0"/>
      <w:autoSpaceDN w:val="0"/>
      <w:adjustRightInd w:val="0"/>
      <w:jc w:val="both"/>
    </w:pPr>
    <w:rPr>
      <w:rFonts w:asciiTheme="minorHAnsi" w:hAnsiTheme="minorHAnsi"/>
      <w:u w:val="single"/>
    </w:rPr>
  </w:style>
  <w:style w:type="character" w:customStyle="1" w:styleId="fn">
    <w:name w:val="fn"/>
    <w:basedOn w:val="DefaultParagraphFont"/>
    <w:rsid w:val="008043D9"/>
  </w:style>
  <w:style w:type="paragraph" w:customStyle="1" w:styleId="Analytics0">
    <w:name w:val="Analytics"/>
    <w:basedOn w:val="Heading4"/>
    <w:link w:val="AnalyticsChar0"/>
    <w:uiPriority w:val="4"/>
    <w:qFormat/>
    <w:rsid w:val="008043D9"/>
    <w:rPr>
      <w:color w:val="6666FF"/>
    </w:rPr>
  </w:style>
  <w:style w:type="character" w:customStyle="1" w:styleId="AnalyticsChar0">
    <w:name w:val="Analytics Char"/>
    <w:basedOn w:val="DefaultParagraphFont"/>
    <w:link w:val="Analytics0"/>
    <w:uiPriority w:val="4"/>
    <w:rsid w:val="008043D9"/>
    <w:rPr>
      <w:rFonts w:ascii="Calibri" w:eastAsiaTheme="majorEastAsia" w:hAnsi="Calibri" w:cstheme="majorBidi"/>
      <w:b/>
      <w:bCs/>
      <w:color w:val="6666FF"/>
      <w:sz w:val="26"/>
      <w:szCs w:val="26"/>
    </w:rPr>
  </w:style>
  <w:style w:type="paragraph" w:customStyle="1" w:styleId="AuthorQuals">
    <w:name w:val="Author Quals"/>
    <w:basedOn w:val="Normal"/>
    <w:link w:val="AuthorQualsChar"/>
    <w:autoRedefine/>
    <w:uiPriority w:val="4"/>
    <w:qFormat/>
    <w:rsid w:val="008043D9"/>
    <w:rPr>
      <w:sz w:val="16"/>
      <w:szCs w:val="10"/>
    </w:rPr>
  </w:style>
  <w:style w:type="character" w:customStyle="1" w:styleId="AuthorQualsChar">
    <w:name w:val="Author Quals Char"/>
    <w:basedOn w:val="DefaultParagraphFont"/>
    <w:link w:val="AuthorQuals"/>
    <w:uiPriority w:val="4"/>
    <w:rsid w:val="008043D9"/>
    <w:rPr>
      <w:rFonts w:ascii="Calibri" w:hAnsi="Calibri" w:cs="Calibri"/>
      <w:sz w:val="16"/>
      <w:szCs w:val="10"/>
    </w:rPr>
  </w:style>
  <w:style w:type="paragraph" w:customStyle="1" w:styleId="faculty-title">
    <w:name w:val="faculty-title"/>
    <w:basedOn w:val="Normal"/>
    <w:rsid w:val="008043D9"/>
    <w:pPr>
      <w:spacing w:before="100" w:beforeAutospacing="1" w:after="100" w:afterAutospacing="1"/>
    </w:pPr>
  </w:style>
  <w:style w:type="character" w:customStyle="1" w:styleId="label">
    <w:name w:val="label"/>
    <w:basedOn w:val="DefaultParagraphFont"/>
    <w:rsid w:val="008043D9"/>
  </w:style>
  <w:style w:type="paragraph" w:customStyle="1" w:styleId="body-paragraph">
    <w:name w:val="body-paragraph"/>
    <w:basedOn w:val="Normal"/>
    <w:rsid w:val="008043D9"/>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8043D9"/>
    <w:rPr>
      <w:color w:val="000000" w:themeColor="text1"/>
    </w:rPr>
  </w:style>
  <w:style w:type="character" w:customStyle="1" w:styleId="AnalyticsHGChar">
    <w:name w:val="Analytics [HG] Char"/>
    <w:basedOn w:val="DefaultParagraphFont"/>
    <w:link w:val="AnalyticsHG"/>
    <w:rsid w:val="008043D9"/>
    <w:rPr>
      <w:rFonts w:ascii="Calibri" w:eastAsiaTheme="majorEastAsia" w:hAnsi="Calibri" w:cstheme="majorBidi"/>
      <w:b/>
      <w:bCs/>
      <w:color w:val="000000" w:themeColor="text1"/>
      <w:sz w:val="26"/>
      <w:szCs w:val="26"/>
    </w:rPr>
  </w:style>
  <w:style w:type="character" w:customStyle="1" w:styleId="c-timestamplabel">
    <w:name w:val="c-timestamp__label"/>
    <w:basedOn w:val="DefaultParagraphFont"/>
    <w:rsid w:val="008043D9"/>
  </w:style>
  <w:style w:type="character" w:customStyle="1" w:styleId="c-messagesender">
    <w:name w:val="c-message__sender"/>
    <w:basedOn w:val="DefaultParagraphFont"/>
    <w:rsid w:val="008043D9"/>
  </w:style>
  <w:style w:type="character" w:customStyle="1" w:styleId="c-reactioncount">
    <w:name w:val="c-reaction__count"/>
    <w:basedOn w:val="DefaultParagraphFont"/>
    <w:rsid w:val="008043D9"/>
  </w:style>
  <w:style w:type="character" w:customStyle="1" w:styleId="c-messagereplybarlastreply">
    <w:name w:val="c-message__reply_bar_last_reply"/>
    <w:basedOn w:val="DefaultParagraphFont"/>
    <w:rsid w:val="008043D9"/>
  </w:style>
  <w:style w:type="character" w:customStyle="1" w:styleId="c-messagereplybarviewthread">
    <w:name w:val="c-message__reply_bar_view_thread"/>
    <w:basedOn w:val="DefaultParagraphFont"/>
    <w:rsid w:val="008043D9"/>
  </w:style>
  <w:style w:type="paragraph" w:customStyle="1" w:styleId="good">
    <w:name w:val="good"/>
    <w:basedOn w:val="Normal"/>
    <w:autoRedefine/>
    <w:qFormat/>
    <w:rsid w:val="008043D9"/>
    <w:rPr>
      <w:b/>
      <w:color w:val="002060"/>
      <w:sz w:val="26"/>
    </w:rPr>
  </w:style>
  <w:style w:type="paragraph" w:customStyle="1" w:styleId="AnalyticsHari">
    <w:name w:val="Analytics [Hari]"/>
    <w:basedOn w:val="Normal"/>
    <w:autoRedefine/>
    <w:qFormat/>
    <w:rsid w:val="008043D9"/>
    <w:rPr>
      <w:b/>
      <w:color w:val="002060"/>
      <w:sz w:val="26"/>
    </w:rPr>
  </w:style>
  <w:style w:type="paragraph" w:customStyle="1" w:styleId="AnalyticsInitials">
    <w:name w:val="Analytics [Initials]"/>
    <w:basedOn w:val="Heading4"/>
    <w:next w:val="Normal"/>
    <w:link w:val="AnalyticsInitialsChar"/>
    <w:autoRedefine/>
    <w:qFormat/>
    <w:rsid w:val="008043D9"/>
    <w:rPr>
      <w:color w:val="000000" w:themeColor="text1"/>
    </w:rPr>
  </w:style>
  <w:style w:type="character" w:customStyle="1" w:styleId="AnalyticsInitialsChar">
    <w:name w:val="Analytics [Initials] Char"/>
    <w:basedOn w:val="DefaultParagraphFont"/>
    <w:link w:val="AnalyticsInitials"/>
    <w:rsid w:val="008043D9"/>
    <w:rPr>
      <w:rFonts w:ascii="Calibri" w:eastAsiaTheme="majorEastAsia" w:hAnsi="Calibri" w:cstheme="majorBidi"/>
      <w:b/>
      <w:bCs/>
      <w:color w:val="000000" w:themeColor="text1"/>
      <w:sz w:val="26"/>
      <w:szCs w:val="26"/>
    </w:rPr>
  </w:style>
  <w:style w:type="character" w:styleId="CommentReference">
    <w:name w:val="annotation reference"/>
    <w:basedOn w:val="DefaultParagraphFont"/>
    <w:uiPriority w:val="99"/>
    <w:semiHidden/>
    <w:unhideWhenUsed/>
    <w:rsid w:val="008043D9"/>
    <w:rPr>
      <w:sz w:val="16"/>
      <w:szCs w:val="16"/>
    </w:rPr>
  </w:style>
  <w:style w:type="paragraph" w:styleId="CommentText">
    <w:name w:val="annotation text"/>
    <w:basedOn w:val="Normal"/>
    <w:link w:val="CommentTextChar"/>
    <w:uiPriority w:val="99"/>
    <w:semiHidden/>
    <w:unhideWhenUsed/>
    <w:rsid w:val="008043D9"/>
    <w:pPr>
      <w:spacing w:line="240" w:lineRule="auto"/>
    </w:pPr>
    <w:rPr>
      <w:sz w:val="20"/>
      <w:szCs w:val="20"/>
    </w:rPr>
  </w:style>
  <w:style w:type="character" w:customStyle="1" w:styleId="CommentTextChar">
    <w:name w:val="Comment Text Char"/>
    <w:basedOn w:val="DefaultParagraphFont"/>
    <w:link w:val="CommentText"/>
    <w:uiPriority w:val="99"/>
    <w:semiHidden/>
    <w:rsid w:val="008043D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043D9"/>
    <w:rPr>
      <w:b/>
      <w:bCs/>
    </w:rPr>
  </w:style>
  <w:style w:type="character" w:customStyle="1" w:styleId="CommentSubjectChar">
    <w:name w:val="Comment Subject Char"/>
    <w:basedOn w:val="CommentTextChar"/>
    <w:link w:val="CommentSubject"/>
    <w:uiPriority w:val="99"/>
    <w:semiHidden/>
    <w:rsid w:val="008043D9"/>
    <w:rPr>
      <w:rFonts w:ascii="Calibri" w:hAnsi="Calibri" w:cs="Calibri"/>
      <w:b/>
      <w:bCs/>
      <w:sz w:val="20"/>
      <w:szCs w:val="20"/>
    </w:rPr>
  </w:style>
  <w:style w:type="character" w:customStyle="1" w:styleId="footnotereferrer">
    <w:name w:val="footnote_referrer"/>
    <w:basedOn w:val="DefaultParagraphFont"/>
    <w:rsid w:val="008043D9"/>
  </w:style>
  <w:style w:type="paragraph" w:customStyle="1" w:styleId="CiteSpacing">
    <w:name w:val="Cite Spacing"/>
    <w:basedOn w:val="Normal"/>
    <w:uiPriority w:val="4"/>
    <w:qFormat/>
    <w:rsid w:val="008043D9"/>
    <w:pPr>
      <w:spacing w:before="60" w:after="60"/>
    </w:pPr>
  </w:style>
  <w:style w:type="character" w:customStyle="1" w:styleId="footnote-reference">
    <w:name w:val="footnote-reference"/>
    <w:basedOn w:val="DefaultParagraphFont"/>
    <w:rsid w:val="008043D9"/>
  </w:style>
  <w:style w:type="paragraph" w:customStyle="1" w:styleId="has-dark-gray-color">
    <w:name w:val="has-dark-gray-color"/>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8043D9"/>
  </w:style>
  <w:style w:type="paragraph" w:customStyle="1" w:styleId="CardIndented">
    <w:name w:val="Card (Indented)"/>
    <w:basedOn w:val="Normal"/>
    <w:link w:val="CardIndentedChar"/>
    <w:qFormat/>
    <w:rsid w:val="008043D9"/>
    <w:pPr>
      <w:ind w:left="288"/>
    </w:pPr>
  </w:style>
  <w:style w:type="character" w:customStyle="1" w:styleId="CardIndentedChar">
    <w:name w:val="Card (Indented) Char"/>
    <w:basedOn w:val="DefaultParagraphFont"/>
    <w:link w:val="CardIndented"/>
    <w:rsid w:val="008043D9"/>
    <w:rPr>
      <w:rFonts w:ascii="Calibri" w:hAnsi="Calibri" w:cs="Calibri"/>
    </w:rPr>
  </w:style>
  <w:style w:type="paragraph" w:customStyle="1" w:styleId="similarlistitem">
    <w:name w:val="similarlistitem"/>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8043D9"/>
  </w:style>
  <w:style w:type="character" w:customStyle="1" w:styleId="labeltext">
    <w:name w:val="labeltext"/>
    <w:basedOn w:val="DefaultParagraphFont"/>
    <w:rsid w:val="008043D9"/>
  </w:style>
  <w:style w:type="paragraph" w:customStyle="1" w:styleId="detailsub">
    <w:name w:val="detail__sub"/>
    <w:basedOn w:val="Normal"/>
    <w:rsid w:val="008043D9"/>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8043D9"/>
  </w:style>
  <w:style w:type="character" w:customStyle="1" w:styleId="t-out-span">
    <w:name w:val="t-out-span"/>
    <w:basedOn w:val="DefaultParagraphFont"/>
    <w:rsid w:val="008043D9"/>
  </w:style>
  <w:style w:type="paragraph" w:customStyle="1" w:styleId="wp-caption-text">
    <w:name w:val="wp-caption-text"/>
    <w:basedOn w:val="Normal"/>
    <w:rsid w:val="008043D9"/>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15673</Words>
  <Characters>89342</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1</cp:revision>
  <dcterms:created xsi:type="dcterms:W3CDTF">2021-09-04T17:22:00Z</dcterms:created>
  <dcterms:modified xsi:type="dcterms:W3CDTF">2021-09-04T17:23:00Z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