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4BEDD" w14:textId="107AC81B" w:rsidR="00AB7153" w:rsidRDefault="00AB7153" w:rsidP="00AB7153">
      <w:pPr>
        <w:pStyle w:val="Heading3"/>
      </w:pPr>
      <w:r>
        <w:t>1</w:t>
      </w:r>
    </w:p>
    <w:p w14:paraId="4559432C" w14:textId="14F6ADC4" w:rsidR="007D13A8" w:rsidRDefault="007D13A8" w:rsidP="007D13A8">
      <w:pPr>
        <w:pStyle w:val="Heading4"/>
      </w:pPr>
      <w:r>
        <w:t>Permissibility negates – ought is a moral obligation</w:t>
      </w:r>
      <w:r>
        <w:rPr>
          <w:rStyle w:val="FootnoteReference"/>
        </w:rPr>
        <w:footnoteReference w:id="1"/>
      </w:r>
      <w:r>
        <w:t xml:space="preserve"> and permissibility proves a lack of obligation</w:t>
      </w:r>
      <w:r w:rsidR="00213A18">
        <w:t xml:space="preserve">. Permissibility is </w:t>
      </w:r>
      <w:r w:rsidR="00213A18" w:rsidRPr="00213A18">
        <w:rPr>
          <w:u w:val="single"/>
        </w:rPr>
        <w:t>always</w:t>
      </w:r>
      <w:r w:rsidR="00213A18">
        <w:t xml:space="preserve"> valid neg ground </w:t>
      </w:r>
      <w:r w:rsidR="00A93CE6">
        <w:t xml:space="preserve">on text </w:t>
      </w:r>
      <w:r w:rsidR="00213A18">
        <w:t xml:space="preserve">– </w:t>
      </w:r>
      <w:r w:rsidR="008B0BCB">
        <w:t xml:space="preserve">ought is in the resolution so denying ought statements is core neg ground. </w:t>
      </w:r>
    </w:p>
    <w:p w14:paraId="0C72C348" w14:textId="77777777" w:rsidR="007D13A8" w:rsidRPr="003F4FAA" w:rsidRDefault="007D13A8" w:rsidP="007D13A8">
      <w:pPr>
        <w:pStyle w:val="Heading4"/>
        <w:rPr>
          <w:b w:val="0"/>
          <w:u w:val="single"/>
        </w:rPr>
      </w:pPr>
      <w:r>
        <w:t xml:space="preserve">Presumption negates – a] </w:t>
      </w:r>
      <w:r w:rsidRPr="00BB017E">
        <w:rPr>
          <w:rFonts w:cs="Calibri"/>
          <w:szCs w:val="26"/>
        </w:rPr>
        <w:t>We assume statements to be false until proven true.  That is why we don’t believe in alternate realities or conspiracy theories</w:t>
      </w:r>
      <w:r>
        <w:rPr>
          <w:rFonts w:cs="Calibri"/>
          <w:szCs w:val="26"/>
        </w:rPr>
        <w:t xml:space="preserve"> – b] proving a statement requires absolute certainty – statements like “I know it’s raining but I’m not sure it’s raining” are incoherent. </w:t>
      </w:r>
    </w:p>
    <w:p w14:paraId="29BA61E5" w14:textId="77777777" w:rsidR="007D13A8" w:rsidRDefault="007D13A8" w:rsidP="007D13A8">
      <w:pPr>
        <w:pStyle w:val="Heading4"/>
      </w:pPr>
      <w:r>
        <w:t xml:space="preserve">Vote neg on the </w:t>
      </w:r>
      <w:r w:rsidRPr="003A3414">
        <w:rPr>
          <w:u w:val="single"/>
        </w:rPr>
        <w:t>error constraint</w:t>
      </w:r>
      <w:r>
        <w:t xml:space="preserve"> – normative prescriptions require the possibility of doing otherwise else that action would lack moral significance. </w:t>
      </w:r>
    </w:p>
    <w:p w14:paraId="6E4A65A1" w14:textId="77777777" w:rsidR="007D13A8" w:rsidRPr="0084091D" w:rsidRDefault="007D13A8" w:rsidP="007D13A8">
      <w:pPr>
        <w:rPr>
          <w:sz w:val="16"/>
        </w:rPr>
      </w:pPr>
      <w:r w:rsidRPr="0084091D">
        <w:rPr>
          <w:rStyle w:val="Emphasis"/>
        </w:rPr>
        <w:t>Lavin</w:t>
      </w:r>
      <w:r w:rsidRPr="0084091D">
        <w:rPr>
          <w:sz w:val="16"/>
        </w:rPr>
        <w:t xml:space="preserve">, Douglas. “Practical Reason and the Possibility of Error.” Ethics, vol. 114, no. 3, The University of Chicago Press, 2004, pp. 424–57, </w:t>
      </w:r>
      <w:hyperlink r:id="rId8" w:history="1">
        <w:r w:rsidRPr="005D1551">
          <w:rPr>
            <w:rStyle w:val="Hyperlink"/>
            <w:sz w:val="16"/>
          </w:rPr>
          <w:t>https://doi.org/10.1086/381695</w:t>
        </w:r>
      </w:hyperlink>
      <w:r w:rsidRPr="0084091D">
        <w:rPr>
          <w:sz w:val="16"/>
        </w:rPr>
        <w:t>.</w:t>
      </w:r>
      <w:r>
        <w:rPr>
          <w:sz w:val="16"/>
        </w:rPr>
        <w:t xml:space="preserve"> JS bracketed for gender</w:t>
      </w:r>
    </w:p>
    <w:p w14:paraId="3729D0B8" w14:textId="77777777" w:rsidR="007D13A8" w:rsidRDefault="007D13A8" w:rsidP="007D13A8">
      <w:pPr>
        <w:rPr>
          <w:sz w:val="16"/>
        </w:rPr>
      </w:pPr>
      <w:r w:rsidRPr="00977C9E">
        <w:rPr>
          <w:rStyle w:val="StyleUnderline"/>
          <w:highlight w:val="cyan"/>
        </w:rPr>
        <w:t>For a creature to</w:t>
      </w:r>
      <w:r w:rsidRPr="0084091D">
        <w:rPr>
          <w:rStyle w:val="StyleUnderline"/>
        </w:rPr>
        <w:t xml:space="preserve"> be correctly said to </w:t>
      </w:r>
      <w:r w:rsidRPr="00977C9E">
        <w:rPr>
          <w:rStyle w:val="StyleUnderline"/>
          <w:highlight w:val="cyan"/>
        </w:rPr>
        <w:t>have a rule,</w:t>
      </w:r>
      <w:r w:rsidRPr="0084091D">
        <w:rPr>
          <w:rStyle w:val="StyleUnderline"/>
        </w:rPr>
        <w:t xml:space="preserve"> it is necessary that </w:t>
      </w:r>
      <w:r w:rsidRPr="00977C9E">
        <w:rPr>
          <w:rStyle w:val="StyleUnderline"/>
          <w:highlight w:val="cyan"/>
        </w:rPr>
        <w:t>it should be able to break the rule.</w:t>
      </w:r>
      <w:r w:rsidRPr="0084091D">
        <w:rPr>
          <w:rStyle w:val="StyleUnderline"/>
        </w:rPr>
        <w:t xml:space="preserve"> </w:t>
      </w:r>
      <w:r w:rsidRPr="0084091D">
        <w:rPr>
          <w:sz w:val="16"/>
        </w:rPr>
        <w:t xml:space="preserve">The physical or causal possibility of making a mistake, or doing what one is obliged, by what one means, intends, believes, and desires, not to do, is essential to the conception of such states and shows the essentially normative nature of their significance. </w:t>
      </w:r>
      <w:r w:rsidRPr="0084091D">
        <w:rPr>
          <w:rStyle w:val="StyleUnderline"/>
        </w:rPr>
        <w:t xml:space="preserve">An agent may be mistaken about what he has reason to do. . . . </w:t>
      </w:r>
      <w:r w:rsidRPr="00977C9E">
        <w:rPr>
          <w:rStyle w:val="StyleUnderline"/>
          <w:highlight w:val="cyan"/>
        </w:rPr>
        <w:t>This is essential to preserving</w:t>
      </w:r>
      <w:r w:rsidRPr="0084091D">
        <w:rPr>
          <w:rStyle w:val="StyleUnderline"/>
        </w:rPr>
        <w:t xml:space="preserve"> the point </w:t>
      </w:r>
      <w:r w:rsidRPr="00977C9E">
        <w:rPr>
          <w:rStyle w:val="StyleUnderline"/>
          <w:highlight w:val="cyan"/>
        </w:rPr>
        <w:t>that statements of what people have reason to do have normative force</w:t>
      </w:r>
      <w:r w:rsidRPr="0084091D">
        <w:rPr>
          <w:rStyle w:val="StyleUnderline"/>
        </w:rPr>
        <w:t>; no account that excludes this can be adequate</w:t>
      </w:r>
      <w:r w:rsidRPr="00977C9E">
        <w:rPr>
          <w:rStyle w:val="StyleUnderline"/>
          <w:highlight w:val="cyan"/>
        </w:rPr>
        <w:t>. Reason-giving explanations require a conception of how things ideally would be</w:t>
      </w:r>
      <w:r w:rsidRPr="0084091D">
        <w:rPr>
          <w:rStyle w:val="StyleUnderline"/>
        </w:rPr>
        <w:t>, sufficiently independent of how any actual individual’s psychological economy operates to serve as the basis for critical assessment of it.</w:t>
      </w:r>
      <w:r w:rsidRPr="0084091D">
        <w:rPr>
          <w:sz w:val="16"/>
        </w:rPr>
        <w:t xml:space="preserve"> In particular, </w:t>
      </w:r>
      <w:r w:rsidRPr="00977C9E">
        <w:rPr>
          <w:rStyle w:val="StyleUnderline"/>
          <w:highlight w:val="cyan"/>
        </w:rPr>
        <w:t>there must be a</w:t>
      </w:r>
      <w:r w:rsidRPr="0084091D">
        <w:rPr>
          <w:rStyle w:val="StyleUnderline"/>
        </w:rPr>
        <w:t xml:space="preserve"> potential </w:t>
      </w:r>
      <w:r w:rsidRPr="00977C9E">
        <w:rPr>
          <w:rStyle w:val="StyleUnderline"/>
          <w:highlight w:val="cyan"/>
        </w:rPr>
        <w:t>gap between the ideal and the</w:t>
      </w:r>
      <w:r w:rsidRPr="0084091D">
        <w:rPr>
          <w:rStyle w:val="StyleUnderline"/>
        </w:rPr>
        <w:t xml:space="preserve"> specific </w:t>
      </w:r>
      <w:r w:rsidRPr="00977C9E">
        <w:rPr>
          <w:rStyle w:val="StyleUnderline"/>
          <w:highlight w:val="cyan"/>
        </w:rPr>
        <w:t>directions in which a</w:t>
      </w:r>
      <w:r w:rsidRPr="0084091D">
        <w:rPr>
          <w:rStyle w:val="StyleUnderline"/>
        </w:rPr>
        <w:t xml:space="preserve"> given </w:t>
      </w:r>
      <w:r w:rsidRPr="00977C9E">
        <w:rPr>
          <w:rStyle w:val="StyleUnderline"/>
          <w:highlight w:val="cyan"/>
        </w:rPr>
        <w:t xml:space="preserve">agent’s motivations push [them] </w:t>
      </w:r>
      <w:r w:rsidRPr="0084091D">
        <w:rPr>
          <w:rStyle w:val="StyleUnderline"/>
        </w:rPr>
        <w:t>him. There is no normativity if you cannot be wrong</w:t>
      </w:r>
      <w:r w:rsidRPr="0084091D">
        <w:rPr>
          <w:sz w:val="16"/>
        </w:rPr>
        <w:t xml:space="preserve">.1 </w:t>
      </w:r>
    </w:p>
    <w:p w14:paraId="5A38E6CD" w14:textId="73210550" w:rsidR="007D13A8" w:rsidRDefault="007D13A8" w:rsidP="007D13A8">
      <w:pPr>
        <w:pStyle w:val="Heading4"/>
      </w:pPr>
      <w:r>
        <w:t xml:space="preserve">The concept of a “just government” tautologically presupposes a government that acts in a just </w:t>
      </w:r>
      <w:r w:rsidR="00173CB8">
        <w:t xml:space="preserve">manner – if a just government were to commit unjust actions, then they would no longer be a just government which means there is no possibility of them doing otherwise – </w:t>
      </w:r>
      <w:r>
        <w:t xml:space="preserve">thus under the error constraint, a just government cannot be said to have any moral obligations. </w:t>
      </w:r>
    </w:p>
    <w:p w14:paraId="0AA1D61F" w14:textId="2683F78F" w:rsidR="00845C7B" w:rsidRDefault="00AB7153" w:rsidP="00EA4E5E">
      <w:pPr>
        <w:pStyle w:val="Heading3"/>
      </w:pPr>
      <w:r>
        <w:t>2</w:t>
      </w:r>
    </w:p>
    <w:p w14:paraId="32067FE5" w14:textId="37BB985B" w:rsidR="00B152C9" w:rsidRDefault="00B152C9" w:rsidP="00B152C9">
      <w:pPr>
        <w:pStyle w:val="Heading4"/>
      </w:pPr>
      <w:r>
        <w:t>The ROB is to vote for the debater who proves the truth or falsity of the resolution – anything else moots 6 minutes of the</w:t>
      </w:r>
      <w:r w:rsidR="00370722">
        <w:t xml:space="preserve"> NC</w:t>
      </w:r>
      <w:r>
        <w:t xml:space="preserve"> since it’s predicated on proving the</w:t>
      </w:r>
      <w:r w:rsidR="00615155">
        <w:t xml:space="preserve"> falsity</w:t>
      </w:r>
      <w:r>
        <w:t xml:space="preserve"> of the </w:t>
      </w:r>
      <w:proofErr w:type="spellStart"/>
      <w:r>
        <w:t>rez</w:t>
      </w:r>
      <w:proofErr w:type="spellEnd"/>
      <w:r>
        <w:t xml:space="preserve"> – prefer it: </w:t>
      </w:r>
    </w:p>
    <w:p w14:paraId="42F4993F" w14:textId="77777777" w:rsidR="008433CF" w:rsidRDefault="00B152C9" w:rsidP="00B152C9">
      <w:pPr>
        <w:pStyle w:val="Heading4"/>
      </w:pPr>
      <w:r>
        <w:t xml:space="preserve">a. Five dictionaries define to negate as to deny the truth of and affirm as to prove true which means the sole judge obligation is to vote on the resolution’s truth or falsity. This outweighs on common usage – it is abundantly clear that our roles are verified, meaning that only truth testing is jurisdictional. </w:t>
      </w:r>
    </w:p>
    <w:p w14:paraId="0D16CD13" w14:textId="77777777" w:rsidR="008433CF" w:rsidRDefault="00B152C9" w:rsidP="00B152C9">
      <w:pPr>
        <w:pStyle w:val="Heading4"/>
      </w:pPr>
      <w:r>
        <w:t xml:space="preserve">b. Ground- truth testing allows for the more ground than any other ROB since it allows for a literal infinite amount of arguments on a range of argumentation style giving the most breadth and depth of topic and </w:t>
      </w:r>
      <w:proofErr w:type="spellStart"/>
      <w:r>
        <w:t>phil</w:t>
      </w:r>
      <w:proofErr w:type="spellEnd"/>
      <w:r>
        <w:t xml:space="preserve"> ed </w:t>
      </w:r>
    </w:p>
    <w:p w14:paraId="029AB691" w14:textId="3CA7D157" w:rsidR="00845C7B" w:rsidRDefault="00B152C9" w:rsidP="00B152C9">
      <w:pPr>
        <w:pStyle w:val="Heading4"/>
      </w:pPr>
      <w:r>
        <w:t xml:space="preserve">c. Circularity- debate is a question of truth or falsity, and the </w:t>
      </w:r>
      <w:proofErr w:type="spellStart"/>
      <w:r>
        <w:t>aff</w:t>
      </w:r>
      <w:proofErr w:type="spellEnd"/>
      <w:r>
        <w:t xml:space="preserve"> advocacy is the focus of every round- all arguments against this concede it’s validity, since it’s premised on your own argument being true</w:t>
      </w:r>
    </w:p>
    <w:p w14:paraId="21FBB79E" w14:textId="635C35E3" w:rsidR="00845C7B" w:rsidRDefault="00370722" w:rsidP="00370722">
      <w:pPr>
        <w:pStyle w:val="Heading4"/>
      </w:pPr>
      <w:r>
        <w:t xml:space="preserve">Fairness is good – </w:t>
      </w:r>
    </w:p>
    <w:p w14:paraId="6FD202FC" w14:textId="3567B2B1" w:rsidR="00845C7B" w:rsidRDefault="00845C7B" w:rsidP="00845C7B"/>
    <w:p w14:paraId="663EF5E8" w14:textId="2FBCEC76" w:rsidR="00EA4E5E" w:rsidRDefault="00EA4E5E" w:rsidP="00EA4E5E">
      <w:pPr>
        <w:pStyle w:val="Heading3"/>
      </w:pPr>
      <w:r>
        <w:t>3</w:t>
      </w:r>
    </w:p>
    <w:p w14:paraId="4FA38B29" w14:textId="77777777" w:rsidR="006C5EE5" w:rsidRPr="000238D7" w:rsidRDefault="006C5EE5" w:rsidP="006C5EE5"/>
    <w:p w14:paraId="501E8287" w14:textId="77777777" w:rsidR="006C5EE5" w:rsidRPr="000238D7" w:rsidRDefault="006C5EE5" w:rsidP="006C5EE5">
      <w:pPr>
        <w:pStyle w:val="Heading4"/>
      </w:pPr>
      <w:r w:rsidRPr="000238D7">
        <w:t xml:space="preserve">Morality must be derived a priori: </w:t>
      </w:r>
    </w:p>
    <w:p w14:paraId="3D825EB1" w14:textId="77777777" w:rsidR="006C5EE5" w:rsidRPr="000238D7" w:rsidRDefault="006C5EE5" w:rsidP="006C5EE5">
      <w:pPr>
        <w:pStyle w:val="Heading4"/>
      </w:pPr>
      <w:r w:rsidRPr="000238D7">
        <w:t xml:space="preserve">1] </w:t>
      </w:r>
      <w:r w:rsidRPr="000238D7">
        <w:rPr>
          <w:u w:val="single"/>
        </w:rPr>
        <w:t>Naturalistic Fallacy</w:t>
      </w:r>
      <w:r w:rsidRPr="000238D7">
        <w:t xml:space="preserve"> – </w:t>
      </w:r>
      <w:r>
        <w:t>experience merely perceives how the world is, which cannot correlate to how the world ought to be due to the is-ought fallacy.</w:t>
      </w:r>
    </w:p>
    <w:p w14:paraId="4D778A7C" w14:textId="77777777" w:rsidR="006C5EE5" w:rsidRPr="000238D7" w:rsidRDefault="006C5EE5" w:rsidP="006C5EE5">
      <w:pPr>
        <w:pStyle w:val="Heading4"/>
      </w:pPr>
      <w:r w:rsidRPr="000238D7">
        <w:t xml:space="preserve">2] </w:t>
      </w:r>
      <w:r w:rsidRPr="000238D7">
        <w:rPr>
          <w:u w:val="single"/>
        </w:rPr>
        <w:t>Uncertainty</w:t>
      </w:r>
      <w:r w:rsidRPr="000238D7">
        <w:t xml:space="preserve"> – inability to know others’ experience due to a limited perception makes empiricism unreliable for universal ethics.  </w:t>
      </w:r>
    </w:p>
    <w:p w14:paraId="7E089D3F" w14:textId="77777777" w:rsidR="006C5EE5" w:rsidRPr="000238D7" w:rsidRDefault="006C5EE5" w:rsidP="006C5EE5">
      <w:pPr>
        <w:pStyle w:val="Heading4"/>
      </w:pPr>
      <w:r w:rsidRPr="000238D7">
        <w:t xml:space="preserve">3] </w:t>
      </w:r>
      <w:r w:rsidRPr="000238D7">
        <w:rPr>
          <w:u w:val="single"/>
        </w:rPr>
        <w:t>Verification</w:t>
      </w:r>
      <w:r w:rsidRPr="000238D7">
        <w:t xml:space="preserve"> – </w:t>
      </w:r>
      <w:r w:rsidRPr="000238D7">
        <w:rPr>
          <w:shd w:val="clear" w:color="auto" w:fill="FFFFFF"/>
        </w:rPr>
        <w:t>The logic of evaluating consequences is circular because it relies on the assumption that nature will hold uniform but we could only reach that conclusion through an observation of past events.</w:t>
      </w:r>
    </w:p>
    <w:p w14:paraId="2B8570CD" w14:textId="77777777" w:rsidR="006C5EE5" w:rsidRPr="000238D7" w:rsidRDefault="006C5EE5" w:rsidP="00E116CE"/>
    <w:p w14:paraId="39452624" w14:textId="77777777" w:rsidR="006C5EE5" w:rsidRPr="000238D7" w:rsidRDefault="006C5EE5" w:rsidP="006C5EE5">
      <w:pPr>
        <w:pStyle w:val="Heading4"/>
      </w:pPr>
      <w:r w:rsidRPr="000238D7">
        <w:t xml:space="preserve">Ethics must </w:t>
      </w:r>
      <w:r>
        <w:t>answer the problem of infinite regress since we could question moral principles forever and avoid following morality</w:t>
      </w:r>
      <w:r w:rsidRPr="000238D7">
        <w:t>. Only reason solves</w:t>
      </w:r>
      <w:r>
        <w:t xml:space="preserve"> </w:t>
      </w:r>
      <w:r w:rsidRPr="000238D7">
        <w:t>– asking why reason is important</w:t>
      </w:r>
      <w:r>
        <w:t xml:space="preserve"> concedes its authority as we’re asking a reason for using our reason.</w:t>
      </w:r>
    </w:p>
    <w:p w14:paraId="2CD4F95D" w14:textId="77777777" w:rsidR="006C5EE5" w:rsidRPr="000238D7" w:rsidRDefault="006C5EE5" w:rsidP="006C5EE5"/>
    <w:p w14:paraId="016F26CD" w14:textId="77777777" w:rsidR="006C5EE5" w:rsidRPr="000238D7" w:rsidRDefault="006C5EE5" w:rsidP="006C5EE5">
      <w:pPr>
        <w:pStyle w:val="Heading4"/>
        <w:spacing w:line="276" w:lineRule="auto"/>
        <w:rPr>
          <w:rFonts w:cs="Calibri"/>
        </w:rPr>
      </w:pPr>
      <w:r w:rsidRPr="000238D7">
        <w:rPr>
          <w:rFonts w:cs="Calibri"/>
        </w:rPr>
        <w:t>Moral law must be both necessary and universal – only universal law can be constitutive of agency because it applies to all agents in all instances – other maxims cannot guide action in every situation. Willing coercion is a contradiction in conception because you extend your own freedom while simultaneously undermining your ability to act in the first place.</w:t>
      </w:r>
    </w:p>
    <w:p w14:paraId="20303AED" w14:textId="77777777" w:rsidR="006C5EE5" w:rsidRPr="000238D7" w:rsidRDefault="006C5EE5" w:rsidP="00E116CE">
      <w:r w:rsidRPr="000238D7">
        <w:tab/>
      </w:r>
    </w:p>
    <w:p w14:paraId="75514F44" w14:textId="77777777" w:rsidR="006C5EE5" w:rsidRDefault="006C5EE5" w:rsidP="006C5EE5">
      <w:pPr>
        <w:pStyle w:val="Heading4"/>
      </w:pPr>
      <w:r w:rsidRPr="000238D7">
        <w:t>Thus, the standard is respecting freedom.</w:t>
      </w:r>
      <w:r>
        <w:t xml:space="preserve"> Prefer it:</w:t>
      </w:r>
    </w:p>
    <w:p w14:paraId="4B5ADFBF" w14:textId="77777777" w:rsidR="006C5EE5" w:rsidRPr="00AF6663" w:rsidRDefault="006C5EE5" w:rsidP="006C5EE5">
      <w:pPr>
        <w:pStyle w:val="Heading4"/>
      </w:pPr>
      <w:r>
        <w:t xml:space="preserve">1] </w:t>
      </w:r>
      <w:r w:rsidRPr="000238D7">
        <w:rPr>
          <w:rFonts w:cs="Calibri"/>
          <w:u w:val="single"/>
        </w:rPr>
        <w:t>Performativity</w:t>
      </w:r>
      <w:r w:rsidRPr="000238D7">
        <w:rPr>
          <w:rFonts w:cs="Calibri"/>
        </w:rPr>
        <w:t xml:space="preserve"> – Argumentation presupposes one’s own freedom to act – if I violated your freedom, you wouldn’t be able to debate – this means contestations of my framework prove it true</w:t>
      </w:r>
    </w:p>
    <w:p w14:paraId="7846842A" w14:textId="77777777" w:rsidR="006C5EE5" w:rsidRDefault="006C5EE5" w:rsidP="006C5EE5">
      <w:pPr>
        <w:pStyle w:val="Heading4"/>
      </w:pPr>
      <w:r>
        <w:t xml:space="preserve">2] </w:t>
      </w:r>
      <w:r>
        <w:rPr>
          <w:u w:val="single"/>
        </w:rPr>
        <w:t>Culpability</w:t>
      </w:r>
      <w:r>
        <w:t xml:space="preserve"> – if we didn’t regard agents as free, then we can’t hold them culpable for immoral actions since there would be no possibility of them doing otherwise and being moral. </w:t>
      </w:r>
    </w:p>
    <w:p w14:paraId="44494109" w14:textId="77777777" w:rsidR="006C5EE5" w:rsidRDefault="006C5EE5" w:rsidP="006C5EE5">
      <w:pPr>
        <w:pStyle w:val="Heading4"/>
      </w:pPr>
      <w:r>
        <w:t xml:space="preserve">3] </w:t>
      </w:r>
      <w:r>
        <w:rPr>
          <w:u w:val="single"/>
        </w:rPr>
        <w:t>Other Frameworks Collapse</w:t>
      </w:r>
      <w:r>
        <w:t xml:space="preserve"> – viewing others as ends in themselves is a prerequisite for moral value.</w:t>
      </w:r>
    </w:p>
    <w:p w14:paraId="4950C0D3" w14:textId="77777777" w:rsidR="006C5EE5" w:rsidRPr="005627B7" w:rsidRDefault="006C5EE5" w:rsidP="006C5EE5">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w:t>
      </w:r>
    </w:p>
    <w:p w14:paraId="3A022E3A" w14:textId="77777777" w:rsidR="006C5EE5" w:rsidRDefault="006C5EE5" w:rsidP="006C5EE5">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00B43D2B" w14:textId="77777777" w:rsidR="006C5EE5" w:rsidRPr="00097C97" w:rsidRDefault="006C5EE5" w:rsidP="006C5EE5"/>
    <w:p w14:paraId="1D9B42C9" w14:textId="77777777" w:rsidR="006C5EE5" w:rsidRDefault="006C5EE5" w:rsidP="006C5EE5">
      <w:pPr>
        <w:pStyle w:val="Heading4"/>
      </w:pPr>
      <w:r>
        <w:t>Now negate:</w:t>
      </w:r>
    </w:p>
    <w:p w14:paraId="685DDA48" w14:textId="77777777" w:rsidR="006C5EE5" w:rsidRDefault="006C5EE5" w:rsidP="006C5EE5">
      <w:pPr>
        <w:pStyle w:val="Heading4"/>
      </w:pPr>
      <w:r>
        <w:t>The inherent ideology of the strike demands a right to a job they never perform – this is incoherent and requires coercion upon prospective employees else no right to strike would exist.</w:t>
      </w:r>
    </w:p>
    <w:p w14:paraId="738BE983" w14:textId="77777777" w:rsidR="006C5EE5" w:rsidRPr="004158E4" w:rsidRDefault="006C5EE5" w:rsidP="006C5EE5">
      <w:r w:rsidRPr="00CF0C49">
        <w:rPr>
          <w:rStyle w:val="Emphasis"/>
        </w:rPr>
        <w:t>Locke</w:t>
      </w:r>
      <w:r w:rsidRPr="00CF0C49">
        <w:rPr>
          <w:sz w:val="16"/>
        </w:rPr>
        <w:t xml:space="preserve">, Don. [NOT john </w:t>
      </w:r>
      <w:proofErr w:type="spellStart"/>
      <w:r w:rsidRPr="00CF0C49">
        <w:rPr>
          <w:sz w:val="16"/>
        </w:rPr>
        <w:t>locke</w:t>
      </w:r>
      <w:proofErr w:type="spellEnd"/>
      <w:r w:rsidRPr="00CF0C49">
        <w:rPr>
          <w:sz w:val="16"/>
        </w:rPr>
        <w:t xml:space="preserve">] “The Right to Strike.” Royal Institute of Philosophy Lecture Series, vol. 18, </w:t>
      </w:r>
      <w:r w:rsidRPr="00CF0C49">
        <w:rPr>
          <w:rStyle w:val="Emphasis"/>
        </w:rPr>
        <w:t>1984</w:t>
      </w:r>
      <w:r w:rsidRPr="00CF0C49">
        <w:rPr>
          <w:sz w:val="16"/>
        </w:rPr>
        <w:t>, pp. 173–202., doi:10.1017/S0957042X00003163 JS</w:t>
      </w:r>
    </w:p>
    <w:p w14:paraId="598A3795" w14:textId="77777777" w:rsidR="006C5EE5" w:rsidRDefault="006C5EE5" w:rsidP="006C5EE5">
      <w:pPr>
        <w:rPr>
          <w:sz w:val="16"/>
        </w:rPr>
      </w:pPr>
      <w:r w:rsidRPr="004158E4">
        <w:rPr>
          <w:sz w:val="16"/>
        </w:rPr>
        <w:t xml:space="preserve">So </w:t>
      </w:r>
      <w:r w:rsidRPr="004158E4">
        <w:rPr>
          <w:rStyle w:val="StyleUnderline"/>
        </w:rPr>
        <w:t>what is distinctive about a strike is,</w:t>
      </w:r>
      <w:r w:rsidRPr="004158E4">
        <w:rPr>
          <w:sz w:val="16"/>
        </w:rPr>
        <w:t xml:space="preserve"> as I suggested before, </w:t>
      </w:r>
      <w:r w:rsidRPr="004158E4">
        <w:rPr>
          <w:rStyle w:val="StyleUnderline"/>
        </w:rPr>
        <w:t>the refusal to do a particular job, combined with the insistence that that job is none the less still yours</w:t>
      </w:r>
      <w:r w:rsidRPr="004158E4">
        <w:rPr>
          <w:sz w:val="16"/>
        </w:rPr>
        <w:t xml:space="preserve">. Now this in itself seems curious enough to require some explanation: </w:t>
      </w:r>
      <w:r w:rsidRPr="00CF0C49">
        <w:rPr>
          <w:rStyle w:val="StyleUnderline"/>
          <w:highlight w:val="cyan"/>
        </w:rPr>
        <w:t>how can someone be entitled to claim a job</w:t>
      </w:r>
      <w:r w:rsidRPr="004158E4">
        <w:rPr>
          <w:rStyle w:val="StyleUnderline"/>
        </w:rPr>
        <w:t xml:space="preserve"> as his, </w:t>
      </w:r>
      <w:r w:rsidRPr="00CF0C49">
        <w:rPr>
          <w:rStyle w:val="StyleUnderline"/>
          <w:highlight w:val="cyan"/>
        </w:rPr>
        <w:t>when he isn't willing to do it?</w:t>
      </w:r>
      <w:r w:rsidRPr="004158E4">
        <w:rPr>
          <w:rStyle w:val="StyleUnderline"/>
        </w:rPr>
        <w:t xml:space="preserve"> Surely </w:t>
      </w:r>
      <w:r w:rsidRPr="00CF0C49">
        <w:rPr>
          <w:rStyle w:val="StyleUnderline"/>
          <w:highlight w:val="cyan"/>
        </w:rPr>
        <w:t>if he doesn't want to do it and others do, then it should be their job,</w:t>
      </w:r>
      <w:r w:rsidRPr="004158E4">
        <w:rPr>
          <w:rStyle w:val="StyleUnderline"/>
        </w:rPr>
        <w:t xml:space="preserve"> not his?</w:t>
      </w:r>
      <w:r w:rsidRPr="004158E4">
        <w:rPr>
          <w:sz w:val="16"/>
        </w:rPr>
        <w:t xml:space="preserve"> But what seems to require justification is the apparent consequence of this, </w:t>
      </w:r>
      <w:r w:rsidRPr="00CF0C49">
        <w:rPr>
          <w:rStyle w:val="StyleUnderline"/>
          <w:highlight w:val="cyan"/>
        </w:rPr>
        <w:t>the attempt to prevent others from taking that job</w:t>
      </w:r>
      <w:r w:rsidRPr="00CF0C49">
        <w:rPr>
          <w:rStyle w:val="StyleUnderline"/>
        </w:rPr>
        <w:t xml:space="preserve">, even though they might be willing, even eager, to do it in the striker's place. Surely this </w:t>
      </w:r>
      <w:r w:rsidRPr="00CF0C49">
        <w:rPr>
          <w:rStyle w:val="StyleUnderline"/>
          <w:highlight w:val="cyan"/>
        </w:rPr>
        <w:t xml:space="preserve">is an unjust restriction of liberty, </w:t>
      </w:r>
      <w:r w:rsidRPr="00CF0C49">
        <w:rPr>
          <w:rStyle w:val="StyleUnderline"/>
        </w:rPr>
        <w:t>the liberty of employers to employ, the liberty of workers to work</w:t>
      </w:r>
      <w:r w:rsidRPr="004158E4">
        <w:rPr>
          <w:sz w:val="16"/>
        </w:rPr>
        <w:t xml:space="preserve">? If there is, as many claim, a right to work, how can there be a right to strike, a right, that is, to prevent others working, when they are both willing and able? Thus </w:t>
      </w:r>
      <w:r w:rsidRPr="004158E4">
        <w:rPr>
          <w:rStyle w:val="StyleUnderline"/>
        </w:rPr>
        <w:t>a strike is not just a boycott, it is an enforced boycott, an attempt to force others to join in the boycott, even though they might be perfectly willing to take that job on the terms which the striker rejects.</w:t>
      </w:r>
      <w:r w:rsidRPr="004158E4">
        <w:rPr>
          <w:sz w:val="16"/>
        </w:rPr>
        <w:t xml:space="preserve"> Of course, </w:t>
      </w:r>
      <w:r w:rsidRPr="004158E4">
        <w:rPr>
          <w:rStyle w:val="StyleUnderline"/>
        </w:rPr>
        <w:t>if it were simply a matter of persuading others not to take that job, that would hardly need justification. Presumably one man may attempt to persuade another of just about, but not quite, anything he pleases.</w:t>
      </w:r>
      <w:r w:rsidRPr="004158E4">
        <w:rPr>
          <w:sz w:val="16"/>
        </w:rPr>
        <w:t xml:space="preserve"> Indeed, if strikers succeed in persuading someone not to take a job, they are not in any obvious sense preventing them from taking it. </w:t>
      </w:r>
      <w:r w:rsidRPr="00CF0C49">
        <w:rPr>
          <w:rStyle w:val="StyleUnderline"/>
        </w:rPr>
        <w:t xml:space="preserve">What needs justifying, rather is the attempt to prevent someone from taking a job, after you have failed to persuade him not to. </w:t>
      </w:r>
      <w:r w:rsidRPr="00CF0C49">
        <w:rPr>
          <w:sz w:val="16"/>
        </w:rPr>
        <w:t>Much depends, of course, on the form which the prevention takes: for most</w:t>
      </w:r>
      <w:r w:rsidRPr="004158E4">
        <w:rPr>
          <w:sz w:val="16"/>
        </w:rPr>
        <w:t xml:space="preserve"> of us there will be some limit somewhere, beyond which we think strikers should not go; and I have already said that I will not attempt the perhaps impossible task of determining where that limit should be. But </w:t>
      </w:r>
      <w:r w:rsidRPr="004158E4">
        <w:rPr>
          <w:rStyle w:val="StyleUnderline"/>
        </w:rPr>
        <w:t>what does seem clear to me is that</w:t>
      </w:r>
      <w:r w:rsidRPr="004158E4">
        <w:rPr>
          <w:sz w:val="16"/>
        </w:rPr>
        <w:t>, of necessity</w:t>
      </w:r>
      <w:r w:rsidRPr="004158E4">
        <w:rPr>
          <w:rStyle w:val="StyleUnderline"/>
        </w:rPr>
        <w:t xml:space="preserve">, </w:t>
      </w:r>
      <w:r w:rsidRPr="00CF0C49">
        <w:rPr>
          <w:rStyle w:val="StyleUnderline"/>
          <w:highlight w:val="cyan"/>
        </w:rPr>
        <w:t>a strike</w:t>
      </w:r>
      <w:r w:rsidRPr="004158E4">
        <w:rPr>
          <w:rStyle w:val="StyleUnderline"/>
        </w:rPr>
        <w:t xml:space="preserve"> goes beyond merely attempting to persuade people not to break the strike; to use a suitably vague phrase, it </w:t>
      </w:r>
      <w:r w:rsidRPr="00CF0C49">
        <w:rPr>
          <w:rStyle w:val="StyleUnderline"/>
          <w:highlight w:val="cyan"/>
        </w:rPr>
        <w:t>involves putting pressure on those who would break the strike, to make it difficult</w:t>
      </w:r>
      <w:r w:rsidRPr="004158E4">
        <w:rPr>
          <w:rStyle w:val="StyleUnderline"/>
        </w:rPr>
        <w:t xml:space="preserve"> or unpleasant </w:t>
      </w:r>
      <w:r w:rsidRPr="00CF0C49">
        <w:rPr>
          <w:rStyle w:val="StyleUnderline"/>
          <w:highlight w:val="cyan"/>
        </w:rPr>
        <w:t>for them to do so. That</w:t>
      </w:r>
      <w:r w:rsidRPr="004158E4">
        <w:rPr>
          <w:sz w:val="16"/>
        </w:rPr>
        <w:t xml:space="preserve">, surely </w:t>
      </w:r>
      <w:r w:rsidRPr="00CF0C49">
        <w:rPr>
          <w:rStyle w:val="StyleUnderline"/>
          <w:highlight w:val="cyan"/>
        </w:rPr>
        <w:t>is</w:t>
      </w:r>
      <w:r w:rsidRPr="004158E4">
        <w:rPr>
          <w:rStyle w:val="StyleUnderline"/>
        </w:rPr>
        <w:t xml:space="preserve"> what </w:t>
      </w:r>
      <w:r w:rsidRPr="00CF0C49">
        <w:rPr>
          <w:rStyle w:val="StyleUnderline"/>
          <w:highlight w:val="cyan"/>
        </w:rPr>
        <w:t>the</w:t>
      </w:r>
      <w:r w:rsidRPr="004158E4">
        <w:rPr>
          <w:rStyle w:val="StyleUnderline"/>
        </w:rPr>
        <w:t xml:space="preserve"> apparatus and </w:t>
      </w:r>
      <w:r w:rsidRPr="00CF0C49">
        <w:rPr>
          <w:rStyle w:val="StyleUnderline"/>
          <w:highlight w:val="cyan"/>
        </w:rPr>
        <w:t>ideology of strikes</w:t>
      </w:r>
      <w:r w:rsidRPr="004158E4">
        <w:rPr>
          <w:rStyle w:val="StyleUnderline"/>
        </w:rPr>
        <w:t xml:space="preserve"> is for: not just to persuade non-strikers so that they willingly accept whatever restrictions the strikers seek to impose; but to put pressure on them so that unwillingly, if needs be, they decline to break the strike, for fear of public criticism and condemnation, of calumny and obloquy, to put it no higher. There are of course </w:t>
      </w:r>
      <w:r w:rsidRPr="00CF0C49">
        <w:rPr>
          <w:rStyle w:val="StyleUnderline"/>
        </w:rPr>
        <w:t xml:space="preserve">those who think </w:t>
      </w:r>
      <w:r w:rsidRPr="00CF0C49">
        <w:rPr>
          <w:rStyle w:val="StyleUnderline"/>
          <w:highlight w:val="cyan"/>
        </w:rPr>
        <w:t>that a strike should be restricted to the attempt to persuade</w:t>
      </w:r>
      <w:r w:rsidRPr="004158E4">
        <w:rPr>
          <w:rStyle w:val="StyleUnderline"/>
        </w:rPr>
        <w:t>. But</w:t>
      </w:r>
      <w:r w:rsidRPr="004158E4">
        <w:rPr>
          <w:sz w:val="16"/>
        </w:rPr>
        <w:t xml:space="preserve"> if I am right </w:t>
      </w:r>
      <w:r w:rsidRPr="004158E4">
        <w:rPr>
          <w:rStyle w:val="StyleUnderline"/>
        </w:rPr>
        <w:t xml:space="preserve">this attempt to restrict strikers to friendly persuasion </w:t>
      </w:r>
      <w:r w:rsidRPr="00CF0C49">
        <w:rPr>
          <w:rStyle w:val="StyleUnderline"/>
          <w:highlight w:val="cyan"/>
        </w:rPr>
        <w:t>is an attempt to prevent a strike from being a strike</w:t>
      </w:r>
      <w:r w:rsidRPr="004158E4">
        <w:rPr>
          <w:rStyle w:val="StyleUnderline"/>
        </w:rPr>
        <w:t xml:space="preserve">, and therefore an infringement on the right to strike </w:t>
      </w:r>
      <w:r w:rsidRPr="004158E4">
        <w:rPr>
          <w:sz w:val="16"/>
        </w:rPr>
        <w:t xml:space="preserve">as such, if such there be. Indeed, since </w:t>
      </w:r>
      <w:r w:rsidRPr="00CF0C49">
        <w:rPr>
          <w:rStyle w:val="StyleUnderline"/>
          <w:highlight w:val="cyan"/>
        </w:rPr>
        <w:t xml:space="preserve">the right to persuade seems, </w:t>
      </w:r>
      <w:r w:rsidRPr="00CF0C49">
        <w:rPr>
          <w:rStyle w:val="StyleUnderline"/>
        </w:rPr>
        <w:t xml:space="preserve">like the right to withdraw your </w:t>
      </w:r>
      <w:proofErr w:type="spellStart"/>
      <w:r w:rsidRPr="00CF0C49">
        <w:rPr>
          <w:rStyle w:val="StyleUnderline"/>
        </w:rPr>
        <w:t>labour</w:t>
      </w:r>
      <w:proofErr w:type="spellEnd"/>
      <w:r w:rsidRPr="00CF0C49">
        <w:rPr>
          <w:rStyle w:val="StyleUnderline"/>
        </w:rPr>
        <w:t xml:space="preserve"> and the right to combine, at least</w:t>
      </w:r>
      <w:r w:rsidRPr="004158E4">
        <w:rPr>
          <w:rStyle w:val="StyleUnderline"/>
        </w:rPr>
        <w:t xml:space="preserve"> in some things, </w:t>
      </w:r>
      <w:r w:rsidRPr="00CF0C49">
        <w:rPr>
          <w:rStyle w:val="StyleUnderline"/>
          <w:highlight w:val="cyan"/>
        </w:rPr>
        <w:t>a right which we surely have whether there is a right to strike or not</w:t>
      </w:r>
      <w:r w:rsidRPr="005A53D0">
        <w:rPr>
          <w:rStyle w:val="StyleUnderline"/>
        </w:rPr>
        <w:t>, it is only this right to prevent which provides a distinctive, substantive component to the right to strike as such.</w:t>
      </w:r>
      <w:r w:rsidRPr="005A53D0">
        <w:rPr>
          <w:sz w:val="16"/>
        </w:rPr>
        <w:t xml:space="preserve"> (More</w:t>
      </w:r>
      <w:r w:rsidRPr="004158E4">
        <w:rPr>
          <w:sz w:val="16"/>
        </w:rPr>
        <w:t xml:space="preserve"> accurately, it is a right to attempt to prevent. The right to persuade, similarly, is a right to attempt to persuade, or else those who are not persuaded have infringed your rights!) So this is the right which needs to be explained and justified: not just the boycott, but the enforced boycott.</w:t>
      </w:r>
    </w:p>
    <w:p w14:paraId="268325AC" w14:textId="77777777" w:rsidR="006C5EE5" w:rsidRDefault="006C5EE5" w:rsidP="006C5EE5">
      <w:pPr>
        <w:rPr>
          <w:sz w:val="16"/>
        </w:rPr>
      </w:pPr>
    </w:p>
    <w:p w14:paraId="10490976" w14:textId="77777777" w:rsidR="006C5EE5" w:rsidRDefault="006C5EE5" w:rsidP="006C5EE5">
      <w:pPr>
        <w:rPr>
          <w:sz w:val="16"/>
        </w:rPr>
      </w:pPr>
    </w:p>
    <w:p w14:paraId="5CFC9C67" w14:textId="77777777" w:rsidR="006C5EE5" w:rsidRDefault="006C5EE5" w:rsidP="006C5EE5">
      <w:pPr>
        <w:pStyle w:val="Heading4"/>
      </w:pPr>
      <w:r>
        <w:t xml:space="preserve">No turns – strikes may have good justifications such as hindering hindrances but this doesn’t prove that a right exists. </w:t>
      </w:r>
    </w:p>
    <w:p w14:paraId="6208FF85" w14:textId="77777777" w:rsidR="006C5EE5" w:rsidRPr="007D0072" w:rsidRDefault="006C5EE5" w:rsidP="006C5EE5">
      <w:r w:rsidRPr="00CF0C49">
        <w:rPr>
          <w:rStyle w:val="Emphasis"/>
        </w:rPr>
        <w:t>Locke</w:t>
      </w:r>
      <w:r w:rsidRPr="00CF0C49">
        <w:rPr>
          <w:sz w:val="16"/>
        </w:rPr>
        <w:t xml:space="preserve">, Don. [NOT john </w:t>
      </w:r>
      <w:proofErr w:type="spellStart"/>
      <w:r w:rsidRPr="00CF0C49">
        <w:rPr>
          <w:sz w:val="16"/>
        </w:rPr>
        <w:t>locke</w:t>
      </w:r>
      <w:proofErr w:type="spellEnd"/>
      <w:r w:rsidRPr="00CF0C49">
        <w:rPr>
          <w:sz w:val="16"/>
        </w:rPr>
        <w:t xml:space="preserve">] “The Right to Strike.” Royal Institute of Philosophy Lecture Series, vol. 18, </w:t>
      </w:r>
      <w:r w:rsidRPr="00CF0C49">
        <w:rPr>
          <w:rStyle w:val="Emphasis"/>
        </w:rPr>
        <w:t>1984</w:t>
      </w:r>
      <w:r w:rsidRPr="00CF0C49">
        <w:rPr>
          <w:sz w:val="16"/>
        </w:rPr>
        <w:t>, pp. 173–202., doi:10.1017/S0957042X00003163 JS</w:t>
      </w:r>
    </w:p>
    <w:p w14:paraId="0E3F84EF" w14:textId="77777777" w:rsidR="006C5EE5" w:rsidRDefault="006C5EE5" w:rsidP="006C5EE5">
      <w:pPr>
        <w:rPr>
          <w:rStyle w:val="StyleUnderline"/>
        </w:rPr>
      </w:pPr>
      <w:r w:rsidRPr="005C7C5A">
        <w:rPr>
          <w:sz w:val="16"/>
          <w:szCs w:val="16"/>
        </w:rPr>
        <w:t>Behind this difficulty lies a more fundamental one: that</w:t>
      </w:r>
      <w:r w:rsidRPr="005C7C5A">
        <w:rPr>
          <w:rStyle w:val="StyleUnderline"/>
        </w:rPr>
        <w:t xml:space="preserve"> </w:t>
      </w:r>
      <w:r w:rsidRPr="005C7C5A">
        <w:rPr>
          <w:rStyle w:val="StyleUnderline"/>
          <w:highlight w:val="cyan"/>
        </w:rPr>
        <w:t>this</w:t>
      </w:r>
      <w:r w:rsidRPr="00640A8C">
        <w:rPr>
          <w:sz w:val="16"/>
        </w:rPr>
        <w:t xml:space="preserve"> just war or </w:t>
      </w:r>
      <w:r w:rsidRPr="005C7C5A">
        <w:rPr>
          <w:rStyle w:val="StyleUnderline"/>
          <w:highlight w:val="cyan"/>
        </w:rPr>
        <w:t>just cause justification does not</w:t>
      </w:r>
      <w:r w:rsidRPr="00640A8C">
        <w:rPr>
          <w:sz w:val="16"/>
        </w:rPr>
        <w:t xml:space="preserve">, in fact, </w:t>
      </w:r>
      <w:r w:rsidRPr="005C7C5A">
        <w:rPr>
          <w:rStyle w:val="StyleUnderline"/>
          <w:highlight w:val="cyan"/>
        </w:rPr>
        <w:t>provide a right to strike</w:t>
      </w:r>
      <w:r w:rsidRPr="00640A8C">
        <w:rPr>
          <w:rStyle w:val="StyleUnderline"/>
        </w:rPr>
        <w:t xml:space="preserve"> at all. </w:t>
      </w:r>
      <w:r w:rsidRPr="00640A8C">
        <w:rPr>
          <w:sz w:val="16"/>
        </w:rPr>
        <w:t xml:space="preserve">'So long as the cause is just', said Cardinal Manning, 'the right to strike is undeniable' (1891/1901, p. 114); and implies thereby that where the cause is not just, there is no right to strike. But in that case it is not, strictly, a right at all: </w:t>
      </w:r>
      <w:r w:rsidRPr="00475013">
        <w:rPr>
          <w:rStyle w:val="StyleUnderline"/>
        </w:rPr>
        <w:t>if something is already right, you need no right to justify doing it; you need a right to justify what you do only if what you do would otherwise, in the absence of that right, be wrong</w:t>
      </w:r>
      <w:r w:rsidRPr="00475013">
        <w:rPr>
          <w:sz w:val="16"/>
        </w:rPr>
        <w:t>. As I put it</w:t>
      </w:r>
      <w:r w:rsidRPr="00640A8C">
        <w:rPr>
          <w:sz w:val="16"/>
        </w:rPr>
        <w:t xml:space="preserve"> earlier, a right is a right of doing wrong, and </w:t>
      </w:r>
      <w:r w:rsidRPr="005C7C5A">
        <w:rPr>
          <w:rStyle w:val="StyleUnderline"/>
          <w:highlight w:val="cyan"/>
        </w:rPr>
        <w:t>the right to strike</w:t>
      </w:r>
      <w:r w:rsidRPr="00640A8C">
        <w:rPr>
          <w:rStyle w:val="StyleUnderline"/>
        </w:rPr>
        <w:t xml:space="preserve"> therefore </w:t>
      </w:r>
      <w:r w:rsidRPr="005C7C5A">
        <w:rPr>
          <w:rStyle w:val="StyleUnderline"/>
          <w:highlight w:val="cyan"/>
        </w:rPr>
        <w:t>means that people are entitled to strike even if they are</w:t>
      </w:r>
      <w:r w:rsidRPr="00640A8C">
        <w:rPr>
          <w:rStyle w:val="StyleUnderline"/>
        </w:rPr>
        <w:t xml:space="preserve"> not in the right, even if they are </w:t>
      </w:r>
      <w:r w:rsidRPr="005C7C5A">
        <w:rPr>
          <w:rStyle w:val="StyleUnderline"/>
          <w:highlight w:val="cyan"/>
        </w:rPr>
        <w:t xml:space="preserve">mistaken </w:t>
      </w:r>
      <w:r w:rsidRPr="005C7C5A">
        <w:rPr>
          <w:rStyle w:val="StyleUnderline"/>
        </w:rPr>
        <w:t>or misguided</w:t>
      </w:r>
      <w:r w:rsidRPr="00640A8C">
        <w:rPr>
          <w:sz w:val="16"/>
        </w:rPr>
        <w:t xml:space="preserve">. And </w:t>
      </w:r>
      <w:r w:rsidRPr="005C7C5A">
        <w:rPr>
          <w:rStyle w:val="StyleUnderline"/>
          <w:highlight w:val="cyan"/>
        </w:rPr>
        <w:t>this is</w:t>
      </w:r>
      <w:r w:rsidRPr="00640A8C">
        <w:rPr>
          <w:rStyle w:val="StyleUnderline"/>
        </w:rPr>
        <w:t xml:space="preserve"> precisely </w:t>
      </w:r>
      <w:r w:rsidRPr="005C7C5A">
        <w:rPr>
          <w:rStyle w:val="StyleUnderline"/>
          <w:highlight w:val="cyan"/>
        </w:rPr>
        <w:t>what the just cause justification does not provide: people are justified in striking if, but only if, their cause is just</w:t>
      </w:r>
    </w:p>
    <w:p w14:paraId="35DB82B7" w14:textId="77777777" w:rsidR="006C5EE5" w:rsidRDefault="006C5EE5" w:rsidP="006C5EE5">
      <w:pPr>
        <w:rPr>
          <w:rStyle w:val="StyleUnderline"/>
        </w:rPr>
      </w:pPr>
    </w:p>
    <w:p w14:paraId="413281AB" w14:textId="77777777" w:rsidR="006C5EE5" w:rsidRDefault="006C5EE5" w:rsidP="006C5EE5">
      <w:pPr>
        <w:rPr>
          <w:rStyle w:val="StyleUnderline"/>
        </w:rPr>
      </w:pPr>
    </w:p>
    <w:p w14:paraId="1E6868AA" w14:textId="77777777" w:rsidR="00EA4E5E" w:rsidRDefault="00EA4E5E" w:rsidP="00845C7B"/>
    <w:p w14:paraId="055A6D33" w14:textId="2976F948" w:rsidR="00257964" w:rsidRPr="00257964" w:rsidRDefault="00257964" w:rsidP="00257964">
      <w:pPr>
        <w:pStyle w:val="Heading3"/>
      </w:pPr>
      <w:r>
        <w:t>Overview</w:t>
      </w:r>
    </w:p>
    <w:p w14:paraId="4D07A62E" w14:textId="77777777" w:rsidR="00687043" w:rsidRPr="00884E9F" w:rsidRDefault="00687043" w:rsidP="00DA3D99"/>
    <w:sectPr w:rsidR="00687043" w:rsidRPr="00884E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4E68E" w14:textId="77777777" w:rsidR="00603159" w:rsidRDefault="00603159" w:rsidP="007D13A8">
      <w:pPr>
        <w:spacing w:after="0" w:line="240" w:lineRule="auto"/>
      </w:pPr>
      <w:r>
        <w:separator/>
      </w:r>
    </w:p>
  </w:endnote>
  <w:endnote w:type="continuationSeparator" w:id="0">
    <w:p w14:paraId="0A75486E" w14:textId="77777777" w:rsidR="00603159" w:rsidRDefault="00603159" w:rsidP="007D1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B8EF7" w14:textId="77777777" w:rsidR="00603159" w:rsidRDefault="00603159" w:rsidP="007D13A8">
      <w:pPr>
        <w:spacing w:after="0" w:line="240" w:lineRule="auto"/>
      </w:pPr>
      <w:r>
        <w:separator/>
      </w:r>
    </w:p>
  </w:footnote>
  <w:footnote w:type="continuationSeparator" w:id="0">
    <w:p w14:paraId="51A4BE1B" w14:textId="77777777" w:rsidR="00603159" w:rsidRDefault="00603159" w:rsidP="007D13A8">
      <w:pPr>
        <w:spacing w:after="0" w:line="240" w:lineRule="auto"/>
      </w:pPr>
      <w:r>
        <w:continuationSeparator/>
      </w:r>
    </w:p>
  </w:footnote>
  <w:footnote w:id="1">
    <w:p w14:paraId="53FB3D02" w14:textId="77777777" w:rsidR="007D13A8" w:rsidRDefault="007D13A8" w:rsidP="007D13A8">
      <w:pPr>
        <w:pStyle w:val="FootnoteText"/>
      </w:pPr>
      <w:r>
        <w:rPr>
          <w:rStyle w:val="FootnoteReference"/>
        </w:rPr>
        <w:footnoteRef/>
      </w:r>
      <w:r>
        <w:t xml:space="preserve"> </w:t>
      </w:r>
      <w:r w:rsidRPr="00ED64CE">
        <w:t>https://www.dictionary.com/browse/ought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64FE"/>
    <w:rsid w:val="000139A3"/>
    <w:rsid w:val="0004115C"/>
    <w:rsid w:val="000B64FE"/>
    <w:rsid w:val="000E565F"/>
    <w:rsid w:val="00100833"/>
    <w:rsid w:val="00104529"/>
    <w:rsid w:val="00105942"/>
    <w:rsid w:val="00107396"/>
    <w:rsid w:val="00132347"/>
    <w:rsid w:val="00144A4C"/>
    <w:rsid w:val="00173CB8"/>
    <w:rsid w:val="00176AB0"/>
    <w:rsid w:val="00177B7D"/>
    <w:rsid w:val="0018322D"/>
    <w:rsid w:val="00190E99"/>
    <w:rsid w:val="001A1DDD"/>
    <w:rsid w:val="001B5776"/>
    <w:rsid w:val="001D1D0F"/>
    <w:rsid w:val="001E527A"/>
    <w:rsid w:val="001F78CE"/>
    <w:rsid w:val="00213A18"/>
    <w:rsid w:val="00251FC7"/>
    <w:rsid w:val="00257964"/>
    <w:rsid w:val="002855A7"/>
    <w:rsid w:val="002B146A"/>
    <w:rsid w:val="002B520D"/>
    <w:rsid w:val="002B5E17"/>
    <w:rsid w:val="0030441F"/>
    <w:rsid w:val="00315690"/>
    <w:rsid w:val="00316B75"/>
    <w:rsid w:val="00325646"/>
    <w:rsid w:val="003460F2"/>
    <w:rsid w:val="00370722"/>
    <w:rsid w:val="0038158C"/>
    <w:rsid w:val="00385E92"/>
    <w:rsid w:val="003902BA"/>
    <w:rsid w:val="003A09E2"/>
    <w:rsid w:val="00407037"/>
    <w:rsid w:val="00435E79"/>
    <w:rsid w:val="004605D6"/>
    <w:rsid w:val="004A2FBE"/>
    <w:rsid w:val="004C0895"/>
    <w:rsid w:val="004C60E8"/>
    <w:rsid w:val="004E3579"/>
    <w:rsid w:val="004E728B"/>
    <w:rsid w:val="004F39E0"/>
    <w:rsid w:val="00537BD5"/>
    <w:rsid w:val="0057268A"/>
    <w:rsid w:val="005D2912"/>
    <w:rsid w:val="00603159"/>
    <w:rsid w:val="006065BD"/>
    <w:rsid w:val="00615155"/>
    <w:rsid w:val="00645FA9"/>
    <w:rsid w:val="00647866"/>
    <w:rsid w:val="00665003"/>
    <w:rsid w:val="00677565"/>
    <w:rsid w:val="00687043"/>
    <w:rsid w:val="006A2AD0"/>
    <w:rsid w:val="006C2375"/>
    <w:rsid w:val="006C5EE5"/>
    <w:rsid w:val="006D4ECC"/>
    <w:rsid w:val="00722258"/>
    <w:rsid w:val="007243E5"/>
    <w:rsid w:val="00766EA0"/>
    <w:rsid w:val="00796F62"/>
    <w:rsid w:val="007A2226"/>
    <w:rsid w:val="007A2BC8"/>
    <w:rsid w:val="007D13A8"/>
    <w:rsid w:val="007F5B66"/>
    <w:rsid w:val="00823A1C"/>
    <w:rsid w:val="008433CF"/>
    <w:rsid w:val="00845B9D"/>
    <w:rsid w:val="00845C7B"/>
    <w:rsid w:val="00860984"/>
    <w:rsid w:val="00871DFF"/>
    <w:rsid w:val="00884E9F"/>
    <w:rsid w:val="00891EB3"/>
    <w:rsid w:val="008B0BCB"/>
    <w:rsid w:val="008B3ECB"/>
    <w:rsid w:val="008B4E85"/>
    <w:rsid w:val="008C1B2E"/>
    <w:rsid w:val="0091627E"/>
    <w:rsid w:val="009436B3"/>
    <w:rsid w:val="0097032B"/>
    <w:rsid w:val="00977C9E"/>
    <w:rsid w:val="00992FD1"/>
    <w:rsid w:val="009D2EAD"/>
    <w:rsid w:val="009D54B2"/>
    <w:rsid w:val="009D5DC3"/>
    <w:rsid w:val="009E1922"/>
    <w:rsid w:val="009F7ED2"/>
    <w:rsid w:val="00A010FF"/>
    <w:rsid w:val="00A93661"/>
    <w:rsid w:val="00A93CE6"/>
    <w:rsid w:val="00A95652"/>
    <w:rsid w:val="00AA0DA7"/>
    <w:rsid w:val="00AB7153"/>
    <w:rsid w:val="00AC0AB8"/>
    <w:rsid w:val="00AE321B"/>
    <w:rsid w:val="00B152C9"/>
    <w:rsid w:val="00B33C6D"/>
    <w:rsid w:val="00B4508F"/>
    <w:rsid w:val="00B55AD5"/>
    <w:rsid w:val="00B8057C"/>
    <w:rsid w:val="00BD6238"/>
    <w:rsid w:val="00BF593B"/>
    <w:rsid w:val="00BF773A"/>
    <w:rsid w:val="00BF7E81"/>
    <w:rsid w:val="00C13773"/>
    <w:rsid w:val="00C17CC8"/>
    <w:rsid w:val="00C216F2"/>
    <w:rsid w:val="00C81C79"/>
    <w:rsid w:val="00C83417"/>
    <w:rsid w:val="00C9604F"/>
    <w:rsid w:val="00CA19AA"/>
    <w:rsid w:val="00CA6759"/>
    <w:rsid w:val="00CC5298"/>
    <w:rsid w:val="00CD736E"/>
    <w:rsid w:val="00CD798D"/>
    <w:rsid w:val="00CE161E"/>
    <w:rsid w:val="00CF59A8"/>
    <w:rsid w:val="00D11064"/>
    <w:rsid w:val="00D119E6"/>
    <w:rsid w:val="00D325A9"/>
    <w:rsid w:val="00D36A8A"/>
    <w:rsid w:val="00D5398F"/>
    <w:rsid w:val="00D61409"/>
    <w:rsid w:val="00D6691E"/>
    <w:rsid w:val="00D71170"/>
    <w:rsid w:val="00DA1C92"/>
    <w:rsid w:val="00DA25D4"/>
    <w:rsid w:val="00DA3D99"/>
    <w:rsid w:val="00DA6538"/>
    <w:rsid w:val="00E116CE"/>
    <w:rsid w:val="00E15E75"/>
    <w:rsid w:val="00E2527E"/>
    <w:rsid w:val="00E5262C"/>
    <w:rsid w:val="00E6037A"/>
    <w:rsid w:val="00E876A7"/>
    <w:rsid w:val="00EA4E5E"/>
    <w:rsid w:val="00EC7DC4"/>
    <w:rsid w:val="00ED30CF"/>
    <w:rsid w:val="00ED7549"/>
    <w:rsid w:val="00F176EF"/>
    <w:rsid w:val="00F45E10"/>
    <w:rsid w:val="00F6364A"/>
    <w:rsid w:val="00F9113A"/>
    <w:rsid w:val="00FA0762"/>
    <w:rsid w:val="00FC2AE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7E22"/>
  <w15:chartTrackingRefBased/>
  <w15:docId w15:val="{4EB352B6-1C29-4767-8705-DA5331FF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5E92"/>
    <w:rPr>
      <w:rFonts w:ascii="Calibri" w:hAnsi="Calibri" w:cs="Calibri"/>
    </w:rPr>
  </w:style>
  <w:style w:type="paragraph" w:styleId="Heading1">
    <w:name w:val="heading 1"/>
    <w:aliases w:val="Pocket"/>
    <w:basedOn w:val="Normal"/>
    <w:next w:val="Normal"/>
    <w:link w:val="Heading1Char"/>
    <w:qFormat/>
    <w:rsid w:val="00385E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E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5E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385E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5E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E92"/>
  </w:style>
  <w:style w:type="character" w:customStyle="1" w:styleId="Heading1Char">
    <w:name w:val="Heading 1 Char"/>
    <w:aliases w:val="Pocket Char"/>
    <w:basedOn w:val="DefaultParagraphFont"/>
    <w:link w:val="Heading1"/>
    <w:rsid w:val="00385E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E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5E9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385E9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385E9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5E92"/>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tation Char Char Char,Heading 3 Char1 Char Char Char,ci,c,Bo,Underline Char"/>
    <w:basedOn w:val="DefaultParagraphFont"/>
    <w:uiPriority w:val="6"/>
    <w:qFormat/>
    <w:rsid w:val="00385E92"/>
    <w:rPr>
      <w:b/>
      <w:sz w:val="26"/>
      <w:u w:val="single"/>
    </w:rPr>
  </w:style>
  <w:style w:type="character" w:styleId="Hyperlink">
    <w:name w:val="Hyperlink"/>
    <w:aliases w:val="No Spacing Char,Note Level 2 Char,Small Text Char,Card Format Char,Tag and Cite Char,Very Small Text Char,No Spacing111112 Char,No Spacing41 Char,Note Level 21 Char,ClearFormatting Char,Clear Char,DDI Tag Char,Tag Title Char,No Spacing51 Char"/>
    <w:basedOn w:val="DefaultParagraphFont"/>
    <w:link w:val="NoSpacing"/>
    <w:uiPriority w:val="99"/>
    <w:unhideWhenUsed/>
    <w:rsid w:val="00385E92"/>
    <w:rPr>
      <w:color w:val="auto"/>
      <w:u w:val="none"/>
    </w:rPr>
  </w:style>
  <w:style w:type="character" w:styleId="FollowedHyperlink">
    <w:name w:val="FollowedHyperlink"/>
    <w:basedOn w:val="DefaultParagraphFont"/>
    <w:uiPriority w:val="99"/>
    <w:semiHidden/>
    <w:unhideWhenUsed/>
    <w:rsid w:val="00385E92"/>
    <w:rPr>
      <w:color w:val="auto"/>
      <w:u w:val="none"/>
    </w:rPr>
  </w:style>
  <w:style w:type="paragraph" w:styleId="FootnoteText">
    <w:name w:val="footnote text"/>
    <w:basedOn w:val="Normal"/>
    <w:link w:val="FootnoteTextChar"/>
    <w:uiPriority w:val="99"/>
    <w:semiHidden/>
    <w:unhideWhenUsed/>
    <w:rsid w:val="007D13A8"/>
    <w:rPr>
      <w:sz w:val="20"/>
      <w:szCs w:val="20"/>
    </w:rPr>
  </w:style>
  <w:style w:type="character" w:customStyle="1" w:styleId="FootnoteTextChar">
    <w:name w:val="Footnote Text Char"/>
    <w:basedOn w:val="DefaultParagraphFont"/>
    <w:link w:val="FootnoteText"/>
    <w:uiPriority w:val="99"/>
    <w:semiHidden/>
    <w:rsid w:val="007D13A8"/>
    <w:rPr>
      <w:rFonts w:ascii="Calibri" w:hAnsi="Calibri" w:cs="Calibri"/>
      <w:sz w:val="20"/>
      <w:szCs w:val="20"/>
    </w:rPr>
  </w:style>
  <w:style w:type="character" w:styleId="FootnoteReference">
    <w:name w:val="footnote reference"/>
    <w:basedOn w:val="DefaultParagraphFont"/>
    <w:uiPriority w:val="99"/>
    <w:semiHidden/>
    <w:unhideWhenUsed/>
    <w:rsid w:val="007D13A8"/>
    <w:rPr>
      <w:vertAlign w:val="superscript"/>
    </w:rPr>
  </w:style>
  <w:style w:type="paragraph" w:customStyle="1" w:styleId="textbold">
    <w:name w:val="text bold"/>
    <w:basedOn w:val="Normal"/>
    <w:link w:val="Emphasis"/>
    <w:uiPriority w:val="7"/>
    <w:qFormat/>
    <w:rsid w:val="00D5398F"/>
    <w:pPr>
      <w:pBdr>
        <w:top w:val="single" w:sz="4" w:space="0" w:color="auto"/>
        <w:left w:val="single" w:sz="4" w:space="0" w:color="auto"/>
        <w:bottom w:val="single" w:sz="4" w:space="0" w:color="auto"/>
        <w:right w:val="single" w:sz="4" w:space="0" w:color="auto"/>
      </w:pBdr>
      <w:spacing w:line="252" w:lineRule="auto"/>
      <w:ind w:left="720"/>
      <w:jc w:val="both"/>
    </w:pPr>
    <w:rPr>
      <w:b/>
      <w:iCs/>
      <w:sz w:val="26"/>
      <w:u w:val="single"/>
    </w:rPr>
  </w:style>
  <w:style w:type="paragraph" w:styleId="NoSpacing">
    <w:name w:val="No Spacing"/>
    <w:aliases w:val="Note Level 2,Small Text,Card Format,Tag and Cite,Very Small Text,No Spacing111112,No Spacing41,Note Level 21,ClearFormatting,Clear,DDI Tag,Tag Title,No Spacing51,No Spacing22,No Spacing3,No Spacing6,No Spacing7"/>
    <w:basedOn w:val="Heading1"/>
    <w:link w:val="Hyperlink"/>
    <w:autoRedefine/>
    <w:uiPriority w:val="99"/>
    <w:qFormat/>
    <w:rsid w:val="00D539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6/38169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1873</Words>
  <Characters>10677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50</cp:revision>
  <dcterms:created xsi:type="dcterms:W3CDTF">2021-11-06T14:36:00Z</dcterms:created>
  <dcterms:modified xsi:type="dcterms:W3CDTF">2021-11-06T20:22:00Z</dcterms:modified>
</cp:coreProperties>
</file>