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262C6" w14:textId="7AC4FEE0" w:rsidR="003415E5" w:rsidRDefault="005446DC" w:rsidP="005446DC">
      <w:pPr>
        <w:pStyle w:val="Heading1"/>
      </w:pPr>
      <w:r>
        <w:t>Debris tourism</w:t>
      </w:r>
    </w:p>
    <w:p w14:paraId="7272D2EE" w14:textId="3A12E288" w:rsidR="005446DC" w:rsidRDefault="005446DC" w:rsidP="005446DC"/>
    <w:p w14:paraId="51D8B717" w14:textId="77777777" w:rsidR="005446DC" w:rsidRPr="002E7F74" w:rsidRDefault="005446DC" w:rsidP="005446DC">
      <w:pPr>
        <w:pStyle w:val="Heading2"/>
        <w:spacing w:line="360" w:lineRule="auto"/>
      </w:pPr>
      <w:r w:rsidRPr="002E7F74">
        <w:lastRenderedPageBreak/>
        <w:t>util</w:t>
      </w:r>
    </w:p>
    <w:p w14:paraId="01F4BB6F" w14:textId="77777777" w:rsidR="005446DC" w:rsidRPr="005935EF" w:rsidRDefault="005446DC" w:rsidP="005446DC">
      <w:pPr>
        <w:pStyle w:val="Heading4"/>
        <w:spacing w:line="360" w:lineRule="auto"/>
        <w:rPr>
          <w:rFonts w:asciiTheme="majorHAnsi" w:hAnsiTheme="majorHAnsi" w:cs="Segoe UI"/>
          <w:sz w:val="18"/>
          <w:szCs w:val="18"/>
        </w:rPr>
      </w:pPr>
      <w:r w:rsidRPr="005935EF">
        <w:rPr>
          <w:rFonts w:asciiTheme="majorHAnsi" w:hAnsiTheme="majorHAnsi"/>
        </w:rPr>
        <w:t>[Standard] The standard is maximizing expected wellbeing. Prefer:   </w:t>
      </w:r>
    </w:p>
    <w:p w14:paraId="24C74F24" w14:textId="77777777" w:rsidR="005446DC" w:rsidRPr="005935EF" w:rsidRDefault="005446DC" w:rsidP="005446DC">
      <w:pPr>
        <w:pStyle w:val="Heading4"/>
        <w:spacing w:line="360" w:lineRule="auto"/>
        <w:rPr>
          <w:rFonts w:asciiTheme="majorHAnsi" w:hAnsiTheme="majorHAnsi" w:cs="Segoe UI"/>
          <w:sz w:val="18"/>
          <w:szCs w:val="18"/>
        </w:rPr>
      </w:pPr>
      <w:r w:rsidRPr="005935EF">
        <w:rPr>
          <w:rFonts w:asciiTheme="majorHAnsi" w:hAnsiTheme="majorHAnsi"/>
        </w:rPr>
        <w:t>1] Theory first –   </w:t>
      </w:r>
    </w:p>
    <w:p w14:paraId="0D33EC4E" w14:textId="77777777" w:rsidR="005446DC" w:rsidRPr="005935EF" w:rsidRDefault="005446DC" w:rsidP="005446DC">
      <w:pPr>
        <w:pStyle w:val="Heading4"/>
        <w:spacing w:line="360" w:lineRule="auto"/>
        <w:rPr>
          <w:rFonts w:asciiTheme="majorHAnsi" w:hAnsiTheme="majorHAnsi" w:cs="Segoe UI"/>
          <w:sz w:val="18"/>
          <w:szCs w:val="18"/>
        </w:rPr>
      </w:pPr>
      <w:r w:rsidRPr="005935EF">
        <w:rPr>
          <w:rFonts w:asciiTheme="majorHAnsi" w:hAnsiTheme="majorHAnsi"/>
        </w:rPr>
        <w:t>A] Ground – both debaters have ground underneath util because every action has a consequence that can be weighed fairly using different metrics under the framing – other frameworks flow exclusively to one side.    </w:t>
      </w:r>
    </w:p>
    <w:p w14:paraId="575E6FE2" w14:textId="77777777" w:rsidR="005446DC" w:rsidRPr="005935EF" w:rsidRDefault="005446DC" w:rsidP="005446DC">
      <w:pPr>
        <w:pStyle w:val="Heading4"/>
        <w:spacing w:line="360" w:lineRule="auto"/>
        <w:rPr>
          <w:rFonts w:asciiTheme="majorHAnsi" w:hAnsiTheme="majorHAnsi" w:cs="Segoe UI"/>
          <w:sz w:val="18"/>
          <w:szCs w:val="18"/>
        </w:rPr>
      </w:pPr>
      <w:r w:rsidRPr="005935EF">
        <w:rPr>
          <w:rFonts w:asciiTheme="majorHAnsi" w:hAnsiTheme="majorHAnsi"/>
        </w:rPr>
        <w:t>2] Actor specificity:   </w:t>
      </w:r>
    </w:p>
    <w:p w14:paraId="5CF70A6A" w14:textId="77777777" w:rsidR="005446DC" w:rsidRPr="005935EF" w:rsidRDefault="005446DC" w:rsidP="005446DC">
      <w:pPr>
        <w:pStyle w:val="Heading4"/>
        <w:spacing w:line="360" w:lineRule="auto"/>
        <w:rPr>
          <w:rFonts w:asciiTheme="majorHAnsi" w:hAnsiTheme="majorHAnsi" w:cs="Segoe UI"/>
          <w:sz w:val="18"/>
          <w:szCs w:val="18"/>
        </w:rPr>
      </w:pPr>
      <w:r w:rsidRPr="005935EF">
        <w:rPr>
          <w:rFonts w:asciiTheme="majorHAnsi" w:hAnsiTheme="majorHAnsi"/>
        </w:rPr>
        <w:t>A] Aggregation – governments only have access to averages and aggregates which are the basis of justification for their policies   </w:t>
      </w:r>
    </w:p>
    <w:p w14:paraId="0C577222" w14:textId="77777777" w:rsidR="005446DC" w:rsidRPr="005935EF" w:rsidRDefault="005446DC" w:rsidP="005446DC">
      <w:pPr>
        <w:pStyle w:val="Heading4"/>
        <w:spacing w:line="360" w:lineRule="auto"/>
        <w:rPr>
          <w:rFonts w:asciiTheme="majorHAnsi" w:hAnsiTheme="majorHAnsi" w:cs="Segoe UI"/>
          <w:sz w:val="18"/>
          <w:szCs w:val="18"/>
        </w:rPr>
      </w:pPr>
      <w:r w:rsidRPr="005935EF">
        <w:rPr>
          <w:rFonts w:asciiTheme="majorHAnsi" w:hAnsiTheme="majorHAnsi"/>
        </w:rPr>
        <w:t>B] No intent-foresight distinction – If we foresee a consequence, then it becomes part of our deliberation which makes it intrinsic to our action since we intend it to happen   </w:t>
      </w:r>
    </w:p>
    <w:p w14:paraId="11C22BDD" w14:textId="77777777" w:rsidR="005446DC" w:rsidRPr="005935EF" w:rsidRDefault="005446DC" w:rsidP="005446DC">
      <w:pPr>
        <w:pStyle w:val="Heading4"/>
        <w:spacing w:line="360" w:lineRule="auto"/>
        <w:rPr>
          <w:rFonts w:asciiTheme="majorHAnsi" w:hAnsiTheme="majorHAnsi" w:cs="Segoe UI"/>
          <w:sz w:val="18"/>
          <w:szCs w:val="18"/>
        </w:rPr>
      </w:pPr>
      <w:r w:rsidRPr="005935EF">
        <w:rPr>
          <w:rFonts w:asciiTheme="majorHAnsi" w:hAnsiTheme="majorHAnsi"/>
        </w:rPr>
        <w:t>Util is intrinsic to us we can’t avoid that maximizing </w:t>
      </w:r>
      <w:proofErr w:type="spellStart"/>
      <w:r w:rsidRPr="005935EF">
        <w:rPr>
          <w:rFonts w:asciiTheme="majorHAnsi" w:hAnsiTheme="majorHAnsi"/>
        </w:rPr>
        <w:t>well being</w:t>
      </w:r>
      <w:proofErr w:type="spellEnd"/>
      <w:r w:rsidRPr="005935EF">
        <w:rPr>
          <w:rFonts w:asciiTheme="majorHAnsi" w:hAnsiTheme="majorHAnsi"/>
        </w:rPr>
        <w:t> is the most moral action.  </w:t>
      </w:r>
    </w:p>
    <w:p w14:paraId="611988E3" w14:textId="77777777" w:rsidR="005446DC" w:rsidRPr="005935EF" w:rsidRDefault="005446DC" w:rsidP="005446DC">
      <w:pPr>
        <w:spacing w:line="360" w:lineRule="auto"/>
        <w:textAlignment w:val="baseline"/>
        <w:rPr>
          <w:rFonts w:asciiTheme="majorHAnsi" w:hAnsiTheme="majorHAnsi" w:cs="Segoe UI"/>
          <w:sz w:val="18"/>
          <w:szCs w:val="18"/>
        </w:rPr>
      </w:pPr>
      <w:r w:rsidRPr="005935EF">
        <w:rPr>
          <w:rFonts w:asciiTheme="majorHAnsi" w:hAnsiTheme="majorHAnsi" w:cs="Calibri"/>
          <w:b/>
          <w:bCs/>
          <w:sz w:val="26"/>
          <w:szCs w:val="26"/>
          <w:u w:val="single"/>
        </w:rPr>
        <w:t>Nagel 86</w:t>
      </w:r>
      <w:r w:rsidRPr="005935EF">
        <w:rPr>
          <w:rFonts w:asciiTheme="majorHAnsi" w:hAnsiTheme="majorHAnsi" w:cs="Calibri"/>
          <w:b/>
          <w:bCs/>
          <w:sz w:val="26"/>
          <w:szCs w:val="26"/>
        </w:rPr>
        <w:t>: </w:t>
      </w:r>
      <w:r w:rsidRPr="005935EF">
        <w:rPr>
          <w:rFonts w:asciiTheme="majorHAnsi" w:hAnsiTheme="majorHAnsi" w:cs="Calibri"/>
          <w:szCs w:val="22"/>
        </w:rPr>
        <w:t>Thomas Nagel, The View </w:t>
      </w:r>
      <w:proofErr w:type="gramStart"/>
      <w:r w:rsidRPr="005935EF">
        <w:rPr>
          <w:rFonts w:asciiTheme="majorHAnsi" w:hAnsiTheme="majorHAnsi" w:cs="Calibri"/>
          <w:szCs w:val="22"/>
        </w:rPr>
        <w:t>From</w:t>
      </w:r>
      <w:proofErr w:type="gramEnd"/>
      <w:r w:rsidRPr="005935EF">
        <w:rPr>
          <w:rFonts w:asciiTheme="majorHAnsi" w:hAnsiTheme="majorHAnsi" w:cs="Calibri"/>
          <w:szCs w:val="22"/>
        </w:rPr>
        <w:t> Nowhere, HUP, 1986: 156-168.   </w:t>
      </w:r>
    </w:p>
    <w:p w14:paraId="2BA550DF" w14:textId="77777777" w:rsidR="005446DC" w:rsidRPr="005935EF" w:rsidRDefault="005446DC" w:rsidP="005446DC">
      <w:pPr>
        <w:spacing w:line="360" w:lineRule="auto"/>
        <w:jc w:val="both"/>
        <w:textAlignment w:val="baseline"/>
        <w:rPr>
          <w:rFonts w:asciiTheme="majorHAnsi" w:hAnsiTheme="majorHAnsi" w:cs="Segoe UI"/>
          <w:sz w:val="18"/>
          <w:szCs w:val="18"/>
        </w:rPr>
      </w:pPr>
      <w:r w:rsidRPr="005935EF">
        <w:rPr>
          <w:rFonts w:asciiTheme="majorHAnsi" w:hAnsiTheme="majorHAnsi" w:cs="Calibri"/>
          <w:sz w:val="16"/>
          <w:szCs w:val="16"/>
        </w:rPr>
        <w:t>I shall defend the unsurprising claim that </w:t>
      </w:r>
      <w:r w:rsidRPr="005935EF">
        <w:rPr>
          <w:rFonts w:asciiTheme="majorHAnsi" w:hAnsiTheme="majorHAnsi" w:cs="Calibri"/>
          <w:sz w:val="28"/>
          <w:szCs w:val="28"/>
          <w:u w:val="single"/>
          <w:shd w:val="clear" w:color="auto" w:fill="00FF00"/>
        </w:rPr>
        <w:t>sensory pleasure is good and pain bad</w:t>
      </w:r>
      <w:r w:rsidRPr="005935EF">
        <w:rPr>
          <w:rFonts w:asciiTheme="majorHAnsi" w:hAnsiTheme="majorHAnsi" w:cs="Calibri"/>
          <w:sz w:val="16"/>
          <w:szCs w:val="16"/>
        </w:rPr>
        <w:t>, no matter </w:t>
      </w:r>
      <w:proofErr w:type="spellStart"/>
      <w:r w:rsidRPr="005935EF">
        <w:rPr>
          <w:rFonts w:asciiTheme="majorHAnsi" w:hAnsiTheme="majorHAnsi" w:cs="Calibri"/>
          <w:sz w:val="16"/>
          <w:szCs w:val="16"/>
        </w:rPr>
        <w:t>whose</w:t>
      </w:r>
      <w:proofErr w:type="spellEnd"/>
      <w:r w:rsidRPr="005935EF">
        <w:rPr>
          <w:rFonts w:asciiTheme="majorHAnsi" w:hAnsiTheme="majorHAnsi" w:cs="Calibri"/>
          <w:sz w:val="16"/>
          <w:szCs w:val="16"/>
        </w:rPr>
        <w:t> they are. The point of the exercise is to see how the pressures of objectification operate in a simple case. Physical pleasure and pain do not usually depend on activities or desires which themselves raise questions of justification and value. They are</w:t>
      </w:r>
      <w:r w:rsidRPr="005935EF">
        <w:rPr>
          <w:rFonts w:asciiTheme="majorHAnsi" w:hAnsiTheme="majorHAnsi" w:cs="Calibri"/>
          <w:sz w:val="28"/>
          <w:szCs w:val="28"/>
          <w:u w:val="single"/>
        </w:rPr>
        <w:t> </w:t>
      </w:r>
      <w:r w:rsidRPr="005935EF">
        <w:rPr>
          <w:rFonts w:asciiTheme="majorHAnsi" w:hAnsiTheme="majorHAnsi"/>
          <w:u w:val="single"/>
        </w:rPr>
        <w:t>just sensory experiences</w:t>
      </w:r>
      <w:r w:rsidRPr="005935EF">
        <w:rPr>
          <w:rFonts w:asciiTheme="majorHAnsi" w:hAnsiTheme="majorHAnsi" w:cs="Calibri"/>
          <w:sz w:val="16"/>
          <w:szCs w:val="16"/>
        </w:rPr>
        <w:t xml:space="preserve"> in relation to which we are </w:t>
      </w:r>
      <w:proofErr w:type="gramStart"/>
      <w:r w:rsidRPr="005935EF">
        <w:rPr>
          <w:rFonts w:asciiTheme="majorHAnsi" w:hAnsiTheme="majorHAnsi" w:cs="Calibri"/>
          <w:sz w:val="16"/>
          <w:szCs w:val="16"/>
        </w:rPr>
        <w:t>fairly passive</w:t>
      </w:r>
      <w:proofErr w:type="gramEnd"/>
      <w:r w:rsidRPr="005935EF">
        <w:rPr>
          <w:rFonts w:asciiTheme="majorHAnsi" w:hAnsiTheme="majorHAnsi" w:cs="Calibri"/>
          <w:sz w:val="16"/>
          <w:szCs w:val="16"/>
        </w:rPr>
        <w:t>, but toward which</w:t>
      </w:r>
      <w:r w:rsidRPr="005935EF">
        <w:rPr>
          <w:rFonts w:asciiTheme="majorHAnsi" w:hAnsiTheme="majorHAnsi" w:cs="Calibri"/>
          <w:sz w:val="28"/>
          <w:szCs w:val="28"/>
          <w:u w:val="single"/>
        </w:rPr>
        <w:t> </w:t>
      </w:r>
      <w:r w:rsidRPr="005935EF">
        <w:rPr>
          <w:rFonts w:asciiTheme="majorHAnsi" w:hAnsiTheme="majorHAnsi"/>
          <w:u w:val="single"/>
        </w:rPr>
        <w:t>we feel involuntary desire </w:t>
      </w:r>
      <w:r w:rsidRPr="005935EF">
        <w:rPr>
          <w:rFonts w:asciiTheme="majorHAnsi" w:hAnsiTheme="majorHAnsi" w:cs="Calibri"/>
          <w:sz w:val="16"/>
          <w:szCs w:val="16"/>
        </w:rPr>
        <w:t>or aversion</w:t>
      </w:r>
      <w:r w:rsidRPr="005935EF">
        <w:rPr>
          <w:rFonts w:asciiTheme="majorHAnsi" w:hAnsiTheme="majorHAnsi" w:cs="Calibri"/>
          <w:sz w:val="28"/>
          <w:szCs w:val="28"/>
          <w:u w:val="single"/>
        </w:rPr>
        <w:t>.</w:t>
      </w:r>
      <w:r w:rsidRPr="005935EF">
        <w:rPr>
          <w:rFonts w:asciiTheme="majorHAnsi" w:hAnsiTheme="majorHAnsi" w:cs="Calibri"/>
          <w:sz w:val="16"/>
          <w:szCs w:val="16"/>
        </w:rPr>
        <w:t> Almost </w:t>
      </w:r>
      <w:r w:rsidRPr="005935EF">
        <w:rPr>
          <w:rFonts w:asciiTheme="majorHAnsi" w:hAnsiTheme="majorHAnsi" w:cs="Calibri"/>
          <w:sz w:val="28"/>
          <w:szCs w:val="28"/>
          <w:u w:val="single"/>
          <w:shd w:val="clear" w:color="auto" w:fill="00FF00"/>
        </w:rPr>
        <w:t>[E]</w:t>
      </w:r>
      <w:proofErr w:type="spellStart"/>
      <w:r w:rsidRPr="005935EF">
        <w:rPr>
          <w:rFonts w:asciiTheme="majorHAnsi" w:hAnsiTheme="majorHAnsi" w:cs="Calibri"/>
          <w:sz w:val="28"/>
          <w:szCs w:val="28"/>
          <w:u w:val="single"/>
          <w:shd w:val="clear" w:color="auto" w:fill="00FF00"/>
        </w:rPr>
        <w:t>veryone</w:t>
      </w:r>
      <w:proofErr w:type="spellEnd"/>
      <w:r w:rsidRPr="005935EF">
        <w:rPr>
          <w:rFonts w:asciiTheme="majorHAnsi" w:hAnsiTheme="majorHAnsi" w:cs="Calibri"/>
          <w:sz w:val="28"/>
          <w:szCs w:val="28"/>
          <w:u w:val="single"/>
          <w:shd w:val="clear" w:color="auto" w:fill="00FF00"/>
        </w:rPr>
        <w:t> takes the avoidance of</w:t>
      </w:r>
      <w:r w:rsidRPr="005935EF">
        <w:rPr>
          <w:rFonts w:asciiTheme="majorHAnsi" w:hAnsiTheme="majorHAnsi" w:cs="Calibri"/>
          <w:sz w:val="28"/>
          <w:szCs w:val="28"/>
          <w:u w:val="single"/>
        </w:rPr>
        <w:t> </w:t>
      </w:r>
      <w:r w:rsidRPr="005935EF">
        <w:rPr>
          <w:rFonts w:asciiTheme="majorHAnsi" w:hAnsiTheme="majorHAnsi" w:cs="Calibri"/>
          <w:sz w:val="16"/>
          <w:szCs w:val="16"/>
        </w:rPr>
        <w:t>his</w:t>
      </w:r>
      <w:r w:rsidRPr="005935EF">
        <w:rPr>
          <w:rFonts w:asciiTheme="majorHAnsi" w:hAnsiTheme="majorHAnsi" w:cs="Calibri"/>
          <w:sz w:val="28"/>
          <w:szCs w:val="28"/>
          <w:u w:val="single"/>
        </w:rPr>
        <w:t> </w:t>
      </w:r>
      <w:r w:rsidRPr="005935EF">
        <w:rPr>
          <w:rFonts w:asciiTheme="majorHAnsi" w:hAnsiTheme="majorHAnsi" w:cs="Calibri"/>
          <w:sz w:val="28"/>
          <w:szCs w:val="28"/>
          <w:u w:val="single"/>
          <w:shd w:val="clear" w:color="auto" w:fill="00FF00"/>
        </w:rPr>
        <w:t>{</w:t>
      </w:r>
      <w:r w:rsidRPr="005935EF">
        <w:rPr>
          <w:rFonts w:asciiTheme="majorHAnsi" w:hAnsiTheme="majorHAnsi"/>
          <w:u w:val="single"/>
          <w:shd w:val="clear" w:color="auto" w:fill="00FF00"/>
        </w:rPr>
        <w:t>their} own pain and</w:t>
      </w:r>
      <w:r w:rsidRPr="005935EF">
        <w:rPr>
          <w:rFonts w:asciiTheme="majorHAnsi" w:hAnsiTheme="majorHAnsi"/>
          <w:u w:val="single"/>
        </w:rPr>
        <w:t> </w:t>
      </w:r>
      <w:r w:rsidRPr="005935EF">
        <w:rPr>
          <w:rFonts w:asciiTheme="majorHAnsi" w:hAnsiTheme="majorHAnsi" w:cs="Calibri"/>
          <w:sz w:val="16"/>
          <w:szCs w:val="16"/>
        </w:rPr>
        <w:t>the</w:t>
      </w:r>
      <w:r w:rsidRPr="005935EF">
        <w:rPr>
          <w:rFonts w:asciiTheme="majorHAnsi" w:hAnsiTheme="majorHAnsi" w:cs="Calibri"/>
          <w:sz w:val="28"/>
          <w:szCs w:val="28"/>
          <w:u w:val="single"/>
        </w:rPr>
        <w:t> </w:t>
      </w:r>
      <w:r w:rsidRPr="005935EF">
        <w:rPr>
          <w:rFonts w:asciiTheme="majorHAnsi" w:hAnsiTheme="majorHAnsi"/>
          <w:u w:val="single"/>
          <w:shd w:val="clear" w:color="auto" w:fill="00FF00"/>
        </w:rPr>
        <w:t>promotion of</w:t>
      </w:r>
      <w:r w:rsidRPr="005935EF">
        <w:rPr>
          <w:rFonts w:asciiTheme="majorHAnsi" w:hAnsiTheme="majorHAnsi"/>
          <w:u w:val="single"/>
        </w:rPr>
        <w:t> </w:t>
      </w:r>
      <w:r w:rsidRPr="005935EF">
        <w:rPr>
          <w:rFonts w:asciiTheme="majorHAnsi" w:hAnsiTheme="majorHAnsi" w:cs="Calibri"/>
          <w:sz w:val="16"/>
          <w:szCs w:val="16"/>
        </w:rPr>
        <w:t>his</w:t>
      </w:r>
      <w:r w:rsidRPr="005935EF">
        <w:rPr>
          <w:rFonts w:asciiTheme="majorHAnsi" w:hAnsiTheme="majorHAnsi" w:cs="Calibri"/>
          <w:sz w:val="28"/>
          <w:szCs w:val="28"/>
          <w:u w:val="single"/>
        </w:rPr>
        <w:t> </w:t>
      </w:r>
      <w:r w:rsidRPr="005935EF">
        <w:rPr>
          <w:rFonts w:asciiTheme="majorHAnsi" w:hAnsiTheme="majorHAnsi"/>
          <w:u w:val="single"/>
          <w:shd w:val="clear" w:color="auto" w:fill="00FF00"/>
        </w:rPr>
        <w:t>own pleasure as</w:t>
      </w:r>
      <w:r w:rsidRPr="005935EF">
        <w:rPr>
          <w:rFonts w:asciiTheme="majorHAnsi" w:hAnsiTheme="majorHAnsi"/>
          <w:u w:val="single"/>
        </w:rPr>
        <w:t> </w:t>
      </w:r>
      <w:r w:rsidRPr="005935EF">
        <w:rPr>
          <w:rFonts w:asciiTheme="majorHAnsi" w:hAnsiTheme="majorHAnsi" w:cs="Calibri"/>
          <w:sz w:val="16"/>
          <w:szCs w:val="16"/>
        </w:rPr>
        <w:t>subjective</w:t>
      </w:r>
      <w:r w:rsidRPr="005935EF">
        <w:rPr>
          <w:rFonts w:asciiTheme="majorHAnsi" w:hAnsiTheme="majorHAnsi" w:cs="Calibri"/>
          <w:sz w:val="28"/>
          <w:szCs w:val="28"/>
          <w:u w:val="single"/>
        </w:rPr>
        <w:t> </w:t>
      </w:r>
      <w:r w:rsidRPr="005935EF">
        <w:rPr>
          <w:rFonts w:asciiTheme="majorHAnsi" w:hAnsiTheme="majorHAnsi"/>
          <w:u w:val="single"/>
          <w:shd w:val="clear" w:color="auto" w:fill="00FF00"/>
        </w:rPr>
        <w:t>reasons for action in a fairly simple way; </w:t>
      </w:r>
      <w:r w:rsidRPr="005935EF">
        <w:rPr>
          <w:rFonts w:asciiTheme="majorHAnsi" w:hAnsiTheme="majorHAnsi" w:cs="Calibri"/>
          <w:sz w:val="16"/>
          <w:szCs w:val="16"/>
          <w:shd w:val="clear" w:color="auto" w:fill="00FF00"/>
        </w:rPr>
        <w:t>they are</w:t>
      </w:r>
      <w:r w:rsidRPr="005935EF">
        <w:rPr>
          <w:rFonts w:asciiTheme="majorHAnsi" w:hAnsiTheme="majorHAnsi" w:cs="Calibri"/>
          <w:sz w:val="28"/>
          <w:szCs w:val="28"/>
          <w:u w:val="single"/>
          <w:shd w:val="clear" w:color="auto" w:fill="00FF00"/>
        </w:rPr>
        <w:t> </w:t>
      </w:r>
      <w:r w:rsidRPr="005935EF">
        <w:rPr>
          <w:rFonts w:asciiTheme="majorHAnsi" w:hAnsiTheme="majorHAnsi"/>
          <w:u w:val="single"/>
          <w:shd w:val="clear" w:color="auto" w:fill="00FF00"/>
        </w:rPr>
        <w:t>not back[ed] up by any further reasons.</w:t>
      </w:r>
      <w:r w:rsidRPr="005935EF">
        <w:rPr>
          <w:rFonts w:asciiTheme="majorHAnsi" w:hAnsiTheme="majorHAnsi" w:cs="Calibri"/>
          <w:sz w:val="28"/>
          <w:szCs w:val="28"/>
        </w:rPr>
        <w:t>   </w:t>
      </w:r>
    </w:p>
    <w:p w14:paraId="001C3DC7" w14:textId="77777777" w:rsidR="005446DC" w:rsidRPr="005935EF" w:rsidRDefault="005446DC" w:rsidP="005446DC">
      <w:pPr>
        <w:spacing w:line="360" w:lineRule="auto"/>
        <w:jc w:val="both"/>
        <w:textAlignment w:val="baseline"/>
        <w:rPr>
          <w:rFonts w:asciiTheme="majorHAnsi" w:hAnsiTheme="majorHAnsi" w:cs="Segoe UI"/>
          <w:sz w:val="18"/>
          <w:szCs w:val="18"/>
        </w:rPr>
      </w:pPr>
      <w:r w:rsidRPr="005935EF">
        <w:rPr>
          <w:rFonts w:asciiTheme="majorHAnsi" w:hAnsiTheme="majorHAnsi" w:cs="Calibri"/>
          <w:sz w:val="28"/>
          <w:szCs w:val="28"/>
        </w:rPr>
        <w:t> </w:t>
      </w:r>
    </w:p>
    <w:p w14:paraId="567AA8B3" w14:textId="77777777" w:rsidR="005446DC" w:rsidRPr="005935EF" w:rsidRDefault="005446DC" w:rsidP="005446DC">
      <w:pPr>
        <w:pStyle w:val="Heading4"/>
        <w:spacing w:line="360" w:lineRule="auto"/>
        <w:rPr>
          <w:rFonts w:asciiTheme="majorHAnsi" w:hAnsiTheme="majorHAnsi" w:cs="Segoe UI"/>
          <w:sz w:val="18"/>
          <w:szCs w:val="18"/>
        </w:rPr>
      </w:pPr>
      <w:r w:rsidRPr="005935EF">
        <w:rPr>
          <w:rFonts w:asciiTheme="majorHAnsi" w:hAnsiTheme="majorHAnsi"/>
        </w:rPr>
        <w:t>3] Reducing existential risks is the top priority in any coherent moral theory </w:t>
      </w:r>
    </w:p>
    <w:p w14:paraId="3AA6B7B7" w14:textId="77777777" w:rsidR="005446DC" w:rsidRPr="005935EF" w:rsidRDefault="005446DC" w:rsidP="005446DC">
      <w:pPr>
        <w:spacing w:line="360" w:lineRule="auto"/>
        <w:textAlignment w:val="baseline"/>
        <w:rPr>
          <w:rFonts w:asciiTheme="majorHAnsi" w:hAnsiTheme="majorHAnsi" w:cs="Segoe UI"/>
          <w:sz w:val="18"/>
          <w:szCs w:val="18"/>
        </w:rPr>
      </w:pPr>
      <w:proofErr w:type="spellStart"/>
      <w:r w:rsidRPr="005935EF">
        <w:rPr>
          <w:rFonts w:asciiTheme="majorHAnsi" w:hAnsiTheme="majorHAnsi" w:cs="Calibri"/>
          <w:b/>
          <w:bCs/>
          <w:sz w:val="26"/>
          <w:szCs w:val="26"/>
        </w:rPr>
        <w:t>Pummer</w:t>
      </w:r>
      <w:proofErr w:type="spellEnd"/>
      <w:r w:rsidRPr="005935EF">
        <w:rPr>
          <w:rFonts w:asciiTheme="majorHAnsi" w:hAnsiTheme="majorHAnsi" w:cs="Calibri"/>
          <w:b/>
          <w:bCs/>
          <w:sz w:val="26"/>
          <w:szCs w:val="26"/>
        </w:rPr>
        <w:t xml:space="preserve"> 15</w:t>
      </w:r>
      <w:r w:rsidRPr="005935EF">
        <w:rPr>
          <w:rFonts w:asciiTheme="majorHAnsi" w:hAnsiTheme="majorHAnsi" w:cs="Calibri"/>
          <w:sz w:val="26"/>
          <w:szCs w:val="26"/>
        </w:rPr>
        <w:t> </w:t>
      </w:r>
    </w:p>
    <w:p w14:paraId="28E2C3CB" w14:textId="77777777" w:rsidR="005446DC" w:rsidRPr="005935EF" w:rsidRDefault="005446DC" w:rsidP="005446DC">
      <w:pPr>
        <w:spacing w:line="360" w:lineRule="auto"/>
        <w:textAlignment w:val="baseline"/>
        <w:rPr>
          <w:rFonts w:asciiTheme="majorHAnsi" w:hAnsiTheme="majorHAnsi" w:cs="Segoe UI"/>
          <w:sz w:val="18"/>
          <w:szCs w:val="18"/>
        </w:rPr>
      </w:pPr>
      <w:r w:rsidRPr="005935EF">
        <w:rPr>
          <w:rFonts w:asciiTheme="majorHAnsi" w:hAnsiTheme="majorHAnsi" w:cs="Calibri"/>
          <w:sz w:val="16"/>
          <w:szCs w:val="16"/>
        </w:rPr>
        <w:t>(Theron, Philosophy @St. Andrews </w:t>
      </w:r>
      <w:hyperlink r:id="rId5" w:tgtFrame="_blank" w:history="1">
        <w:r w:rsidRPr="005935EF">
          <w:rPr>
            <w:rFonts w:asciiTheme="majorHAnsi" w:hAnsiTheme="majorHAnsi" w:cs="Calibri"/>
            <w:color w:val="0563C1"/>
            <w:sz w:val="16"/>
            <w:szCs w:val="16"/>
            <w:u w:val="single"/>
          </w:rPr>
          <w:t>http://blog.practicalethics.ox.ac.uk/2015/05/moral-agreement-on-saving-the-world/</w:t>
        </w:r>
      </w:hyperlink>
      <w:r w:rsidRPr="005935EF">
        <w:rPr>
          <w:rFonts w:asciiTheme="majorHAnsi" w:hAnsiTheme="majorHAnsi" w:cs="Calibri"/>
          <w:sz w:val="16"/>
          <w:szCs w:val="16"/>
        </w:rPr>
        <w:t>) </w:t>
      </w:r>
    </w:p>
    <w:p w14:paraId="1E7E1432" w14:textId="77777777" w:rsidR="005446DC" w:rsidRPr="005935EF" w:rsidRDefault="005446DC" w:rsidP="005446DC">
      <w:pPr>
        <w:spacing w:line="360" w:lineRule="auto"/>
        <w:textAlignment w:val="baseline"/>
        <w:rPr>
          <w:rFonts w:asciiTheme="majorHAnsi" w:hAnsiTheme="majorHAnsi" w:cs="Segoe UI"/>
          <w:sz w:val="18"/>
          <w:szCs w:val="18"/>
        </w:rPr>
      </w:pPr>
      <w:r w:rsidRPr="005935EF">
        <w:rPr>
          <w:rFonts w:asciiTheme="majorHAnsi" w:hAnsiTheme="majorHAnsi" w:cs="Calibri"/>
          <w:sz w:val="16"/>
          <w:szCs w:val="16"/>
        </w:rPr>
        <w:t>There appears to be lot of disagreement in moral philosophy. Whether these many apparent disagreements are deep and irresolvable, I believe </w:t>
      </w:r>
      <w:r w:rsidRPr="005935EF">
        <w:rPr>
          <w:rFonts w:asciiTheme="majorHAnsi" w:hAnsiTheme="majorHAnsi" w:cs="Calibri"/>
          <w:szCs w:val="22"/>
          <w:u w:val="single"/>
        </w:rPr>
        <w:t>there is</w:t>
      </w:r>
      <w:r w:rsidRPr="005935EF">
        <w:rPr>
          <w:rFonts w:asciiTheme="majorHAnsi" w:hAnsiTheme="majorHAnsi" w:cs="Calibri"/>
          <w:sz w:val="16"/>
          <w:szCs w:val="16"/>
        </w:rPr>
        <w:t> at least </w:t>
      </w:r>
      <w:r w:rsidRPr="005935EF">
        <w:rPr>
          <w:rFonts w:asciiTheme="majorHAnsi" w:hAnsiTheme="majorHAnsi" w:cs="Calibri"/>
          <w:szCs w:val="22"/>
          <w:u w:val="single"/>
        </w:rPr>
        <w:t>one thing</w:t>
      </w:r>
      <w:r w:rsidRPr="005935EF">
        <w:rPr>
          <w:rFonts w:asciiTheme="majorHAnsi" w:hAnsiTheme="majorHAnsi" w:cs="Calibri"/>
          <w:sz w:val="16"/>
          <w:szCs w:val="16"/>
        </w:rPr>
        <w:t> </w:t>
      </w:r>
      <w:r w:rsidRPr="005935EF">
        <w:rPr>
          <w:rFonts w:asciiTheme="majorHAnsi" w:hAnsiTheme="majorHAnsi" w:cs="Calibri"/>
          <w:szCs w:val="22"/>
          <w:u w:val="single"/>
        </w:rPr>
        <w:t>it is reasonable to agree on</w:t>
      </w:r>
      <w:r w:rsidRPr="005935EF">
        <w:rPr>
          <w:rFonts w:asciiTheme="majorHAnsi" w:hAnsiTheme="majorHAnsi" w:cs="Calibri"/>
          <w:sz w:val="16"/>
          <w:szCs w:val="16"/>
        </w:rPr>
        <w:t> right now, </w:t>
      </w:r>
      <w:r w:rsidRPr="005935EF">
        <w:rPr>
          <w:rFonts w:asciiTheme="majorHAnsi" w:hAnsiTheme="majorHAnsi" w:cs="Calibri"/>
          <w:b/>
          <w:bCs/>
          <w:szCs w:val="22"/>
          <w:u w:val="single"/>
        </w:rPr>
        <w:t>whatever</w:t>
      </w:r>
      <w:r w:rsidRPr="005935EF">
        <w:rPr>
          <w:rFonts w:asciiTheme="majorHAnsi" w:hAnsiTheme="majorHAnsi" w:cs="Calibri"/>
          <w:sz w:val="16"/>
          <w:szCs w:val="16"/>
        </w:rPr>
        <w:t> general </w:t>
      </w:r>
      <w:r w:rsidRPr="005935EF">
        <w:rPr>
          <w:rFonts w:asciiTheme="majorHAnsi" w:hAnsiTheme="majorHAnsi" w:cs="Calibri"/>
          <w:b/>
          <w:bCs/>
          <w:szCs w:val="22"/>
          <w:u w:val="single"/>
        </w:rPr>
        <w:t>moral view we adopt</w:t>
      </w:r>
      <w:r w:rsidRPr="005935EF">
        <w:rPr>
          <w:rFonts w:asciiTheme="majorHAnsi" w:hAnsiTheme="majorHAnsi" w:cs="Calibri"/>
          <w:sz w:val="16"/>
          <w:szCs w:val="16"/>
        </w:rPr>
        <w:t xml:space="preserve">: </w:t>
      </w:r>
      <w:r w:rsidRPr="005935EF">
        <w:rPr>
          <w:rFonts w:asciiTheme="majorHAnsi" w:hAnsiTheme="majorHAnsi" w:cs="Calibri"/>
          <w:sz w:val="16"/>
          <w:szCs w:val="16"/>
        </w:rPr>
        <w:lastRenderedPageBreak/>
        <w:t>that </w:t>
      </w:r>
      <w:r w:rsidRPr="005935EF">
        <w:rPr>
          <w:rFonts w:asciiTheme="majorHAnsi" w:hAnsiTheme="majorHAnsi" w:cs="Calibri"/>
          <w:szCs w:val="22"/>
          <w:u w:val="single"/>
        </w:rPr>
        <w:t>it is</w:t>
      </w:r>
      <w:r w:rsidRPr="005935EF">
        <w:rPr>
          <w:rFonts w:asciiTheme="majorHAnsi" w:hAnsiTheme="majorHAnsi" w:cs="Calibri"/>
          <w:sz w:val="16"/>
          <w:szCs w:val="16"/>
        </w:rPr>
        <w:t> very </w:t>
      </w:r>
      <w:r w:rsidRPr="005935EF">
        <w:rPr>
          <w:rFonts w:asciiTheme="majorHAnsi" w:hAnsiTheme="majorHAnsi" w:cs="Calibri"/>
          <w:szCs w:val="22"/>
          <w:u w:val="single"/>
        </w:rPr>
        <w:t>important to reduce</w:t>
      </w:r>
      <w:r w:rsidRPr="005935EF">
        <w:rPr>
          <w:rFonts w:asciiTheme="majorHAnsi" w:hAnsiTheme="majorHAnsi" w:cs="Calibri"/>
          <w:sz w:val="16"/>
          <w:szCs w:val="16"/>
        </w:rPr>
        <w:t> </w:t>
      </w:r>
      <w:r w:rsidRPr="005935EF">
        <w:rPr>
          <w:rFonts w:asciiTheme="majorHAnsi" w:hAnsiTheme="majorHAnsi" w:cs="Calibri"/>
          <w:szCs w:val="22"/>
          <w:u w:val="single"/>
        </w:rPr>
        <w:t>the risk that</w:t>
      </w:r>
      <w:r w:rsidRPr="005935EF">
        <w:rPr>
          <w:rFonts w:asciiTheme="majorHAnsi" w:hAnsiTheme="majorHAnsi" w:cs="Calibri"/>
          <w:sz w:val="16"/>
          <w:szCs w:val="16"/>
        </w:rPr>
        <w:t> all intelligent </w:t>
      </w:r>
      <w:r w:rsidRPr="005935EF">
        <w:rPr>
          <w:rFonts w:asciiTheme="majorHAnsi" w:hAnsiTheme="majorHAnsi" w:cs="Calibri"/>
          <w:szCs w:val="22"/>
          <w:u w:val="single"/>
        </w:rPr>
        <w:t>beings</w:t>
      </w:r>
      <w:r w:rsidRPr="005935EF">
        <w:rPr>
          <w:rFonts w:asciiTheme="majorHAnsi" w:hAnsiTheme="majorHAnsi" w:cs="Calibri"/>
          <w:sz w:val="16"/>
          <w:szCs w:val="16"/>
        </w:rPr>
        <w:t> on this planet </w:t>
      </w:r>
      <w:r w:rsidRPr="005935EF">
        <w:rPr>
          <w:rFonts w:asciiTheme="majorHAnsi" w:hAnsiTheme="majorHAnsi" w:cs="Calibri"/>
          <w:szCs w:val="22"/>
          <w:u w:val="single"/>
        </w:rPr>
        <w:t>are eliminated by</w:t>
      </w:r>
      <w:r w:rsidRPr="005935EF">
        <w:rPr>
          <w:rFonts w:asciiTheme="majorHAnsi" w:hAnsiTheme="majorHAnsi" w:cs="Calibri"/>
          <w:sz w:val="16"/>
          <w:szCs w:val="16"/>
        </w:rPr>
        <w:t> an enormous </w:t>
      </w:r>
      <w:r w:rsidRPr="005935EF">
        <w:rPr>
          <w:rFonts w:asciiTheme="majorHAnsi" w:hAnsiTheme="majorHAnsi" w:cs="Calibri"/>
          <w:b/>
          <w:bCs/>
          <w:szCs w:val="22"/>
          <w:u w:val="single"/>
        </w:rPr>
        <w:t>catastrophe</w:t>
      </w:r>
      <w:r w:rsidRPr="005935EF">
        <w:rPr>
          <w:rFonts w:asciiTheme="majorHAnsi" w:hAnsiTheme="majorHAnsi" w:cs="Calibri"/>
          <w:sz w:val="16"/>
          <w:szCs w:val="16"/>
        </w:rPr>
        <w:t>, such as a nuclear war. How we might in fact try to reduce such existential risks is discussed elsewhere. My claim here is only that </w:t>
      </w:r>
      <w:r w:rsidRPr="005935EF">
        <w:rPr>
          <w:rFonts w:asciiTheme="majorHAnsi" w:hAnsiTheme="majorHAnsi" w:cs="Calibri"/>
          <w:szCs w:val="22"/>
          <w:u w:val="single"/>
          <w:shd w:val="clear" w:color="auto" w:fill="00FFFF"/>
        </w:rPr>
        <w:t>we </w:t>
      </w:r>
      <w:r w:rsidRPr="005935EF">
        <w:rPr>
          <w:rFonts w:asciiTheme="majorHAnsi" w:hAnsiTheme="majorHAnsi" w:cs="Calibri"/>
          <w:sz w:val="16"/>
          <w:szCs w:val="16"/>
        </w:rPr>
        <w:t>– </w:t>
      </w:r>
      <w:r w:rsidRPr="005935EF">
        <w:rPr>
          <w:rFonts w:asciiTheme="majorHAnsi" w:hAnsiTheme="majorHAnsi" w:cs="Calibri"/>
          <w:szCs w:val="22"/>
          <w:u w:val="single"/>
        </w:rPr>
        <w:t>whether we’re consequentialists, deontologists, or virtue ethicists</w:t>
      </w:r>
      <w:r w:rsidRPr="005935EF">
        <w:rPr>
          <w:rFonts w:asciiTheme="majorHAnsi" w:hAnsiTheme="majorHAnsi" w:cs="Calibri"/>
          <w:sz w:val="16"/>
          <w:szCs w:val="16"/>
        </w:rPr>
        <w:t> – </w:t>
      </w:r>
      <w:r w:rsidRPr="005935EF">
        <w:rPr>
          <w:rFonts w:asciiTheme="majorHAnsi" w:hAnsiTheme="majorHAnsi" w:cs="Calibri"/>
          <w:szCs w:val="22"/>
          <w:u w:val="single"/>
          <w:shd w:val="clear" w:color="auto" w:fill="00FFFF"/>
        </w:rPr>
        <w:t>should all agree that we should try </w:t>
      </w:r>
      <w:r w:rsidRPr="005935EF">
        <w:rPr>
          <w:rFonts w:asciiTheme="majorHAnsi" w:hAnsiTheme="majorHAnsi" w:cs="Calibri"/>
          <w:b/>
          <w:bCs/>
          <w:szCs w:val="22"/>
          <w:u w:val="single"/>
          <w:shd w:val="clear" w:color="auto" w:fill="00FFFF"/>
        </w:rPr>
        <w:t>to save the world</w:t>
      </w:r>
      <w:r w:rsidRPr="005935EF">
        <w:rPr>
          <w:rFonts w:asciiTheme="majorHAnsi" w:hAnsiTheme="majorHAnsi" w:cs="Calibri"/>
          <w:b/>
          <w:bCs/>
          <w:szCs w:val="22"/>
          <w:u w:val="single"/>
        </w:rPr>
        <w:t>.</w:t>
      </w:r>
      <w:r w:rsidRPr="005935EF">
        <w:rPr>
          <w:rFonts w:asciiTheme="majorHAnsi" w:hAnsiTheme="majorHAnsi" w:cs="Calibri"/>
          <w:sz w:val="16"/>
          <w:szCs w:val="16"/>
        </w:rPr>
        <w:t>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5935EF">
        <w:rPr>
          <w:rFonts w:asciiTheme="majorHAnsi" w:hAnsiTheme="majorHAnsi" w:cs="Calibri"/>
          <w:szCs w:val="22"/>
          <w:u w:val="single"/>
          <w:shd w:val="clear" w:color="auto" w:fill="00FFFF"/>
        </w:rPr>
        <w:t>There are so many possible future people that reducing existential risk is </w:t>
      </w:r>
      <w:r w:rsidRPr="005935EF">
        <w:rPr>
          <w:rFonts w:asciiTheme="majorHAnsi" w:hAnsiTheme="majorHAnsi" w:cs="Calibri"/>
          <w:szCs w:val="22"/>
          <w:u w:val="single"/>
        </w:rPr>
        <w:t>arguably the </w:t>
      </w:r>
      <w:r w:rsidRPr="005935EF">
        <w:rPr>
          <w:rFonts w:asciiTheme="majorHAnsi" w:hAnsiTheme="majorHAnsi" w:cs="Calibri"/>
          <w:szCs w:val="22"/>
          <w:u w:val="single"/>
          <w:shd w:val="clear" w:color="auto" w:fill="00FFFF"/>
        </w:rPr>
        <w:t>most important </w:t>
      </w:r>
      <w:r w:rsidRPr="005935EF">
        <w:rPr>
          <w:rFonts w:asciiTheme="majorHAnsi" w:hAnsiTheme="majorHAnsi" w:cs="Calibri"/>
          <w:szCs w:val="22"/>
          <w:u w:val="single"/>
        </w:rPr>
        <w:t>thing in the world</w:t>
      </w:r>
      <w:r w:rsidRPr="005935EF">
        <w:rPr>
          <w:rFonts w:asciiTheme="majorHAnsi" w:hAnsiTheme="majorHAnsi" w:cs="Calibri"/>
          <w:sz w:val="16"/>
          <w:szCs w:val="16"/>
        </w:rPr>
        <w:t>, even if the well-being of these possible people were given only 0.001% as much weight as that of existing people. </w:t>
      </w:r>
      <w:r w:rsidRPr="005935EF">
        <w:rPr>
          <w:rFonts w:asciiTheme="majorHAnsi" w:hAnsiTheme="majorHAnsi" w:cs="Calibri"/>
          <w:szCs w:val="22"/>
          <w:u w:val="single"/>
        </w:rPr>
        <w:t>Even on a wholly person-affecting view</w:t>
      </w:r>
      <w:r w:rsidRPr="005935EF">
        <w:rPr>
          <w:rFonts w:asciiTheme="majorHAnsi" w:hAnsiTheme="majorHAnsi" w:cs="Calibri"/>
          <w:sz w:val="16"/>
          <w:szCs w:val="16"/>
        </w:rPr>
        <w:t> – according to which there’s nothing (apart from effects on existing people) to be said in favor of creating happy people – </w:t>
      </w:r>
      <w:r w:rsidRPr="005935EF">
        <w:rPr>
          <w:rFonts w:asciiTheme="majorHAnsi" w:hAnsiTheme="majorHAnsi" w:cs="Calibri"/>
          <w:szCs w:val="22"/>
          <w:u w:val="single"/>
        </w:rPr>
        <w:t>the case for reducing existential risk is very strong</w:t>
      </w:r>
      <w:r w:rsidRPr="005935EF">
        <w:rPr>
          <w:rFonts w:asciiTheme="majorHAnsi" w:hAnsiTheme="majorHAnsi" w:cs="Calibri"/>
          <w:sz w:val="16"/>
          <w:szCs w:val="16"/>
        </w:rPr>
        <w:t>. As noted in this seminal paper, this case is strengthened by the fact that there’s a good chance that many existing people will, with the aid of life-extension technology, live very long and very </w:t>
      </w:r>
      <w:proofErr w:type="gramStart"/>
      <w:r w:rsidRPr="005935EF">
        <w:rPr>
          <w:rFonts w:asciiTheme="majorHAnsi" w:hAnsiTheme="majorHAnsi" w:cs="Calibri"/>
          <w:sz w:val="16"/>
          <w:szCs w:val="16"/>
        </w:rPr>
        <w:t>high quality</w:t>
      </w:r>
      <w:proofErr w:type="gramEnd"/>
      <w:r w:rsidRPr="005935EF">
        <w:rPr>
          <w:rFonts w:asciiTheme="majorHAnsi" w:hAnsiTheme="majorHAnsi" w:cs="Calibri"/>
          <w:sz w:val="16"/>
          <w:szCs w:val="16"/>
        </w:rPr>
        <w:t> lives. </w:t>
      </w:r>
      <w:r w:rsidRPr="005935EF">
        <w:rPr>
          <w:rFonts w:asciiTheme="majorHAnsi" w:hAnsiTheme="majorHAnsi" w:cs="Calibri"/>
          <w:szCs w:val="22"/>
          <w:u w:val="single"/>
        </w:rPr>
        <w:t>You might think what I have just argued applies to consequentialists only.</w:t>
      </w:r>
      <w:r w:rsidRPr="005935EF">
        <w:rPr>
          <w:rFonts w:asciiTheme="majorHAnsi" w:hAnsiTheme="majorHAnsi" w:cs="Calibri"/>
          <w:sz w:val="16"/>
          <w:szCs w:val="16"/>
        </w:rPr>
        <w:t> </w:t>
      </w:r>
      <w:r w:rsidRPr="005935EF">
        <w:rPr>
          <w:rFonts w:asciiTheme="majorHAnsi" w:hAnsiTheme="majorHAnsi" w:cs="Calibri"/>
          <w:szCs w:val="22"/>
          <w:u w:val="single"/>
          <w:shd w:val="clear" w:color="auto" w:fill="00FFFF"/>
        </w:rPr>
        <w:t>There is a tendency to assume </w:t>
      </w:r>
      <w:r w:rsidRPr="005935EF">
        <w:rPr>
          <w:rFonts w:asciiTheme="majorHAnsi" w:hAnsiTheme="majorHAnsi" w:cs="Calibri"/>
          <w:szCs w:val="22"/>
          <w:u w:val="single"/>
        </w:rPr>
        <w:t>that, </w:t>
      </w:r>
      <w:r w:rsidRPr="005935EF">
        <w:rPr>
          <w:rFonts w:asciiTheme="majorHAnsi" w:hAnsiTheme="majorHAnsi" w:cs="Calibri"/>
          <w:szCs w:val="22"/>
          <w:u w:val="single"/>
          <w:shd w:val="clear" w:color="auto" w:fill="00FFFF"/>
        </w:rPr>
        <w:t>if an argument appeals to consequentialist </w:t>
      </w:r>
      <w:r w:rsidRPr="005935EF">
        <w:rPr>
          <w:rFonts w:asciiTheme="majorHAnsi" w:hAnsiTheme="majorHAnsi" w:cs="Calibri"/>
          <w:szCs w:val="22"/>
          <w:u w:val="single"/>
        </w:rPr>
        <w:t>considerations</w:t>
      </w:r>
      <w:r w:rsidRPr="005935EF">
        <w:rPr>
          <w:rFonts w:asciiTheme="majorHAnsi" w:hAnsiTheme="majorHAnsi" w:cs="Calibri"/>
          <w:sz w:val="16"/>
          <w:szCs w:val="16"/>
        </w:rPr>
        <w:t> (the goodness of outcomes), </w:t>
      </w:r>
      <w:r w:rsidRPr="005935EF">
        <w:rPr>
          <w:rFonts w:asciiTheme="majorHAnsi" w:hAnsiTheme="majorHAnsi" w:cs="Calibri"/>
          <w:b/>
          <w:bCs/>
          <w:szCs w:val="22"/>
          <w:u w:val="single"/>
          <w:shd w:val="clear" w:color="auto" w:fill="00FFFF"/>
        </w:rPr>
        <w:t>it is irrelevant to non-consequentialists</w:t>
      </w:r>
      <w:r w:rsidRPr="005935EF">
        <w:rPr>
          <w:rFonts w:asciiTheme="majorHAnsi" w:hAnsiTheme="majorHAnsi" w:cs="Calibri"/>
          <w:sz w:val="16"/>
          <w:szCs w:val="16"/>
        </w:rPr>
        <w:t>. </w:t>
      </w:r>
      <w:r w:rsidRPr="005935EF">
        <w:rPr>
          <w:rFonts w:asciiTheme="majorHAnsi" w:hAnsiTheme="majorHAnsi" w:cs="Calibri"/>
          <w:b/>
          <w:bCs/>
          <w:szCs w:val="22"/>
          <w:u w:val="single"/>
        </w:rPr>
        <w:t>But that is a huge mistake</w:t>
      </w:r>
      <w:r w:rsidRPr="005935EF">
        <w:rPr>
          <w:rFonts w:asciiTheme="majorHAnsi" w:hAnsiTheme="majorHAnsi" w:cs="Calibri"/>
          <w:sz w:val="16"/>
          <w:szCs w:val="16"/>
        </w:rPr>
        <w:t>. </w:t>
      </w:r>
      <w:r w:rsidRPr="005935EF">
        <w:rPr>
          <w:rFonts w:asciiTheme="majorHAnsi" w:hAnsiTheme="majorHAnsi" w:cs="Calibri"/>
          <w:szCs w:val="22"/>
          <w:u w:val="single"/>
        </w:rPr>
        <w:t>Non-consequentialism is the view that there’s more that determines rightness</w:t>
      </w:r>
      <w:r w:rsidRPr="005935EF">
        <w:rPr>
          <w:rFonts w:asciiTheme="majorHAnsi" w:hAnsiTheme="majorHAnsi" w:cs="Calibri"/>
          <w:sz w:val="16"/>
          <w:szCs w:val="16"/>
        </w:rPr>
        <w:t> </w:t>
      </w:r>
      <w:r w:rsidRPr="005935EF">
        <w:rPr>
          <w:rFonts w:asciiTheme="majorHAnsi" w:hAnsiTheme="majorHAnsi" w:cs="Calibri"/>
          <w:szCs w:val="22"/>
          <w:u w:val="single"/>
        </w:rPr>
        <w:t>than</w:t>
      </w:r>
      <w:r w:rsidRPr="005935EF">
        <w:rPr>
          <w:rFonts w:asciiTheme="majorHAnsi" w:hAnsiTheme="majorHAnsi" w:cs="Calibri"/>
          <w:sz w:val="16"/>
          <w:szCs w:val="16"/>
        </w:rPr>
        <w:t> the goodness of </w:t>
      </w:r>
      <w:r w:rsidRPr="005935EF">
        <w:rPr>
          <w:rFonts w:asciiTheme="majorHAnsi" w:hAnsiTheme="majorHAnsi" w:cs="Calibri"/>
          <w:szCs w:val="22"/>
          <w:u w:val="single"/>
        </w:rPr>
        <w:t>consequences </w:t>
      </w:r>
      <w:r w:rsidRPr="005935EF">
        <w:rPr>
          <w:rFonts w:asciiTheme="majorHAnsi" w:hAnsiTheme="majorHAnsi" w:cs="Calibri"/>
          <w:sz w:val="16"/>
          <w:szCs w:val="16"/>
        </w:rPr>
        <w:t>or outcomes; </w:t>
      </w:r>
      <w:r w:rsidRPr="005935EF">
        <w:rPr>
          <w:rFonts w:asciiTheme="majorHAnsi" w:hAnsiTheme="majorHAnsi" w:cs="Calibri"/>
          <w:b/>
          <w:bCs/>
          <w:szCs w:val="22"/>
          <w:u w:val="single"/>
        </w:rPr>
        <w:t>it is not the view that the latter don’t matter</w:t>
      </w:r>
      <w:r w:rsidRPr="005935EF">
        <w:rPr>
          <w:rFonts w:asciiTheme="majorHAnsi" w:hAnsiTheme="majorHAnsi" w:cs="Calibri"/>
          <w:sz w:val="16"/>
          <w:szCs w:val="16"/>
        </w:rPr>
        <w:t>. </w:t>
      </w:r>
      <w:r w:rsidRPr="005935EF">
        <w:rPr>
          <w:rFonts w:asciiTheme="majorHAnsi" w:hAnsiTheme="majorHAnsi" w:cs="Calibri"/>
          <w:szCs w:val="22"/>
          <w:u w:val="single"/>
        </w:rPr>
        <w:t>Even </w:t>
      </w:r>
      <w:r w:rsidRPr="005935EF">
        <w:rPr>
          <w:rFonts w:asciiTheme="majorHAnsi" w:hAnsiTheme="majorHAnsi" w:cs="Calibri"/>
          <w:sz w:val="16"/>
          <w:szCs w:val="16"/>
        </w:rPr>
        <w:t>John </w:t>
      </w:r>
      <w:r w:rsidRPr="005935EF">
        <w:rPr>
          <w:rFonts w:asciiTheme="majorHAnsi" w:hAnsiTheme="majorHAnsi" w:cs="Calibri"/>
          <w:b/>
          <w:bCs/>
          <w:szCs w:val="22"/>
          <w:u w:val="single"/>
        </w:rPr>
        <w:t>Rawls wrote, “All ethical doctrines worth our attention take consequences into account</w:t>
      </w:r>
      <w:r w:rsidRPr="005935EF">
        <w:rPr>
          <w:rFonts w:asciiTheme="majorHAnsi" w:hAnsiTheme="majorHAnsi" w:cs="Calibri"/>
          <w:sz w:val="16"/>
          <w:szCs w:val="16"/>
        </w:rPr>
        <w:t> in judging rightness. </w:t>
      </w:r>
      <w:r w:rsidRPr="005935EF">
        <w:rPr>
          <w:rFonts w:asciiTheme="majorHAnsi" w:hAnsiTheme="majorHAnsi" w:cs="Calibri"/>
          <w:szCs w:val="22"/>
          <w:u w:val="single"/>
        </w:rPr>
        <w:t>One which did not would simply be irrational</w:t>
      </w:r>
      <w:r w:rsidRPr="005935EF">
        <w:rPr>
          <w:rFonts w:asciiTheme="majorHAnsi" w:hAnsiTheme="majorHAnsi" w:cs="Calibri"/>
          <w:sz w:val="16"/>
          <w:szCs w:val="16"/>
        </w:rPr>
        <w:t>, crazy.” </w:t>
      </w:r>
      <w:r w:rsidRPr="005935EF">
        <w:rPr>
          <w:rFonts w:asciiTheme="majorHAnsi" w:hAnsiTheme="majorHAnsi" w:cs="Calibri"/>
          <w:b/>
          <w:bCs/>
          <w:szCs w:val="22"/>
          <w:u w:val="single"/>
        </w:rPr>
        <w:t>Minimally plausible versions of </w:t>
      </w:r>
      <w:r w:rsidRPr="005935EF">
        <w:rPr>
          <w:rFonts w:asciiTheme="majorHAnsi" w:hAnsiTheme="majorHAnsi" w:cs="Calibri"/>
          <w:b/>
          <w:bCs/>
          <w:szCs w:val="22"/>
          <w:u w:val="single"/>
          <w:shd w:val="clear" w:color="auto" w:fill="00FFFF"/>
        </w:rPr>
        <w:t>deontology </w:t>
      </w:r>
      <w:r w:rsidRPr="005935EF">
        <w:rPr>
          <w:rFonts w:asciiTheme="majorHAnsi" w:hAnsiTheme="majorHAnsi" w:cs="Calibri"/>
          <w:b/>
          <w:bCs/>
          <w:szCs w:val="22"/>
          <w:u w:val="single"/>
        </w:rPr>
        <w:t>and virtue ethics must be concerned in part with promoting the good, from an impartial point of view</w:t>
      </w:r>
      <w:r w:rsidRPr="005935EF">
        <w:rPr>
          <w:rFonts w:asciiTheme="majorHAnsi" w:hAnsiTheme="majorHAnsi" w:cs="Calibri"/>
          <w:sz w:val="16"/>
          <w:szCs w:val="16"/>
        </w:rPr>
        <w:t>. </w:t>
      </w:r>
      <w:r w:rsidRPr="005935EF">
        <w:rPr>
          <w:rFonts w:asciiTheme="majorHAnsi" w:hAnsiTheme="majorHAnsi" w:cs="Calibri"/>
          <w:szCs w:val="22"/>
          <w:u w:val="single"/>
        </w:rPr>
        <w:t>They’d thus </w:t>
      </w:r>
      <w:r w:rsidRPr="005935EF">
        <w:rPr>
          <w:rFonts w:asciiTheme="majorHAnsi" w:hAnsiTheme="majorHAnsi" w:cs="Calibri"/>
          <w:szCs w:val="22"/>
          <w:u w:val="single"/>
          <w:shd w:val="clear" w:color="auto" w:fill="00FFFF"/>
        </w:rPr>
        <w:t>imply </w:t>
      </w:r>
      <w:r w:rsidRPr="005935EF">
        <w:rPr>
          <w:rFonts w:asciiTheme="majorHAnsi" w:hAnsiTheme="majorHAnsi" w:cs="Calibri"/>
          <w:b/>
          <w:bCs/>
          <w:szCs w:val="22"/>
          <w:u w:val="single"/>
          <w:shd w:val="clear" w:color="auto" w:fill="00FFFF"/>
        </w:rPr>
        <w:t>very strong reasons</w:t>
      </w:r>
      <w:r w:rsidRPr="005935EF">
        <w:rPr>
          <w:rFonts w:asciiTheme="majorHAnsi" w:hAnsiTheme="majorHAnsi" w:cs="Calibri"/>
          <w:szCs w:val="22"/>
          <w:u w:val="single"/>
          <w:shd w:val="clear" w:color="auto" w:fill="00FFFF"/>
        </w:rPr>
        <w:t> to reduce existential risk</w:t>
      </w:r>
      <w:r w:rsidRPr="005935EF">
        <w:rPr>
          <w:rFonts w:asciiTheme="majorHAnsi" w:hAnsiTheme="majorHAnsi" w:cs="Calibri"/>
          <w:sz w:val="16"/>
          <w:szCs w:val="16"/>
        </w:rPr>
        <w:t>,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5935EF">
        <w:rPr>
          <w:rFonts w:asciiTheme="majorHAnsi" w:hAnsiTheme="majorHAnsi" w:cs="Calibri"/>
          <w:szCs w:val="22"/>
          <w:u w:val="single"/>
        </w:rPr>
        <w:t>Even egoism</w:t>
      </w:r>
      <w:r w:rsidRPr="005935EF">
        <w:rPr>
          <w:rFonts w:asciiTheme="majorHAnsi" w:hAnsiTheme="majorHAnsi" w:cs="Calibri"/>
          <w:sz w:val="16"/>
          <w:szCs w:val="16"/>
        </w:rPr>
        <w:t>, the view that each agent should maximize her own good, </w:t>
      </w:r>
      <w:r w:rsidRPr="005935EF">
        <w:rPr>
          <w:rFonts w:asciiTheme="majorHAnsi" w:hAnsiTheme="majorHAnsi" w:cs="Calibri"/>
          <w:szCs w:val="22"/>
          <w:u w:val="single"/>
        </w:rPr>
        <w:t>might imply strong reasons to reduce existential risk. </w:t>
      </w:r>
      <w:r w:rsidRPr="005935EF">
        <w:rPr>
          <w:rFonts w:asciiTheme="majorHAnsi" w:hAnsiTheme="majorHAnsi" w:cs="Calibri"/>
          <w:sz w:val="16"/>
          <w:szCs w:val="16"/>
        </w:rPr>
        <w:t xml:space="preserve">It will depend, among other things, on what one’s own good </w:t>
      </w:r>
      <w:proofErr w:type="gramStart"/>
      <w:r w:rsidRPr="005935EF">
        <w:rPr>
          <w:rFonts w:asciiTheme="majorHAnsi" w:hAnsiTheme="majorHAnsi" w:cs="Calibri"/>
          <w:sz w:val="16"/>
          <w:szCs w:val="16"/>
        </w:rPr>
        <w:t>consists</w:t>
      </w:r>
      <w:proofErr w:type="gramEnd"/>
      <w:r w:rsidRPr="005935EF">
        <w:rPr>
          <w:rFonts w:asciiTheme="majorHAnsi" w:hAnsiTheme="majorHAnsi" w:cs="Calibri"/>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5935EF">
        <w:rPr>
          <w:rFonts w:asciiTheme="majorHAnsi" w:hAnsiTheme="majorHAnsi" w:cs="Calibri"/>
          <w:sz w:val="16"/>
          <w:szCs w:val="16"/>
        </w:rPr>
        <w:t>actually desires</w:t>
      </w:r>
      <w:proofErr w:type="gramEnd"/>
      <w:r w:rsidRPr="005935EF">
        <w:rPr>
          <w:rFonts w:asciiTheme="majorHAnsi" w:hAnsiTheme="majorHAnsi" w:cs="Calibri"/>
          <w:sz w:val="16"/>
          <w:szCs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5935EF">
        <w:rPr>
          <w:rFonts w:asciiTheme="majorHAnsi" w:hAnsiTheme="majorHAnsi" w:cs="Calibri"/>
          <w:sz w:val="16"/>
          <w:szCs w:val="16"/>
        </w:rPr>
        <w:t>all of</w:t>
      </w:r>
      <w:proofErr w:type="gramEnd"/>
      <w:r w:rsidRPr="005935EF">
        <w:rPr>
          <w:rFonts w:asciiTheme="majorHAnsi" w:hAnsiTheme="majorHAnsi" w:cs="Calibri"/>
          <w:sz w:val="16"/>
          <w:szCs w:val="16"/>
        </w:rPr>
        <w:t xml:space="preserve"> this Samuel Scheffler’s recent intriguing </w:t>
      </w:r>
      <w:r w:rsidRPr="005935EF">
        <w:rPr>
          <w:rFonts w:asciiTheme="majorHAnsi" w:hAnsiTheme="majorHAnsi" w:cs="Calibri"/>
          <w:sz w:val="16"/>
          <w:szCs w:val="16"/>
        </w:rPr>
        <w:lastRenderedPageBreak/>
        <w:t>arguments (quick podcast version available here) that </w:t>
      </w:r>
      <w:r w:rsidRPr="005935EF">
        <w:rPr>
          <w:rFonts w:asciiTheme="majorHAnsi" w:hAnsiTheme="majorHAnsi" w:cs="Calibri"/>
          <w:b/>
          <w:bCs/>
          <w:szCs w:val="22"/>
          <w:u w:val="single"/>
          <w:shd w:val="clear" w:color="auto" w:fill="00FFFF"/>
        </w:rPr>
        <w:t>most of what makes our lives go well would be undermined if there were no future</w:t>
      </w:r>
      <w:r w:rsidRPr="005935EF">
        <w:rPr>
          <w:rFonts w:asciiTheme="majorHAnsi" w:hAnsiTheme="majorHAnsi" w:cs="Calibri"/>
          <w:b/>
          <w:bCs/>
          <w:szCs w:val="22"/>
          <w:u w:val="single"/>
        </w:rPr>
        <w:t> generations</w:t>
      </w:r>
      <w:r w:rsidRPr="005935EF">
        <w:rPr>
          <w:rFonts w:asciiTheme="majorHAnsi" w:hAnsiTheme="majorHAnsi" w:cs="Calibri"/>
          <w:sz w:val="16"/>
          <w:szCs w:val="16"/>
        </w:rPr>
        <w:t> of intelligent persons. On his view, my life would contain vastly less well-being if (say) a year after my death the world came to an end. </w:t>
      </w:r>
      <w:r w:rsidRPr="005935EF">
        <w:rPr>
          <w:rFonts w:asciiTheme="majorHAnsi" w:hAnsiTheme="majorHAnsi" w:cs="Calibri"/>
          <w:szCs w:val="22"/>
          <w:u w:val="single"/>
        </w:rPr>
        <w:t>So obviously</w:t>
      </w:r>
      <w:r w:rsidRPr="005935EF">
        <w:rPr>
          <w:rFonts w:asciiTheme="majorHAnsi" w:hAnsiTheme="majorHAnsi" w:cs="Calibri"/>
          <w:sz w:val="16"/>
          <w:szCs w:val="16"/>
        </w:rPr>
        <w:t> if Scheffler were right </w:t>
      </w:r>
      <w:r w:rsidRPr="005935EF">
        <w:rPr>
          <w:rFonts w:asciiTheme="majorHAnsi" w:hAnsiTheme="majorHAnsi" w:cs="Calibri"/>
          <w:szCs w:val="22"/>
          <w:u w:val="single"/>
        </w:rPr>
        <w:t>I’d have very strong reason to reduce existential risk</w:t>
      </w:r>
      <w:r w:rsidRPr="005935EF">
        <w:rPr>
          <w:rFonts w:asciiTheme="majorHAnsi" w:hAnsiTheme="majorHAnsi" w:cs="Calibri"/>
          <w:sz w:val="16"/>
          <w:szCs w:val="16"/>
        </w:rPr>
        <w:t>. </w:t>
      </w:r>
      <w:r w:rsidRPr="005935EF">
        <w:rPr>
          <w:rFonts w:asciiTheme="majorHAnsi" w:hAnsiTheme="majorHAnsi" w:cs="Calibri"/>
          <w:b/>
          <w:bCs/>
          <w:szCs w:val="22"/>
          <w:u w:val="single"/>
        </w:rPr>
        <w:t xml:space="preserve">We should also </w:t>
      </w:r>
      <w:proofErr w:type="gramStart"/>
      <w:r w:rsidRPr="005935EF">
        <w:rPr>
          <w:rFonts w:asciiTheme="majorHAnsi" w:hAnsiTheme="majorHAnsi" w:cs="Calibri"/>
          <w:b/>
          <w:bCs/>
          <w:szCs w:val="22"/>
          <w:u w:val="single"/>
        </w:rPr>
        <w:t>take into account</w:t>
      </w:r>
      <w:proofErr w:type="gramEnd"/>
      <w:r w:rsidRPr="005935EF">
        <w:rPr>
          <w:rFonts w:asciiTheme="majorHAnsi" w:hAnsiTheme="majorHAnsi" w:cs="Calibri"/>
          <w:b/>
          <w:bCs/>
          <w:szCs w:val="22"/>
          <w:u w:val="single"/>
        </w:rPr>
        <w:t xml:space="preserve"> moral </w:t>
      </w:r>
      <w:r w:rsidRPr="005935EF">
        <w:rPr>
          <w:rFonts w:asciiTheme="majorHAnsi" w:hAnsiTheme="majorHAnsi" w:cs="Calibri"/>
          <w:b/>
          <w:bCs/>
          <w:szCs w:val="22"/>
          <w:u w:val="single"/>
          <w:shd w:val="clear" w:color="auto" w:fill="00FFFF"/>
        </w:rPr>
        <w:t>uncertainty.</w:t>
      </w:r>
      <w:r w:rsidRPr="005935EF">
        <w:rPr>
          <w:rFonts w:asciiTheme="majorHAnsi" w:hAnsiTheme="majorHAnsi" w:cs="Calibri"/>
          <w:sz w:val="16"/>
          <w:szCs w:val="16"/>
        </w:rPr>
        <w:t> W</w:t>
      </w:r>
      <w:r w:rsidRPr="005935EF">
        <w:rPr>
          <w:rFonts w:asciiTheme="majorHAnsi" w:hAnsiTheme="majorHAnsi" w:cs="Calibri"/>
          <w:szCs w:val="22"/>
          <w:u w:val="single"/>
        </w:rPr>
        <w:t>hat is it reasonable for one to do, when one is uncertain</w:t>
      </w:r>
      <w:r w:rsidRPr="005935EF">
        <w:rPr>
          <w:rFonts w:asciiTheme="majorHAnsi" w:hAnsiTheme="majorHAnsi" w:cs="Calibri"/>
          <w:sz w:val="16"/>
          <w:szCs w:val="16"/>
        </w:rPr>
        <w:t> not (only</w:t>
      </w:r>
      <w:r w:rsidRPr="005935EF">
        <w:rPr>
          <w:rFonts w:asciiTheme="majorHAnsi" w:hAnsiTheme="majorHAnsi" w:cs="Calibri"/>
          <w:szCs w:val="22"/>
          <w:u w:val="single"/>
        </w:rPr>
        <w:t>) about</w:t>
      </w:r>
      <w:r w:rsidRPr="005935EF">
        <w:rPr>
          <w:rFonts w:asciiTheme="majorHAnsi" w:hAnsiTheme="majorHAnsi" w:cs="Calibri"/>
          <w:sz w:val="16"/>
          <w:szCs w:val="16"/>
        </w:rPr>
        <w:t> the empirical facts, but also about the </w:t>
      </w:r>
      <w:r w:rsidRPr="005935EF">
        <w:rPr>
          <w:rFonts w:asciiTheme="majorHAnsi" w:hAnsiTheme="majorHAnsi" w:cs="Calibri"/>
          <w:szCs w:val="22"/>
          <w:u w:val="single"/>
        </w:rPr>
        <w:t>moral facts?</w:t>
      </w:r>
      <w:r w:rsidRPr="005935EF">
        <w:rPr>
          <w:rFonts w:asciiTheme="majorHAnsi" w:hAnsiTheme="majorHAnsi" w:cs="Calibri"/>
          <w:sz w:val="16"/>
          <w:szCs w:val="16"/>
        </w:rPr>
        <w:t> I’ve just argued that there’s agreement among minimally plausible ethical views that we have strong reason to reduce existential risk – not only consequentialists, but also deontologists, virtue ethicists, and sophisticated egoists should agree. But even </w:t>
      </w:r>
      <w:r w:rsidRPr="005935EF">
        <w:rPr>
          <w:rFonts w:asciiTheme="majorHAnsi" w:hAnsiTheme="majorHAnsi" w:cs="Calibri"/>
          <w:szCs w:val="22"/>
          <w:u w:val="single"/>
        </w:rPr>
        <w:t>those </w:t>
      </w:r>
      <w:r w:rsidRPr="005935EF">
        <w:rPr>
          <w:rFonts w:asciiTheme="majorHAnsi" w:hAnsiTheme="majorHAnsi" w:cs="Calibri"/>
          <w:sz w:val="16"/>
          <w:szCs w:val="16"/>
        </w:rPr>
        <w:t>(hedonistic egoists) </w:t>
      </w:r>
      <w:r w:rsidRPr="005935EF">
        <w:rPr>
          <w:rFonts w:asciiTheme="majorHAnsi" w:hAnsiTheme="majorHAnsi" w:cs="Calibri"/>
          <w:b/>
          <w:bCs/>
          <w:szCs w:val="22"/>
          <w:u w:val="single"/>
        </w:rPr>
        <w:t>who disagree should have a significant level of confidence that they are mistaken,</w:t>
      </w:r>
      <w:r w:rsidRPr="005935EF">
        <w:rPr>
          <w:rFonts w:asciiTheme="majorHAnsi" w:hAnsiTheme="majorHAnsi" w:cs="Calibri"/>
          <w:sz w:val="16"/>
          <w:szCs w:val="16"/>
        </w:rPr>
        <w:t> and that one of the above views is correct. </w:t>
      </w:r>
      <w:r w:rsidRPr="005935EF">
        <w:rPr>
          <w:rFonts w:asciiTheme="majorHAnsi" w:hAnsiTheme="majorHAnsi" w:cs="Calibri"/>
          <w:szCs w:val="22"/>
          <w:u w:val="single"/>
          <w:shd w:val="clear" w:color="auto" w:fill="00FFFF"/>
        </w:rPr>
        <w:t>Even if they were 90% sure that their view is the correct one</w:t>
      </w:r>
      <w:r w:rsidRPr="005935EF">
        <w:rPr>
          <w:rFonts w:asciiTheme="majorHAnsi" w:hAnsiTheme="majorHAnsi" w:cs="Calibri"/>
          <w:sz w:val="16"/>
          <w:szCs w:val="16"/>
          <w:shd w:val="clear" w:color="auto" w:fill="00FFFF"/>
        </w:rPr>
        <w:t> </w:t>
      </w:r>
      <w:r w:rsidRPr="005935EF">
        <w:rPr>
          <w:rFonts w:asciiTheme="majorHAnsi" w:hAnsiTheme="majorHAnsi" w:cs="Calibri"/>
          <w:sz w:val="16"/>
          <w:szCs w:val="16"/>
        </w:rPr>
        <w:t>(and 10% sure that one of these other ones is correct), </w:t>
      </w:r>
      <w:r w:rsidRPr="005935EF">
        <w:rPr>
          <w:rFonts w:asciiTheme="majorHAnsi" w:hAnsiTheme="majorHAnsi" w:cs="Calibri"/>
          <w:b/>
          <w:bCs/>
          <w:szCs w:val="22"/>
          <w:u w:val="single"/>
          <w:shd w:val="clear" w:color="auto" w:fill="00FFFF"/>
        </w:rPr>
        <w:t xml:space="preserve">they would have </w:t>
      </w:r>
      <w:proofErr w:type="gramStart"/>
      <w:r w:rsidRPr="005935EF">
        <w:rPr>
          <w:rFonts w:asciiTheme="majorHAnsi" w:hAnsiTheme="majorHAnsi" w:cs="Calibri"/>
          <w:b/>
          <w:bCs/>
          <w:szCs w:val="22"/>
          <w:u w:val="single"/>
          <w:shd w:val="clear" w:color="auto" w:fill="00FFFF"/>
        </w:rPr>
        <w:t>pretty strong</w:t>
      </w:r>
      <w:proofErr w:type="gramEnd"/>
      <w:r w:rsidRPr="005935EF">
        <w:rPr>
          <w:rFonts w:asciiTheme="majorHAnsi" w:hAnsiTheme="majorHAnsi" w:cs="Calibri"/>
          <w:b/>
          <w:bCs/>
          <w:szCs w:val="22"/>
          <w:u w:val="single"/>
          <w:shd w:val="clear" w:color="auto" w:fill="00FFFF"/>
        </w:rPr>
        <w:t xml:space="preserve"> reason,</w:t>
      </w:r>
      <w:r w:rsidRPr="005935EF">
        <w:rPr>
          <w:rFonts w:asciiTheme="majorHAnsi" w:hAnsiTheme="majorHAnsi" w:cs="Calibri"/>
          <w:b/>
          <w:bCs/>
          <w:szCs w:val="22"/>
          <w:u w:val="single"/>
        </w:rPr>
        <w:t> from the standpoint of moral uncertainty, </w:t>
      </w:r>
      <w:r w:rsidRPr="005935EF">
        <w:rPr>
          <w:rFonts w:asciiTheme="majorHAnsi" w:hAnsiTheme="majorHAnsi" w:cs="Calibri"/>
          <w:b/>
          <w:bCs/>
          <w:szCs w:val="22"/>
          <w:u w:val="single"/>
          <w:shd w:val="clear" w:color="auto" w:fill="00FFFF"/>
        </w:rPr>
        <w:t>to reduce existential risk</w:t>
      </w:r>
      <w:r w:rsidRPr="005935EF">
        <w:rPr>
          <w:rFonts w:asciiTheme="majorHAnsi" w:hAnsiTheme="majorHAnsi" w:cs="Calibri"/>
          <w:sz w:val="16"/>
          <w:szCs w:val="16"/>
        </w:rPr>
        <w:t>. Perhaps most disturbingly still, </w:t>
      </w:r>
      <w:r w:rsidRPr="005935EF">
        <w:rPr>
          <w:rFonts w:asciiTheme="majorHAnsi" w:hAnsiTheme="majorHAnsi" w:cs="Calibri"/>
          <w:szCs w:val="22"/>
          <w:u w:val="single"/>
          <w:shd w:val="clear" w:color="auto" w:fill="00FFFF"/>
        </w:rPr>
        <w:t>even if we are only 1% sure that the well-being of possible future people </w:t>
      </w:r>
      <w:r w:rsidRPr="005935EF">
        <w:rPr>
          <w:rFonts w:asciiTheme="majorHAnsi" w:hAnsiTheme="majorHAnsi" w:cs="Calibri"/>
          <w:szCs w:val="22"/>
          <w:u w:val="single"/>
        </w:rPr>
        <w:t>matters</w:t>
      </w:r>
      <w:r w:rsidRPr="005935EF">
        <w:rPr>
          <w:rFonts w:asciiTheme="majorHAnsi" w:hAnsiTheme="majorHAnsi" w:cs="Calibri"/>
          <w:sz w:val="16"/>
          <w:szCs w:val="16"/>
        </w:rPr>
        <w:t>, it is at least arguable that, from the standpoint of moral uncertainty, </w:t>
      </w:r>
      <w:r w:rsidRPr="005935EF">
        <w:rPr>
          <w:rFonts w:asciiTheme="majorHAnsi" w:hAnsiTheme="majorHAnsi" w:cs="Calibri"/>
          <w:b/>
          <w:bCs/>
          <w:szCs w:val="22"/>
          <w:u w:val="single"/>
        </w:rPr>
        <w:t>reducing existential risk is the most important thing in the world</w:t>
      </w:r>
      <w:r w:rsidRPr="005935EF">
        <w:rPr>
          <w:rFonts w:asciiTheme="majorHAnsi" w:hAnsiTheme="majorHAnsi" w:cs="Calibri"/>
          <w:sz w:val="16"/>
          <w:szCs w:val="16"/>
        </w:rPr>
        <w:t>. Again, this is largely </w:t>
      </w:r>
      <w:proofErr w:type="gramStart"/>
      <w:r w:rsidRPr="005935EF">
        <w:rPr>
          <w:rFonts w:asciiTheme="majorHAnsi" w:hAnsiTheme="majorHAnsi" w:cs="Calibri"/>
          <w:szCs w:val="22"/>
          <w:u w:val="single"/>
        </w:rPr>
        <w:t>for the reason that</w:t>
      </w:r>
      <w:proofErr w:type="gramEnd"/>
      <w:r w:rsidRPr="005935EF">
        <w:rPr>
          <w:rFonts w:asciiTheme="majorHAnsi" w:hAnsiTheme="majorHAnsi" w:cs="Calibri"/>
          <w:szCs w:val="22"/>
          <w:u w:val="single"/>
        </w:rPr>
        <w:t xml:space="preserve"> there are so many people who could exist in the future –</w:t>
      </w:r>
      <w:r w:rsidRPr="005935EF">
        <w:rPr>
          <w:rFonts w:asciiTheme="majorHAnsi" w:hAnsiTheme="majorHAnsi" w:cs="Calibri"/>
          <w:sz w:val="16"/>
          <w:szCs w:val="16"/>
        </w:rPr>
        <w:t> there are trillions upon trillions… upon trillions. (For more on this and other related issues, see this excellent dissertation</w:t>
      </w:r>
      <w:r w:rsidRPr="005935EF">
        <w:rPr>
          <w:rFonts w:asciiTheme="majorHAnsi" w:hAnsiTheme="majorHAnsi" w:cs="Calibri"/>
          <w:szCs w:val="22"/>
          <w:u w:val="single"/>
        </w:rPr>
        <w:t>). Of course, it is uncertain whether these untold trillions would, in general, have good lives</w:t>
      </w:r>
      <w:r w:rsidRPr="005935EF">
        <w:rPr>
          <w:rFonts w:asciiTheme="majorHAnsi" w:hAnsiTheme="majorHAnsi" w:cs="Calibri"/>
          <w:sz w:val="16"/>
          <w:szCs w:val="16"/>
        </w:rPr>
        <w:t>. It’s possible they’ll be miserable</w:t>
      </w:r>
      <w:r w:rsidRPr="005935EF">
        <w:rPr>
          <w:rFonts w:asciiTheme="majorHAnsi" w:hAnsiTheme="majorHAnsi" w:cs="Calibri"/>
          <w:szCs w:val="22"/>
          <w:u w:val="single"/>
        </w:rPr>
        <w:t>. It is enough</w:t>
      </w:r>
      <w:r w:rsidRPr="005935EF">
        <w:rPr>
          <w:rFonts w:asciiTheme="majorHAnsi" w:hAnsiTheme="majorHAnsi" w:cs="Calibri"/>
          <w:sz w:val="16"/>
          <w:szCs w:val="16"/>
        </w:rPr>
        <w:t> for my claim </w:t>
      </w:r>
      <w:r w:rsidRPr="005935EF">
        <w:rPr>
          <w:rFonts w:asciiTheme="majorHAnsi" w:hAnsiTheme="majorHAnsi" w:cs="Calibri"/>
          <w:szCs w:val="22"/>
          <w:u w:val="single"/>
        </w:rPr>
        <w:t>that there is moral agreement in the relevant sense if, at least given certain empirical claims about what future lives would most likely be like, all minimally plausible moral views would converge on the conclusion that we should try to save the world</w:t>
      </w:r>
      <w:r w:rsidRPr="005935EF">
        <w:rPr>
          <w:rFonts w:asciiTheme="majorHAnsi" w:hAnsiTheme="majorHAnsi" w:cs="Calibri"/>
          <w:sz w:val="16"/>
          <w:szCs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5935EF">
        <w:rPr>
          <w:rFonts w:asciiTheme="majorHAnsi" w:hAnsiTheme="majorHAnsi" w:cs="Calibri"/>
          <w:sz w:val="16"/>
          <w:szCs w:val="16"/>
        </w:rPr>
        <w:t>fairly implausible</w:t>
      </w:r>
      <w:proofErr w:type="gramEnd"/>
      <w:r w:rsidRPr="005935EF">
        <w:rPr>
          <w:rFonts w:asciiTheme="majorHAnsi" w:hAnsiTheme="majorHAnsi" w:cs="Calibri"/>
          <w:sz w:val="16"/>
          <w:szCs w:val="16"/>
        </w:rPr>
        <w:t xml:space="preserve"> views. And </w:t>
      </w:r>
      <w:r w:rsidRPr="005935EF">
        <w:rPr>
          <w:rFonts w:asciiTheme="majorHAnsi" w:hAnsiTheme="majorHAnsi" w:cs="Calibri"/>
          <w:szCs w:val="22"/>
          <w:u w:val="single"/>
        </w:rPr>
        <w:t xml:space="preserve">even if things did not go well for our ancestors, I am optimistic that they will overall go fantastically well for our </w:t>
      </w:r>
      <w:proofErr w:type="gramStart"/>
      <w:r w:rsidRPr="005935EF">
        <w:rPr>
          <w:rFonts w:asciiTheme="majorHAnsi" w:hAnsiTheme="majorHAnsi" w:cs="Calibri"/>
          <w:szCs w:val="22"/>
          <w:u w:val="single"/>
        </w:rPr>
        <w:t>descendants, if</w:t>
      </w:r>
      <w:proofErr w:type="gramEnd"/>
      <w:r w:rsidRPr="005935EF">
        <w:rPr>
          <w:rFonts w:asciiTheme="majorHAnsi" w:hAnsiTheme="majorHAnsi" w:cs="Calibri"/>
          <w:szCs w:val="22"/>
          <w:u w:val="single"/>
        </w:rPr>
        <w:t xml:space="preserve"> we allow them to</w:t>
      </w:r>
      <w:r w:rsidRPr="005935EF">
        <w:rPr>
          <w:rFonts w:asciiTheme="majorHAnsi" w:hAnsiTheme="majorHAnsi" w:cs="Calibri"/>
          <w:sz w:val="16"/>
          <w:szCs w:val="16"/>
        </w:rPr>
        <w:t>. I suspect that </w:t>
      </w:r>
      <w:r w:rsidRPr="005935EF">
        <w:rPr>
          <w:rFonts w:asciiTheme="majorHAnsi" w:hAnsiTheme="majorHAnsi" w:cs="Calibri"/>
          <w:szCs w:val="22"/>
          <w:u w:val="single"/>
        </w:rPr>
        <w:t>most of us alive today</w:t>
      </w:r>
      <w:r w:rsidRPr="005935EF">
        <w:rPr>
          <w:rFonts w:asciiTheme="majorHAnsi" w:hAnsiTheme="majorHAnsi" w:cs="Calibri"/>
          <w:sz w:val="16"/>
          <w:szCs w:val="16"/>
        </w:rPr>
        <w:t> – at least those of us not suffering from extreme illness or poverty – </w:t>
      </w:r>
      <w:r w:rsidRPr="005935EF">
        <w:rPr>
          <w:rFonts w:asciiTheme="majorHAnsi" w:hAnsiTheme="majorHAnsi" w:cs="Calibri"/>
          <w:szCs w:val="22"/>
          <w:u w:val="single"/>
        </w:rPr>
        <w:t>have lives that are well worth living, and that things will continue to improve</w:t>
      </w:r>
      <w:r w:rsidRPr="005935EF">
        <w:rPr>
          <w:rFonts w:asciiTheme="majorHAnsi" w:hAnsiTheme="majorHAnsi" w:cs="Calibri"/>
          <w:sz w:val="16"/>
          <w:szCs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 </w:t>
      </w:r>
    </w:p>
    <w:p w14:paraId="65D986A6" w14:textId="77777777" w:rsidR="005446DC" w:rsidRPr="005935EF" w:rsidRDefault="005446DC" w:rsidP="005446DC">
      <w:pPr>
        <w:spacing w:line="360" w:lineRule="auto"/>
        <w:textAlignment w:val="baseline"/>
        <w:rPr>
          <w:rFonts w:asciiTheme="majorHAnsi" w:hAnsiTheme="majorHAnsi" w:cs="Segoe UI"/>
          <w:i/>
          <w:iCs/>
          <w:color w:val="2F5496"/>
          <w:sz w:val="18"/>
          <w:szCs w:val="18"/>
        </w:rPr>
      </w:pPr>
      <w:r w:rsidRPr="005935EF">
        <w:rPr>
          <w:rFonts w:asciiTheme="majorHAnsi" w:hAnsiTheme="majorHAnsi" w:cs="Calibri"/>
          <w:i/>
          <w:iCs/>
          <w:color w:val="2F5496"/>
          <w:sz w:val="26"/>
          <w:szCs w:val="26"/>
        </w:rPr>
        <w:t> </w:t>
      </w:r>
    </w:p>
    <w:p w14:paraId="650F68E4" w14:textId="77777777" w:rsidR="005446DC" w:rsidRPr="005935EF" w:rsidRDefault="005446DC" w:rsidP="005446DC">
      <w:pPr>
        <w:pStyle w:val="Heading4"/>
        <w:spacing w:line="360" w:lineRule="auto"/>
        <w:rPr>
          <w:rFonts w:asciiTheme="majorHAnsi" w:hAnsiTheme="majorHAnsi" w:cs="Segoe UI"/>
          <w:sz w:val="18"/>
          <w:szCs w:val="18"/>
        </w:rPr>
      </w:pPr>
      <w:r w:rsidRPr="005935EF">
        <w:rPr>
          <w:rFonts w:asciiTheme="majorHAnsi" w:hAnsiTheme="majorHAnsi" w:cs="Segoe UI"/>
          <w:sz w:val="18"/>
          <w:szCs w:val="18"/>
        </w:rPr>
        <w:lastRenderedPageBreak/>
        <w:t>4</w:t>
      </w:r>
      <w:r w:rsidRPr="005935EF">
        <w:rPr>
          <w:rFonts w:asciiTheme="majorHAnsi" w:hAnsiTheme="majorHAnsi"/>
        </w:rPr>
        <w:t xml:space="preserve">] Util is a lexical pre-requisite to any other framework: Threats to bodily security </w:t>
      </w:r>
      <w:proofErr w:type="gramStart"/>
      <w:r w:rsidRPr="005935EF">
        <w:rPr>
          <w:rFonts w:asciiTheme="majorHAnsi" w:hAnsiTheme="majorHAnsi"/>
        </w:rPr>
        <w:t>and </w:t>
      </w:r>
      <w:r w:rsidRPr="005935EF">
        <w:rPr>
          <w:rFonts w:asciiTheme="majorHAnsi" w:hAnsiTheme="majorHAnsi" w:cs="Segoe UI"/>
          <w:sz w:val="18"/>
          <w:szCs w:val="18"/>
        </w:rPr>
        <w:t xml:space="preserve"> </w:t>
      </w:r>
      <w:r w:rsidRPr="005935EF">
        <w:rPr>
          <w:rFonts w:asciiTheme="majorHAnsi" w:hAnsiTheme="majorHAnsi"/>
        </w:rPr>
        <w:t>life</w:t>
      </w:r>
      <w:proofErr w:type="gramEnd"/>
      <w:r w:rsidRPr="005935EF">
        <w:rPr>
          <w:rFonts w:asciiTheme="majorHAnsi" w:hAnsiTheme="majorHAnsi"/>
        </w:rPr>
        <w:t xml:space="preserve"> preclude the ability for moral actors to effectively utilize and act upon other moral </w:t>
      </w:r>
      <w:r w:rsidRPr="005935EF">
        <w:rPr>
          <w:rFonts w:asciiTheme="majorHAnsi" w:hAnsiTheme="majorHAnsi" w:cs="Segoe UI"/>
          <w:sz w:val="18"/>
          <w:szCs w:val="18"/>
        </w:rPr>
        <w:t xml:space="preserve"> </w:t>
      </w:r>
      <w:r w:rsidRPr="005935EF">
        <w:rPr>
          <w:rFonts w:asciiTheme="majorHAnsi" w:hAnsiTheme="majorHAnsi"/>
        </w:rPr>
        <w:t>theories since they are in a constant state of crisis – that inhibits the ideal moral </w:t>
      </w:r>
      <w:r w:rsidRPr="005935EF">
        <w:rPr>
          <w:rFonts w:asciiTheme="majorHAnsi" w:hAnsiTheme="majorHAnsi" w:cs="Segoe UI"/>
          <w:sz w:val="18"/>
          <w:szCs w:val="18"/>
        </w:rPr>
        <w:t xml:space="preserve"> </w:t>
      </w:r>
      <w:r w:rsidRPr="005935EF">
        <w:rPr>
          <w:rFonts w:asciiTheme="majorHAnsi" w:hAnsiTheme="majorHAnsi"/>
        </w:rPr>
        <w:t>conditions which other theories presuppose. </w:t>
      </w:r>
    </w:p>
    <w:p w14:paraId="1B37E3D3" w14:textId="77777777" w:rsidR="005446DC" w:rsidRPr="005935EF" w:rsidRDefault="005446DC" w:rsidP="005446DC">
      <w:pPr>
        <w:spacing w:line="360" w:lineRule="auto"/>
        <w:rPr>
          <w:rFonts w:asciiTheme="majorHAnsi" w:hAnsiTheme="majorHAnsi" w:cs="Segoe UI"/>
          <w:sz w:val="18"/>
          <w:szCs w:val="18"/>
        </w:rPr>
      </w:pPr>
      <w:r w:rsidRPr="005935EF">
        <w:rPr>
          <w:rFonts w:asciiTheme="majorHAnsi" w:hAnsiTheme="majorHAnsi"/>
        </w:rPr>
        <w:t>  </w:t>
      </w:r>
    </w:p>
    <w:p w14:paraId="6A1FFE02" w14:textId="4F9160B5" w:rsidR="005446DC" w:rsidRPr="005935EF" w:rsidRDefault="005446DC" w:rsidP="005446DC">
      <w:pPr>
        <w:pStyle w:val="Heading2"/>
        <w:spacing w:line="360" w:lineRule="auto"/>
        <w:rPr>
          <w:rFonts w:asciiTheme="majorHAnsi" w:hAnsiTheme="majorHAnsi"/>
        </w:rPr>
      </w:pPr>
      <w:proofErr w:type="spellStart"/>
      <w:r w:rsidRPr="005935EF">
        <w:rPr>
          <w:rFonts w:asciiTheme="majorHAnsi" w:hAnsiTheme="majorHAnsi"/>
        </w:rPr>
        <w:lastRenderedPageBreak/>
        <w:t>africa</w:t>
      </w:r>
      <w:proofErr w:type="spellEnd"/>
      <w:r w:rsidRPr="005935EF">
        <w:rPr>
          <w:rFonts w:asciiTheme="majorHAnsi" w:hAnsiTheme="majorHAnsi"/>
        </w:rPr>
        <w:t xml:space="preserve"> da</w:t>
      </w:r>
      <w:r>
        <w:rPr>
          <w:rFonts w:asciiTheme="majorHAnsi" w:hAnsiTheme="majorHAnsi"/>
        </w:rPr>
        <w:t xml:space="preserve"> </w:t>
      </w:r>
    </w:p>
    <w:p w14:paraId="68607EFF" w14:textId="77777777" w:rsidR="005446DC" w:rsidRPr="005935EF" w:rsidRDefault="005446DC" w:rsidP="005446DC">
      <w:pPr>
        <w:pStyle w:val="Heading4"/>
        <w:spacing w:line="360" w:lineRule="auto"/>
        <w:rPr>
          <w:rFonts w:asciiTheme="majorHAnsi" w:hAnsiTheme="majorHAnsi"/>
          <w:sz w:val="18"/>
          <w:szCs w:val="18"/>
        </w:rPr>
      </w:pPr>
      <w:r w:rsidRPr="005935EF">
        <w:rPr>
          <w:rFonts w:asciiTheme="majorHAnsi" w:hAnsiTheme="majorHAnsi"/>
        </w:rPr>
        <w:t>Russia is challenging US dominance in Africa  </w:t>
      </w:r>
    </w:p>
    <w:p w14:paraId="58F4E888" w14:textId="77777777" w:rsidR="005446DC" w:rsidRPr="005935EF" w:rsidRDefault="005446DC" w:rsidP="005446DC">
      <w:pPr>
        <w:spacing w:line="360" w:lineRule="auto"/>
        <w:textAlignment w:val="baseline"/>
        <w:rPr>
          <w:rFonts w:asciiTheme="majorHAnsi" w:hAnsiTheme="majorHAnsi" w:cs="Segoe UI"/>
          <w:sz w:val="18"/>
          <w:szCs w:val="18"/>
        </w:rPr>
      </w:pPr>
      <w:r w:rsidRPr="005935EF">
        <w:rPr>
          <w:rFonts w:asciiTheme="majorHAnsi" w:hAnsiTheme="majorHAnsi" w:cs="Segoe UI"/>
          <w:b/>
          <w:bCs/>
          <w:u w:val="single"/>
        </w:rPr>
        <w:t>Smith 9-13</w:t>
      </w:r>
      <w:r w:rsidRPr="005935EF">
        <w:rPr>
          <w:rFonts w:asciiTheme="majorHAnsi" w:hAnsiTheme="majorHAnsi" w:cs="Segoe UI"/>
          <w:szCs w:val="22"/>
        </w:rPr>
        <w:t>-2021 [Elliot Smith, September 13, 2021, CNBC, “Russia is building its military influence in Africa, challenging U.S. and French dominance” </w:t>
      </w:r>
      <w:hyperlink r:id="rId6" w:tgtFrame="_blank" w:history="1">
        <w:r w:rsidRPr="005935EF">
          <w:rPr>
            <w:rFonts w:asciiTheme="majorHAnsi" w:hAnsiTheme="majorHAnsi" w:cs="Segoe UI"/>
            <w:szCs w:val="22"/>
          </w:rPr>
          <w:t>https://www.cnbc.com/2021/09/13/russia-is-building-military-influence-in-africa-challenging-us-france.html</w:t>
        </w:r>
      </w:hyperlink>
      <w:r w:rsidRPr="005935EF">
        <w:rPr>
          <w:rFonts w:asciiTheme="majorHAnsi" w:hAnsiTheme="majorHAnsi" w:cs="Segoe UI"/>
          <w:szCs w:val="22"/>
        </w:rPr>
        <w:t>] //neth  </w:t>
      </w:r>
    </w:p>
    <w:p w14:paraId="468998D3" w14:textId="77777777" w:rsidR="005446DC" w:rsidRPr="005935EF" w:rsidRDefault="005446DC" w:rsidP="005446DC">
      <w:pPr>
        <w:spacing w:line="360" w:lineRule="auto"/>
        <w:textAlignment w:val="baseline"/>
        <w:rPr>
          <w:rFonts w:asciiTheme="majorHAnsi" w:hAnsiTheme="majorHAnsi" w:cs="Segoe UI"/>
          <w:sz w:val="16"/>
          <w:szCs w:val="16"/>
        </w:rPr>
      </w:pPr>
      <w:r w:rsidRPr="005935EF">
        <w:rPr>
          <w:rFonts w:asciiTheme="majorHAnsi" w:hAnsiTheme="majorHAnsi" w:cs="Segoe UI"/>
          <w:szCs w:val="22"/>
          <w:u w:val="single"/>
        </w:rPr>
        <w:t>In the past two months alone</w:t>
      </w:r>
      <w:r w:rsidRPr="005935EF">
        <w:rPr>
          <w:rFonts w:asciiTheme="majorHAnsi" w:hAnsiTheme="majorHAnsi" w:cs="Segoe UI"/>
          <w:szCs w:val="22"/>
          <w:u w:val="single"/>
          <w:shd w:val="clear" w:color="auto" w:fill="00FF00"/>
        </w:rPr>
        <w:t>, Russia has signed military cooperation agreements with Nigeria and Ethiopia, Africa’s two most populous nations.</w:t>
      </w:r>
      <w:r w:rsidRPr="005935EF">
        <w:rPr>
          <w:rFonts w:asciiTheme="majorHAnsi" w:hAnsiTheme="majorHAnsi" w:cs="Segoe UI"/>
          <w:szCs w:val="22"/>
          <w:u w:val="single"/>
        </w:rPr>
        <w:t> </w:t>
      </w:r>
      <w:r w:rsidRPr="005935EF">
        <w:rPr>
          <w:rFonts w:asciiTheme="majorHAnsi" w:hAnsiTheme="majorHAnsi" w:cs="Segoe UI"/>
          <w:sz w:val="16"/>
          <w:szCs w:val="16"/>
        </w:rPr>
        <w:t>The Stockholm International Peace Research Institute estimates that Africa accounted for 18% of Russian arms exports between 2016 and 2020. Russian mercenaries have also provided direct assistance to governments in Libya and the Central African Republic, according to the U.N. However, the Kremlin has denied links to the Wagner Group, a paramilitary organization alleged by the U.N. to be aiding human rights abuses in the region. “A group of Russian instructors was sent to the CAR at the request of its leaders and with the knowledge of the UN Security Council Sanctions Committee on the CAR established by Resolution 2127,” a Russian foreign ministry statement said in July. “Indicatively, none of them has taken part in combat operations.” Reuters reported in July that U.S. lawmakers had stalled a planned $1 billion weapons sale to Nigeria over allegations of human rights abuses by the government. Less than a month later, Russia signed a deal with President Muhammadu Buhari’s administration to supply military equipment, </w:t>
      </w:r>
      <w:proofErr w:type="gramStart"/>
      <w:r w:rsidRPr="005935EF">
        <w:rPr>
          <w:rFonts w:asciiTheme="majorHAnsi" w:hAnsiTheme="majorHAnsi" w:cs="Segoe UI"/>
          <w:sz w:val="16"/>
          <w:szCs w:val="16"/>
        </w:rPr>
        <w:t>training</w:t>
      </w:r>
      <w:proofErr w:type="gramEnd"/>
      <w:r w:rsidRPr="005935EF">
        <w:rPr>
          <w:rFonts w:asciiTheme="majorHAnsi" w:hAnsiTheme="majorHAnsi" w:cs="Segoe UI"/>
          <w:sz w:val="16"/>
          <w:szCs w:val="16"/>
        </w:rPr>
        <w:t> and technology to Nigerian forces. Although historically a key diplomatic and trade partner of the U.S., Buhari’s government found itself at odds with Washington amid the #EndSARS protests in 2020, and again after a recent fallout with Twitter. Meanwhile, Islamist militant groups such as Boko Haram and the Islamic State’s West Africa Province have </w:t>
      </w:r>
      <w:proofErr w:type="spellStart"/>
      <w:r w:rsidRPr="005935EF">
        <w:rPr>
          <w:rFonts w:asciiTheme="majorHAnsi" w:hAnsiTheme="majorHAnsi" w:cs="Segoe UI"/>
          <w:sz w:val="16"/>
          <w:szCs w:val="16"/>
        </w:rPr>
        <w:t>cotinued</w:t>
      </w:r>
      <w:proofErr w:type="spellEnd"/>
      <w:r w:rsidRPr="005935EF">
        <w:rPr>
          <w:rFonts w:asciiTheme="majorHAnsi" w:hAnsiTheme="majorHAnsi" w:cs="Segoe UI"/>
          <w:sz w:val="16"/>
          <w:szCs w:val="16"/>
        </w:rPr>
        <w:t> to wreak havoc in the northeast of the country. </w:t>
      </w:r>
      <w:r w:rsidRPr="005935EF">
        <w:rPr>
          <w:rFonts w:asciiTheme="majorHAnsi" w:hAnsiTheme="majorHAnsi" w:cs="Segoe UI"/>
          <w:szCs w:val="22"/>
          <w:u w:val="single"/>
        </w:rPr>
        <w:t>This confluence of factors paving the way for </w:t>
      </w:r>
      <w:r w:rsidRPr="005935EF">
        <w:rPr>
          <w:rFonts w:asciiTheme="majorHAnsi" w:hAnsiTheme="majorHAnsi" w:cs="Segoe UI"/>
          <w:szCs w:val="22"/>
          <w:u w:val="single"/>
          <w:shd w:val="clear" w:color="auto" w:fill="00FF00"/>
        </w:rPr>
        <w:t>Russian influence-building was also at play in Ethiopia</w:t>
      </w:r>
      <w:r w:rsidRPr="005935EF">
        <w:rPr>
          <w:rFonts w:asciiTheme="majorHAnsi" w:hAnsiTheme="majorHAnsi" w:cs="Segoe UI"/>
          <w:sz w:val="16"/>
          <w:szCs w:val="16"/>
        </w:rPr>
        <w:t>. Russia has provided support for Prime Minister Abiy Ahmed’s government after Western governments balked at his forces’ military response to an insurgency in northern Tigray. Ethiopia felt the U.S. </w:t>
      </w:r>
      <w:proofErr w:type="gramStart"/>
      <w:r w:rsidRPr="005935EF">
        <w:rPr>
          <w:rFonts w:asciiTheme="majorHAnsi" w:hAnsiTheme="majorHAnsi" w:cs="Segoe UI"/>
          <w:sz w:val="16"/>
          <w:szCs w:val="16"/>
        </w:rPr>
        <w:t>in particular was</w:t>
      </w:r>
      <w:proofErr w:type="gramEnd"/>
      <w:r w:rsidRPr="005935EF">
        <w:rPr>
          <w:rFonts w:asciiTheme="majorHAnsi" w:hAnsiTheme="majorHAnsi" w:cs="Segoe UI"/>
          <w:sz w:val="16"/>
          <w:szCs w:val="16"/>
        </w:rPr>
        <w:t> aligning with Egypt in the ongoing dispute over the Grand Ethiopian Renaissance Dam. U.S. Secretary of State Antony </w:t>
      </w:r>
      <w:proofErr w:type="spellStart"/>
      <w:r w:rsidRPr="005935EF">
        <w:rPr>
          <w:rFonts w:asciiTheme="majorHAnsi" w:hAnsiTheme="majorHAnsi" w:cs="Segoe UI"/>
          <w:sz w:val="16"/>
          <w:szCs w:val="16"/>
        </w:rPr>
        <w:t>Blinken</w:t>
      </w:r>
      <w:proofErr w:type="spellEnd"/>
      <w:r w:rsidRPr="005935EF">
        <w:rPr>
          <w:rFonts w:asciiTheme="majorHAnsi" w:hAnsiTheme="majorHAnsi" w:cs="Segoe UI"/>
          <w:sz w:val="16"/>
          <w:szCs w:val="16"/>
        </w:rPr>
        <w:t> further evoked the ire of Addis Ababa in March by accusing forces in Tigray of “ethnic cleansing.” Russian Foreign Minister Sergey Lavrov then met with Ethiopian counterpart </w:t>
      </w:r>
      <w:proofErr w:type="spellStart"/>
      <w:r w:rsidRPr="005935EF">
        <w:rPr>
          <w:rFonts w:asciiTheme="majorHAnsi" w:hAnsiTheme="majorHAnsi" w:cs="Segoe UI"/>
          <w:sz w:val="16"/>
          <w:szCs w:val="16"/>
        </w:rPr>
        <w:t>Demeke</w:t>
      </w:r>
      <w:proofErr w:type="spellEnd"/>
      <w:r w:rsidRPr="005935EF">
        <w:rPr>
          <w:rFonts w:asciiTheme="majorHAnsi" w:hAnsiTheme="majorHAnsi" w:cs="Segoe UI"/>
          <w:sz w:val="16"/>
          <w:szCs w:val="16"/>
        </w:rPr>
        <w:t> </w:t>
      </w:r>
      <w:proofErr w:type="spellStart"/>
      <w:r w:rsidRPr="005935EF">
        <w:rPr>
          <w:rFonts w:asciiTheme="majorHAnsi" w:hAnsiTheme="majorHAnsi" w:cs="Segoe UI"/>
          <w:sz w:val="16"/>
          <w:szCs w:val="16"/>
        </w:rPr>
        <w:t>Mekonnen</w:t>
      </w:r>
      <w:proofErr w:type="spellEnd"/>
      <w:r w:rsidRPr="005935EF">
        <w:rPr>
          <w:rFonts w:asciiTheme="majorHAnsi" w:hAnsiTheme="majorHAnsi" w:cs="Segoe UI"/>
          <w:sz w:val="16"/>
          <w:szCs w:val="16"/>
        </w:rPr>
        <w:t> in June. Moscow proceeded with the deployment of election observers to Ethiopia, whereas the EU withdrew its observers, citing “ongoing violence across the country, human rights violations and political tensions, harassment of media workers and detained opposition members.” </w:t>
      </w:r>
      <w:r w:rsidRPr="005935EF">
        <w:rPr>
          <w:rFonts w:asciiTheme="majorHAnsi" w:hAnsiTheme="majorHAnsi" w:cs="Segoe UI"/>
          <w:szCs w:val="22"/>
          <w:u w:val="single"/>
          <w:shd w:val="clear" w:color="auto" w:fill="00FF00"/>
        </w:rPr>
        <w:t>Russia has supplied strategic weapons both as a potential defense against any Egyptian strike on the GERD and to aid government forces in Tigray.</w:t>
      </w:r>
      <w:r w:rsidRPr="005935EF">
        <w:rPr>
          <w:rFonts w:asciiTheme="majorHAnsi" w:hAnsiTheme="majorHAnsi" w:cs="Segoe UI"/>
          <w:szCs w:val="22"/>
          <w:u w:val="single"/>
        </w:rPr>
        <w:t> </w:t>
      </w:r>
      <w:r w:rsidRPr="005935EF">
        <w:rPr>
          <w:rFonts w:asciiTheme="majorHAnsi" w:hAnsiTheme="majorHAnsi" w:cs="Segoe UI"/>
          <w:sz w:val="16"/>
          <w:szCs w:val="16"/>
        </w:rPr>
        <w:t>“Gains by the Tigray </w:t>
      </w:r>
      <w:proofErr w:type="spellStart"/>
      <w:r w:rsidRPr="005935EF">
        <w:rPr>
          <w:rFonts w:asciiTheme="majorHAnsi" w:hAnsiTheme="majorHAnsi" w:cs="Segoe UI"/>
          <w:sz w:val="16"/>
          <w:szCs w:val="16"/>
        </w:rPr>
        <w:t>Defence</w:t>
      </w:r>
      <w:proofErr w:type="spellEnd"/>
      <w:r w:rsidRPr="005935EF">
        <w:rPr>
          <w:rFonts w:asciiTheme="majorHAnsi" w:hAnsiTheme="majorHAnsi" w:cs="Segoe UI"/>
          <w:sz w:val="16"/>
          <w:szCs w:val="16"/>
        </w:rPr>
        <w:t> Force (TDF), which has captured parts of the Afar and Amhara regions in recent weeks, make the provision of desperately needed weapons all the more important for Addis Ababa, and Moscow is likely to oblige to such a request, possibly on a buy-now-pay-later basis,” said </w:t>
      </w:r>
      <w:proofErr w:type="spellStart"/>
      <w:r w:rsidRPr="005935EF">
        <w:rPr>
          <w:rFonts w:asciiTheme="majorHAnsi" w:hAnsiTheme="majorHAnsi" w:cs="Segoe UI"/>
          <w:sz w:val="16"/>
          <w:szCs w:val="16"/>
        </w:rPr>
        <w:t>Louw</w:t>
      </w:r>
      <w:proofErr w:type="spellEnd"/>
      <w:r w:rsidRPr="005935EF">
        <w:rPr>
          <w:rFonts w:asciiTheme="majorHAnsi" w:hAnsiTheme="majorHAnsi" w:cs="Segoe UI"/>
          <w:sz w:val="16"/>
          <w:szCs w:val="16"/>
        </w:rPr>
        <w:t> Nel, senior political analyst at NKC African Economics. </w:t>
      </w:r>
      <w:r w:rsidRPr="005935EF">
        <w:rPr>
          <w:rFonts w:asciiTheme="majorHAnsi" w:hAnsiTheme="majorHAnsi" w:cs="Segoe UI"/>
          <w:szCs w:val="22"/>
          <w:u w:val="single"/>
          <w:shd w:val="clear" w:color="auto" w:fill="00FF00"/>
        </w:rPr>
        <w:t>In what Nel flagged as a “sign of things to come,” Ethiopia and Russia signed a military cooperation agreement in July, focused specifically on knowledge and technology transfers.</w:t>
      </w:r>
      <w:r w:rsidRPr="005935EF">
        <w:rPr>
          <w:rFonts w:asciiTheme="majorHAnsi" w:hAnsiTheme="majorHAnsi" w:cs="Segoe UI"/>
          <w:sz w:val="16"/>
          <w:szCs w:val="16"/>
        </w:rPr>
        <w:t> However, Nel noted that Ethiopia will be “wary of allowing Russian personnel to be deployed there in anything other than a training capacity.” Russia’s foreign ministry was not immediately available for comment when contacted by CNBC. </w:t>
      </w:r>
    </w:p>
    <w:p w14:paraId="27B8B451" w14:textId="77777777" w:rsidR="005446DC" w:rsidRPr="005935EF" w:rsidRDefault="005446DC" w:rsidP="005446DC">
      <w:pPr>
        <w:spacing w:line="360" w:lineRule="auto"/>
        <w:textAlignment w:val="baseline"/>
        <w:rPr>
          <w:rFonts w:asciiTheme="majorHAnsi" w:hAnsiTheme="majorHAnsi" w:cs="Segoe UI"/>
          <w:sz w:val="18"/>
          <w:szCs w:val="18"/>
        </w:rPr>
      </w:pPr>
    </w:p>
    <w:p w14:paraId="73EA3CD9" w14:textId="77777777" w:rsidR="005446DC" w:rsidRPr="005935EF" w:rsidRDefault="005446DC" w:rsidP="005446DC">
      <w:pPr>
        <w:pStyle w:val="Heading4"/>
        <w:spacing w:line="360" w:lineRule="auto"/>
        <w:rPr>
          <w:rFonts w:asciiTheme="majorHAnsi" w:hAnsiTheme="majorHAnsi"/>
          <w:sz w:val="18"/>
          <w:szCs w:val="18"/>
        </w:rPr>
      </w:pPr>
      <w:r w:rsidRPr="005935EF">
        <w:rPr>
          <w:rFonts w:asciiTheme="majorHAnsi" w:hAnsiTheme="majorHAnsi"/>
        </w:rPr>
        <w:lastRenderedPageBreak/>
        <w:t>US private economic involvement in the African space race results in hard power advantages against Russia – the </w:t>
      </w:r>
      <w:proofErr w:type="spellStart"/>
      <w:r w:rsidRPr="005935EF">
        <w:rPr>
          <w:rFonts w:asciiTheme="majorHAnsi" w:hAnsiTheme="majorHAnsi"/>
        </w:rPr>
        <w:t>aff</w:t>
      </w:r>
      <w:proofErr w:type="spellEnd"/>
      <w:r w:rsidRPr="005935EF">
        <w:rPr>
          <w:rFonts w:asciiTheme="majorHAnsi" w:hAnsiTheme="majorHAnsi"/>
        </w:rPr>
        <w:t> gets rid of this possibility  </w:t>
      </w:r>
    </w:p>
    <w:p w14:paraId="7C2D3E39" w14:textId="77777777" w:rsidR="005446DC" w:rsidRPr="005935EF" w:rsidRDefault="005446DC" w:rsidP="005446DC">
      <w:pPr>
        <w:spacing w:line="360" w:lineRule="auto"/>
        <w:textAlignment w:val="baseline"/>
        <w:rPr>
          <w:rFonts w:asciiTheme="majorHAnsi" w:hAnsiTheme="majorHAnsi" w:cs="Segoe UI"/>
          <w:sz w:val="18"/>
          <w:szCs w:val="18"/>
        </w:rPr>
      </w:pPr>
      <w:proofErr w:type="spellStart"/>
      <w:r w:rsidRPr="005935EF">
        <w:rPr>
          <w:rFonts w:asciiTheme="majorHAnsi" w:hAnsiTheme="majorHAnsi" w:cs="Segoe UI"/>
          <w:b/>
          <w:bCs/>
          <w:u w:val="single"/>
        </w:rPr>
        <w:t>Devermont</w:t>
      </w:r>
      <w:proofErr w:type="spellEnd"/>
      <w:r w:rsidRPr="005935EF">
        <w:rPr>
          <w:rFonts w:asciiTheme="majorHAnsi" w:hAnsiTheme="majorHAnsi" w:cs="Segoe UI"/>
          <w:b/>
          <w:bCs/>
          <w:u w:val="single"/>
        </w:rPr>
        <w:t> &amp; </w:t>
      </w:r>
      <w:proofErr w:type="spellStart"/>
      <w:r w:rsidRPr="005935EF">
        <w:rPr>
          <w:rFonts w:asciiTheme="majorHAnsi" w:hAnsiTheme="majorHAnsi" w:cs="Segoe UI"/>
          <w:b/>
          <w:bCs/>
          <w:u w:val="single"/>
        </w:rPr>
        <w:t>Oniosun</w:t>
      </w:r>
      <w:proofErr w:type="spellEnd"/>
      <w:r w:rsidRPr="005935EF">
        <w:rPr>
          <w:rFonts w:asciiTheme="majorHAnsi" w:hAnsiTheme="majorHAnsi" w:cs="Segoe UI"/>
          <w:b/>
          <w:bCs/>
          <w:u w:val="single"/>
        </w:rPr>
        <w:t> 2020</w:t>
      </w:r>
      <w:r w:rsidRPr="005935EF">
        <w:rPr>
          <w:rFonts w:asciiTheme="majorHAnsi" w:hAnsiTheme="majorHAnsi" w:cs="Segoe UI"/>
        </w:rPr>
        <w:t> </w:t>
      </w:r>
      <w:r w:rsidRPr="005935EF">
        <w:rPr>
          <w:rFonts w:asciiTheme="majorHAnsi" w:hAnsiTheme="majorHAnsi" w:cs="Segoe UI"/>
          <w:szCs w:val="22"/>
        </w:rPr>
        <w:t>[Judd </w:t>
      </w:r>
      <w:proofErr w:type="spellStart"/>
      <w:r w:rsidRPr="005935EF">
        <w:rPr>
          <w:rFonts w:asciiTheme="majorHAnsi" w:hAnsiTheme="majorHAnsi" w:cs="Segoe UI"/>
          <w:szCs w:val="22"/>
        </w:rPr>
        <w:t>Devermont</w:t>
      </w:r>
      <w:proofErr w:type="spellEnd"/>
      <w:r w:rsidRPr="005935EF">
        <w:rPr>
          <w:rFonts w:asciiTheme="majorHAnsi" w:hAnsiTheme="majorHAnsi" w:cs="Segoe UI"/>
          <w:szCs w:val="22"/>
        </w:rPr>
        <w:t> and </w:t>
      </w:r>
      <w:proofErr w:type="spellStart"/>
      <w:r w:rsidRPr="005935EF">
        <w:rPr>
          <w:rFonts w:asciiTheme="majorHAnsi" w:hAnsiTheme="majorHAnsi" w:cs="Segoe UI"/>
          <w:szCs w:val="22"/>
        </w:rPr>
        <w:t>Temidayo</w:t>
      </w:r>
      <w:proofErr w:type="spellEnd"/>
      <w:r w:rsidRPr="005935EF">
        <w:rPr>
          <w:rFonts w:asciiTheme="majorHAnsi" w:hAnsiTheme="majorHAnsi" w:cs="Segoe UI"/>
          <w:szCs w:val="22"/>
        </w:rPr>
        <w:t> </w:t>
      </w:r>
      <w:proofErr w:type="spellStart"/>
      <w:r w:rsidRPr="005935EF">
        <w:rPr>
          <w:rFonts w:asciiTheme="majorHAnsi" w:hAnsiTheme="majorHAnsi" w:cs="Segoe UI"/>
          <w:szCs w:val="22"/>
        </w:rPr>
        <w:t>Oniosun</w:t>
      </w:r>
      <w:proofErr w:type="spellEnd"/>
      <w:r w:rsidRPr="005935EF">
        <w:rPr>
          <w:rFonts w:asciiTheme="majorHAnsi" w:hAnsiTheme="majorHAnsi" w:cs="Segoe UI"/>
          <w:szCs w:val="22"/>
        </w:rPr>
        <w:t>, June 23, 2020, War On The Rocks, “IS THE UNITED STATES LOSING THE AFRICAN SPACE RACE?,” </w:t>
      </w:r>
      <w:hyperlink r:id="rId7" w:tgtFrame="_blank" w:history="1">
        <w:r w:rsidRPr="005935EF">
          <w:rPr>
            <w:rFonts w:asciiTheme="majorHAnsi" w:hAnsiTheme="majorHAnsi" w:cs="Segoe UI"/>
            <w:szCs w:val="22"/>
          </w:rPr>
          <w:t>https://warontherocks.com/2020/06/is-the-united-states-losing-the-african-space-race/</w:t>
        </w:r>
      </w:hyperlink>
      <w:r w:rsidRPr="005935EF">
        <w:rPr>
          <w:rFonts w:asciiTheme="majorHAnsi" w:hAnsiTheme="majorHAnsi" w:cs="Segoe UI"/>
          <w:szCs w:val="22"/>
        </w:rPr>
        <w:t>] //neth  </w:t>
      </w:r>
    </w:p>
    <w:p w14:paraId="6EB91866" w14:textId="77777777" w:rsidR="005446DC" w:rsidRPr="005935EF" w:rsidRDefault="005446DC" w:rsidP="005446DC">
      <w:pPr>
        <w:spacing w:line="360" w:lineRule="auto"/>
        <w:textAlignment w:val="baseline"/>
        <w:rPr>
          <w:rFonts w:asciiTheme="majorHAnsi" w:hAnsiTheme="majorHAnsi" w:cs="Segoe UI"/>
          <w:sz w:val="16"/>
          <w:szCs w:val="16"/>
        </w:rPr>
      </w:pPr>
      <w:r w:rsidRPr="005935EF">
        <w:rPr>
          <w:rFonts w:asciiTheme="majorHAnsi" w:hAnsiTheme="majorHAnsi" w:cs="Segoe UI"/>
          <w:szCs w:val="22"/>
          <w:u w:val="single"/>
          <w:shd w:val="clear" w:color="auto" w:fill="00FF00"/>
        </w:rPr>
        <w:t>Advancing American economic</w:t>
      </w:r>
      <w:r w:rsidRPr="005935EF">
        <w:rPr>
          <w:rFonts w:asciiTheme="majorHAnsi" w:hAnsiTheme="majorHAnsi" w:cs="Segoe UI"/>
          <w:szCs w:val="22"/>
          <w:u w:val="single"/>
        </w:rPr>
        <w:t> and development </w:t>
      </w:r>
      <w:r w:rsidRPr="005935EF">
        <w:rPr>
          <w:rFonts w:asciiTheme="majorHAnsi" w:hAnsiTheme="majorHAnsi" w:cs="Segoe UI"/>
          <w:szCs w:val="22"/>
          <w:u w:val="single"/>
          <w:shd w:val="clear" w:color="auto" w:fill="00FF00"/>
        </w:rPr>
        <w:t>goals in Africa will translate into influence in harder national security spheres.</w:t>
      </w:r>
      <w:r w:rsidRPr="005935EF">
        <w:rPr>
          <w:rFonts w:asciiTheme="majorHAnsi" w:hAnsiTheme="majorHAnsi" w:cs="Segoe UI"/>
          <w:szCs w:val="22"/>
          <w:u w:val="single"/>
        </w:rPr>
        <w:t> </w:t>
      </w:r>
      <w:r w:rsidRPr="005935EF">
        <w:rPr>
          <w:rFonts w:asciiTheme="majorHAnsi" w:hAnsiTheme="majorHAnsi" w:cs="Segoe UI"/>
          <w:szCs w:val="22"/>
          <w:u w:val="single"/>
          <w:shd w:val="clear" w:color="auto" w:fill="00FF00"/>
        </w:rPr>
        <w:t>Africa’s space industry is projected to grow to over $10 billion in the next five years,</w:t>
      </w:r>
      <w:r w:rsidRPr="005935EF">
        <w:rPr>
          <w:rFonts w:asciiTheme="majorHAnsi" w:hAnsiTheme="majorHAnsi" w:cs="Segoe UI"/>
          <w:szCs w:val="22"/>
          <w:u w:val="single"/>
        </w:rPr>
        <w:t> according to Space in Africa’s African Space Industry Annual Report. </w:t>
      </w:r>
      <w:r w:rsidRPr="005935EF">
        <w:rPr>
          <w:rFonts w:asciiTheme="majorHAnsi" w:hAnsiTheme="majorHAnsi" w:cs="Segoe UI"/>
          <w:szCs w:val="22"/>
          <w:u w:val="single"/>
          <w:shd w:val="clear" w:color="auto" w:fill="00FF00"/>
        </w:rPr>
        <w:t>This is a significant opportunity for the United States</w:t>
      </w:r>
      <w:r w:rsidRPr="005935EF">
        <w:rPr>
          <w:rFonts w:asciiTheme="majorHAnsi" w:hAnsiTheme="majorHAnsi" w:cs="Segoe UI"/>
          <w:szCs w:val="22"/>
          <w:u w:val="single"/>
        </w:rPr>
        <w:t> to expand bilateral trade with African countries, which rested at a mere $40 billion in 2018.</w:t>
      </w:r>
      <w:r w:rsidRPr="005935EF">
        <w:rPr>
          <w:rFonts w:asciiTheme="majorHAnsi" w:hAnsiTheme="majorHAnsi" w:cs="Segoe UI"/>
          <w:sz w:val="16"/>
          <w:szCs w:val="16"/>
        </w:rPr>
        <w:t> U.S. companies are well-positioned to sell space equipment and services to African governments. Specifically, the U.S. private sector could build new satellites, sell ground station equipment, provide capacity training, and offer launch services. These investments in the region’s space sector could support America’s goal of substantially increasing two-way trade. </w:t>
      </w:r>
      <w:r w:rsidRPr="005935EF">
        <w:rPr>
          <w:rFonts w:asciiTheme="majorHAnsi" w:hAnsiTheme="majorHAnsi" w:cs="Segoe UI"/>
          <w:szCs w:val="22"/>
          <w:u w:val="single"/>
          <w:shd w:val="clear" w:color="auto" w:fill="00FF00"/>
        </w:rPr>
        <w:t>The</w:t>
      </w:r>
      <w:r w:rsidRPr="005935EF">
        <w:rPr>
          <w:rFonts w:asciiTheme="majorHAnsi" w:hAnsiTheme="majorHAnsi" w:cs="Segoe UI"/>
          <w:szCs w:val="22"/>
          <w:u w:val="single"/>
        </w:rPr>
        <w:t> nascent </w:t>
      </w:r>
      <w:r w:rsidRPr="005935EF">
        <w:rPr>
          <w:rFonts w:asciiTheme="majorHAnsi" w:hAnsiTheme="majorHAnsi" w:cs="Segoe UI"/>
          <w:szCs w:val="22"/>
          <w:u w:val="single"/>
          <w:shd w:val="clear" w:color="auto" w:fill="00FF00"/>
        </w:rPr>
        <w:t>space industry</w:t>
      </w:r>
      <w:r w:rsidRPr="005935EF">
        <w:rPr>
          <w:rFonts w:asciiTheme="majorHAnsi" w:hAnsiTheme="majorHAnsi" w:cs="Segoe UI"/>
          <w:szCs w:val="22"/>
          <w:u w:val="single"/>
        </w:rPr>
        <w:t> in several African countries </w:t>
      </w:r>
      <w:r w:rsidRPr="005935EF">
        <w:rPr>
          <w:rFonts w:asciiTheme="majorHAnsi" w:hAnsiTheme="majorHAnsi" w:cs="Segoe UI"/>
          <w:szCs w:val="22"/>
          <w:u w:val="single"/>
          <w:shd w:val="clear" w:color="auto" w:fill="00FF00"/>
        </w:rPr>
        <w:t>also furthers</w:t>
      </w:r>
      <w:r w:rsidRPr="005935EF">
        <w:rPr>
          <w:rFonts w:asciiTheme="majorHAnsi" w:hAnsiTheme="majorHAnsi" w:cs="Segoe UI"/>
          <w:szCs w:val="22"/>
          <w:u w:val="single"/>
        </w:rPr>
        <w:t> USAID’s efforts to foster </w:t>
      </w:r>
      <w:r w:rsidRPr="005935EF">
        <w:rPr>
          <w:rFonts w:asciiTheme="majorHAnsi" w:hAnsiTheme="majorHAnsi" w:cs="Segoe UI"/>
          <w:szCs w:val="22"/>
          <w:u w:val="single"/>
          <w:shd w:val="clear" w:color="auto" w:fill="00FF00"/>
        </w:rPr>
        <w:t>self-reliance</w:t>
      </w:r>
      <w:r w:rsidRPr="005935EF">
        <w:rPr>
          <w:rFonts w:asciiTheme="majorHAnsi" w:hAnsiTheme="majorHAnsi" w:cs="Segoe UI"/>
          <w:szCs w:val="22"/>
          <w:u w:val="single"/>
        </w:rPr>
        <w:t>, boosting growth and employment in sectors such as telecommunications, navigation, and Earth observation. </w:t>
      </w:r>
      <w:r w:rsidRPr="005935EF">
        <w:rPr>
          <w:rFonts w:asciiTheme="majorHAnsi" w:hAnsiTheme="majorHAnsi" w:cs="Segoe UI"/>
          <w:szCs w:val="22"/>
          <w:u w:val="single"/>
          <w:shd w:val="clear" w:color="auto" w:fill="00FF00"/>
        </w:rPr>
        <w:t>These systems and services help to address major societal challenges</w:t>
      </w:r>
      <w:r w:rsidRPr="005935EF">
        <w:rPr>
          <w:rFonts w:asciiTheme="majorHAnsi" w:hAnsiTheme="majorHAnsi" w:cs="Segoe UI"/>
          <w:szCs w:val="22"/>
          <w:u w:val="single"/>
        </w:rPr>
        <w:t> including imperfect markets, climate change, scarce resources, health systems, and an aging population</w:t>
      </w:r>
      <w:r w:rsidRPr="005935EF">
        <w:rPr>
          <w:rFonts w:asciiTheme="majorHAnsi" w:hAnsiTheme="majorHAnsi" w:cs="Segoe UI"/>
          <w:sz w:val="16"/>
          <w:szCs w:val="16"/>
        </w:rPr>
        <w:t>. For example, about 61 percent of Africans do not have access to the internet, a problem communications satellites could address. The entire satellite value chain has important implications for U.S. political influence in Africa. The technology transfer process, access to technologies and data, and support for development have the potential to increase U.S. political influence and to deepen national security ties between the United States and African partners. </w:t>
      </w:r>
      <w:r w:rsidRPr="005935EF">
        <w:rPr>
          <w:rFonts w:asciiTheme="majorHAnsi" w:hAnsiTheme="majorHAnsi" w:cs="Segoe UI"/>
          <w:szCs w:val="22"/>
          <w:u w:val="single"/>
          <w:shd w:val="clear" w:color="auto" w:fill="00FF00"/>
        </w:rPr>
        <w:t>The United States has historically used space diplomacy in Africa to display U.S. commitment</w:t>
      </w:r>
      <w:r w:rsidRPr="005935EF">
        <w:rPr>
          <w:rFonts w:asciiTheme="majorHAnsi" w:hAnsiTheme="majorHAnsi" w:cs="Segoe UI"/>
          <w:sz w:val="16"/>
          <w:szCs w:val="16"/>
        </w:rPr>
        <w:t>. These ties have the potential to translate into African support for U.S. positions on data-sharing, safety coordination, and other international space norms. Currently, Burkina Faso is a vice-chair of the U.N. General Assembly’s First Committee, which oversees disarmament issues in space; Cameroon is vice-chair on the Fourth Committee, which moderates international cooperation in space; and South Africa is chair of the Scientific and Technical Subcommittee of the ad hoc U.N. Committee on the Peaceful Uses of Outer Space. African support, for example, could add momentum to the U.S. government’s new legal framework, known as the Artemis Accords, to govern the behavior of countries and companies in space and on the moon. NASA administrator Jim </w:t>
      </w:r>
      <w:proofErr w:type="spellStart"/>
      <w:r w:rsidRPr="005935EF">
        <w:rPr>
          <w:rFonts w:asciiTheme="majorHAnsi" w:hAnsiTheme="majorHAnsi" w:cs="Segoe UI"/>
          <w:sz w:val="16"/>
          <w:szCs w:val="16"/>
        </w:rPr>
        <w:t>Bridenstine</w:t>
      </w:r>
      <w:proofErr w:type="spellEnd"/>
      <w:r w:rsidRPr="005935EF">
        <w:rPr>
          <w:rFonts w:asciiTheme="majorHAnsi" w:hAnsiTheme="majorHAnsi" w:cs="Segoe UI"/>
          <w:sz w:val="16"/>
          <w:szCs w:val="16"/>
        </w:rPr>
        <w:t> recently underscored the importance of these norms, pointing out that debris from a spent Chinese rocket stage landed in Cote d’Ivoire. </w:t>
      </w:r>
      <w:r w:rsidRPr="005935EF">
        <w:rPr>
          <w:rFonts w:asciiTheme="majorHAnsi" w:hAnsiTheme="majorHAnsi" w:cs="Segoe UI"/>
          <w:szCs w:val="22"/>
          <w:u w:val="single"/>
          <w:shd w:val="clear" w:color="auto" w:fill="00FF00"/>
        </w:rPr>
        <w:t>It also may blunt Chinese and Russian efforts, via state-owned companies, to strengthen their geopolitical influence and surveillance capacity in the region</w:t>
      </w:r>
      <w:r w:rsidRPr="005935EF">
        <w:rPr>
          <w:rFonts w:asciiTheme="majorHAnsi" w:hAnsiTheme="majorHAnsi" w:cs="Segoe UI"/>
          <w:sz w:val="16"/>
          <w:szCs w:val="16"/>
        </w:rPr>
        <w:t>. According to the Defense Intelligence Agency, China uses its commercial sales “to bolster relationships with countries around the world” and “lead the space community.” </w:t>
      </w:r>
      <w:r w:rsidRPr="005935EF">
        <w:rPr>
          <w:rFonts w:asciiTheme="majorHAnsi" w:hAnsiTheme="majorHAnsi" w:cs="Segoe UI"/>
          <w:szCs w:val="22"/>
          <w:u w:val="single"/>
          <w:shd w:val="clear" w:color="auto" w:fill="00FF00"/>
        </w:rPr>
        <w:t>China established an 18-meter diameter dish in</w:t>
      </w:r>
      <w:r w:rsidRPr="005935EF">
        <w:rPr>
          <w:rFonts w:asciiTheme="majorHAnsi" w:hAnsiTheme="majorHAnsi" w:cs="Segoe UI"/>
          <w:szCs w:val="22"/>
          <w:u w:val="single"/>
        </w:rPr>
        <w:t> Swakopmund, </w:t>
      </w:r>
      <w:r w:rsidRPr="005935EF">
        <w:rPr>
          <w:rFonts w:asciiTheme="majorHAnsi" w:hAnsiTheme="majorHAnsi" w:cs="Segoe UI"/>
          <w:szCs w:val="22"/>
          <w:u w:val="single"/>
          <w:shd w:val="clear" w:color="auto" w:fill="00FF00"/>
        </w:rPr>
        <w:t>Namibia in 2001, which some analysts worry could be used to advance the People Liberation Army’s</w:t>
      </w:r>
      <w:r w:rsidRPr="005935EF">
        <w:rPr>
          <w:rFonts w:asciiTheme="majorHAnsi" w:hAnsiTheme="majorHAnsi" w:cs="Segoe UI"/>
          <w:szCs w:val="22"/>
          <w:u w:val="single"/>
        </w:rPr>
        <w:t> (PLA) </w:t>
      </w:r>
      <w:r w:rsidRPr="005935EF">
        <w:rPr>
          <w:rFonts w:asciiTheme="majorHAnsi" w:hAnsiTheme="majorHAnsi" w:cs="Segoe UI"/>
          <w:szCs w:val="22"/>
          <w:u w:val="single"/>
          <w:shd w:val="clear" w:color="auto" w:fill="00FF00"/>
        </w:rPr>
        <w:t>cyber, space, and networking objectives</w:t>
      </w:r>
      <w:r w:rsidRPr="005935EF">
        <w:rPr>
          <w:rFonts w:asciiTheme="majorHAnsi" w:hAnsiTheme="majorHAnsi" w:cs="Segoe UI"/>
          <w:szCs w:val="22"/>
          <w:u w:val="single"/>
        </w:rPr>
        <w:t>.</w:t>
      </w:r>
      <w:r w:rsidRPr="005935EF">
        <w:rPr>
          <w:rFonts w:asciiTheme="majorHAnsi" w:hAnsiTheme="majorHAnsi" w:cs="Segoe UI"/>
          <w:sz w:val="16"/>
          <w:szCs w:val="16"/>
        </w:rPr>
        <w:t> China’s Great Wall Industry Corporation notched its first foreign sale to Nigeria in 2007, delivering the total package: satellite manufacture, launch service, ground station construction, project implementation, financing, insurance, and training. </w:t>
      </w:r>
      <w:r w:rsidRPr="005935EF">
        <w:rPr>
          <w:rFonts w:asciiTheme="majorHAnsi" w:hAnsiTheme="majorHAnsi" w:cs="Segoe UI"/>
          <w:szCs w:val="22"/>
          <w:u w:val="single"/>
          <w:shd w:val="clear" w:color="auto" w:fill="00FF00"/>
        </w:rPr>
        <w:t>The Russians launched Angola’s first satellite and will do the same for its replacement later this year.</w:t>
      </w:r>
      <w:r w:rsidRPr="005935EF">
        <w:rPr>
          <w:rFonts w:asciiTheme="majorHAnsi" w:hAnsiTheme="majorHAnsi" w:cs="Segoe UI"/>
          <w:sz w:val="16"/>
          <w:szCs w:val="16"/>
        </w:rPr>
        <w:t> </w:t>
      </w:r>
      <w:r w:rsidRPr="005935EF">
        <w:rPr>
          <w:rFonts w:asciiTheme="majorHAnsi" w:hAnsiTheme="majorHAnsi" w:cs="Segoe UI"/>
          <w:szCs w:val="22"/>
          <w:u w:val="single"/>
          <w:shd w:val="clear" w:color="auto" w:fill="00FF00"/>
        </w:rPr>
        <w:t xml:space="preserve">Russia claims it is currently negotiating with unnamed African countries </w:t>
      </w:r>
      <w:r w:rsidRPr="005935EF">
        <w:rPr>
          <w:rFonts w:asciiTheme="majorHAnsi" w:hAnsiTheme="majorHAnsi" w:cs="Segoe UI"/>
          <w:szCs w:val="22"/>
          <w:u w:val="single"/>
          <w:shd w:val="clear" w:color="auto" w:fill="00FF00"/>
        </w:rPr>
        <w:lastRenderedPageBreak/>
        <w:t>to deploy Global Navigation Satellite System</w:t>
      </w:r>
      <w:r w:rsidRPr="005935EF">
        <w:rPr>
          <w:rFonts w:asciiTheme="majorHAnsi" w:hAnsiTheme="majorHAnsi" w:cs="Segoe UI"/>
          <w:szCs w:val="22"/>
          <w:u w:val="single"/>
        </w:rPr>
        <w:t> (GLONASS) </w:t>
      </w:r>
      <w:r w:rsidRPr="005935EF">
        <w:rPr>
          <w:rFonts w:asciiTheme="majorHAnsi" w:hAnsiTheme="majorHAnsi" w:cs="Segoe UI"/>
          <w:szCs w:val="22"/>
          <w:u w:val="single"/>
          <w:shd w:val="clear" w:color="auto" w:fill="00FF00"/>
        </w:rPr>
        <w:t>ground stations across the region</w:t>
      </w:r>
      <w:r w:rsidRPr="005935EF">
        <w:rPr>
          <w:rFonts w:asciiTheme="majorHAnsi" w:hAnsiTheme="majorHAnsi" w:cs="Segoe UI"/>
          <w:szCs w:val="22"/>
          <w:u w:val="single"/>
        </w:rPr>
        <w:t>.</w:t>
      </w:r>
      <w:r w:rsidRPr="005935EF">
        <w:rPr>
          <w:rFonts w:asciiTheme="majorHAnsi" w:hAnsiTheme="majorHAnsi" w:cs="Segoe UI"/>
          <w:sz w:val="16"/>
          <w:szCs w:val="16"/>
        </w:rPr>
        <w:t> China funded Ethiopia’s first satellite and trained its engineers. It also launched Sudan’s first-ever satellite, which will conduct Earth observation research for military and civilian purposes. If the United States is not engaged, it has a limited ability to counter and mitigate the risks posed by adversaries in this sector. The Big Picture </w:t>
      </w:r>
      <w:proofErr w:type="gramStart"/>
      <w:r w:rsidRPr="005935EF">
        <w:rPr>
          <w:rFonts w:asciiTheme="majorHAnsi" w:hAnsiTheme="majorHAnsi" w:cs="Segoe UI"/>
          <w:szCs w:val="22"/>
          <w:u w:val="single"/>
          <w:shd w:val="clear" w:color="auto" w:fill="00FF00"/>
        </w:rPr>
        <w:t>The</w:t>
      </w:r>
      <w:proofErr w:type="gramEnd"/>
      <w:r w:rsidRPr="005935EF">
        <w:rPr>
          <w:rFonts w:asciiTheme="majorHAnsi" w:hAnsiTheme="majorHAnsi" w:cs="Segoe UI"/>
          <w:szCs w:val="22"/>
          <w:u w:val="single"/>
          <w:shd w:val="clear" w:color="auto" w:fill="00FF00"/>
        </w:rPr>
        <w:t> United States has an opportunity to join the African space race, establishing itself as a major partner in the region’s rapidly expanding space programs</w:t>
      </w:r>
      <w:r w:rsidRPr="005935EF">
        <w:rPr>
          <w:rFonts w:asciiTheme="majorHAnsi" w:hAnsiTheme="majorHAnsi" w:cs="Segoe UI"/>
          <w:sz w:val="16"/>
          <w:szCs w:val="16"/>
        </w:rPr>
        <w:t>. Doing so would advance American economic, diplomatic, and national security interests by increasing U.S. trade and investment, deepening ties with influential African governments, and staking a U.S. claim in a sector where China and Russia are increasingly dominant. Washington should build on some of NASA’s recent engagements, including an agreement last year with South African National Space Agency (SANSA) to conduct technical and environmental research on the potential to establish a ground station in South Africa. The U.S. government ought to promote the space sector as a key focus area for the Trump Administration’s Prosper Africa initiative, showcasing SpaceX’s role in launching satellites in Ghana, Kenya, Nigeria, and South Africa. Specifically, Washington should consider providing financial incentives and credits to enable its private sector to compete with state-backed Chinese and Russian firms. Finally, the United States should work with African officials to develop common understandings and positions in international forums to develop norms for outer space, ensuring an even playing field for foreign companies and addressing potential threats to sovereignty. It is in the U.S. interest to be part of this success story — it just </w:t>
      </w:r>
      <w:proofErr w:type="gramStart"/>
      <w:r w:rsidRPr="005935EF">
        <w:rPr>
          <w:rFonts w:asciiTheme="majorHAnsi" w:hAnsiTheme="majorHAnsi" w:cs="Segoe UI"/>
          <w:sz w:val="16"/>
          <w:szCs w:val="16"/>
        </w:rPr>
        <w:t>has to</w:t>
      </w:r>
      <w:proofErr w:type="gramEnd"/>
      <w:r w:rsidRPr="005935EF">
        <w:rPr>
          <w:rFonts w:asciiTheme="majorHAnsi" w:hAnsiTheme="majorHAnsi" w:cs="Segoe UI"/>
          <w:sz w:val="16"/>
          <w:szCs w:val="16"/>
        </w:rPr>
        <w:t> make the leap. </w:t>
      </w:r>
    </w:p>
    <w:p w14:paraId="4DE9FF75" w14:textId="77777777" w:rsidR="005446DC" w:rsidRPr="005935EF" w:rsidRDefault="005446DC" w:rsidP="005446DC">
      <w:pPr>
        <w:spacing w:line="360" w:lineRule="auto"/>
        <w:textAlignment w:val="baseline"/>
        <w:rPr>
          <w:rFonts w:asciiTheme="majorHAnsi" w:hAnsiTheme="majorHAnsi" w:cs="Segoe UI"/>
          <w:sz w:val="18"/>
          <w:szCs w:val="18"/>
        </w:rPr>
      </w:pPr>
    </w:p>
    <w:p w14:paraId="24FA15D4" w14:textId="77777777" w:rsidR="005446DC" w:rsidRPr="005935EF" w:rsidRDefault="005446DC" w:rsidP="005446DC">
      <w:pPr>
        <w:pStyle w:val="Heading4"/>
        <w:spacing w:line="360" w:lineRule="auto"/>
        <w:rPr>
          <w:rFonts w:asciiTheme="majorHAnsi" w:hAnsiTheme="majorHAnsi"/>
          <w:sz w:val="18"/>
          <w:szCs w:val="18"/>
        </w:rPr>
      </w:pPr>
      <w:r w:rsidRPr="005935EF">
        <w:rPr>
          <w:rFonts w:asciiTheme="majorHAnsi" w:hAnsiTheme="majorHAnsi"/>
        </w:rPr>
        <w:t>Russia &amp; China will use weaknesses in US hard power as opportunities to strike  </w:t>
      </w:r>
    </w:p>
    <w:p w14:paraId="29243631" w14:textId="77777777" w:rsidR="005446DC" w:rsidRPr="005935EF" w:rsidRDefault="005446DC" w:rsidP="005446DC">
      <w:pPr>
        <w:spacing w:line="360" w:lineRule="auto"/>
        <w:textAlignment w:val="baseline"/>
        <w:rPr>
          <w:rFonts w:asciiTheme="majorHAnsi" w:hAnsiTheme="majorHAnsi" w:cs="Segoe UI"/>
          <w:sz w:val="18"/>
          <w:szCs w:val="18"/>
        </w:rPr>
      </w:pPr>
      <w:proofErr w:type="spellStart"/>
      <w:r w:rsidRPr="005935EF">
        <w:rPr>
          <w:rFonts w:asciiTheme="majorHAnsi" w:hAnsiTheme="majorHAnsi" w:cs="Segoe UI"/>
          <w:b/>
          <w:bCs/>
          <w:u w:val="single"/>
        </w:rPr>
        <w:t>Michta</w:t>
      </w:r>
      <w:proofErr w:type="spellEnd"/>
      <w:r w:rsidRPr="005935EF">
        <w:rPr>
          <w:rFonts w:asciiTheme="majorHAnsi" w:hAnsiTheme="majorHAnsi" w:cs="Segoe UI"/>
          <w:b/>
          <w:bCs/>
          <w:u w:val="single"/>
        </w:rPr>
        <w:t> 12-14</w:t>
      </w:r>
      <w:r w:rsidRPr="005935EF">
        <w:rPr>
          <w:rFonts w:asciiTheme="majorHAnsi" w:hAnsiTheme="majorHAnsi" w:cs="Segoe UI"/>
          <w:szCs w:val="22"/>
        </w:rPr>
        <w:t>-2021 [Andrew A. </w:t>
      </w:r>
      <w:proofErr w:type="spellStart"/>
      <w:r w:rsidRPr="005935EF">
        <w:rPr>
          <w:rFonts w:asciiTheme="majorHAnsi" w:hAnsiTheme="majorHAnsi" w:cs="Segoe UI"/>
          <w:szCs w:val="22"/>
        </w:rPr>
        <w:t>Michta</w:t>
      </w:r>
      <w:proofErr w:type="spellEnd"/>
      <w:r w:rsidRPr="005935EF">
        <w:rPr>
          <w:rFonts w:asciiTheme="majorHAnsi" w:hAnsiTheme="majorHAnsi" w:cs="Segoe UI"/>
          <w:szCs w:val="22"/>
        </w:rPr>
        <w:t>, December 14 2021, “Russia and China’s Dangerous Decline,” Wall Street Journal, </w:t>
      </w:r>
      <w:hyperlink r:id="rId8" w:tgtFrame="_blank" w:history="1">
        <w:r w:rsidRPr="005935EF">
          <w:rPr>
            <w:rFonts w:asciiTheme="majorHAnsi" w:hAnsiTheme="majorHAnsi" w:cs="Segoe UI"/>
            <w:szCs w:val="22"/>
          </w:rPr>
          <w:t>https://www.wsj.com/articles/russia-and-china-dangerous-population-decline-indo-pacific-pivot-research-development-taiwan-ukraine-11639497466</w:t>
        </w:r>
      </w:hyperlink>
      <w:r w:rsidRPr="005935EF">
        <w:rPr>
          <w:rFonts w:asciiTheme="majorHAnsi" w:hAnsiTheme="majorHAnsi" w:cs="Segoe UI"/>
          <w:szCs w:val="22"/>
        </w:rPr>
        <w:t>]  //neth  </w:t>
      </w:r>
    </w:p>
    <w:p w14:paraId="6D3FB6E9" w14:textId="77777777" w:rsidR="005446DC" w:rsidRPr="005935EF" w:rsidRDefault="005446DC" w:rsidP="005446DC">
      <w:pPr>
        <w:spacing w:line="360" w:lineRule="auto"/>
        <w:textAlignment w:val="baseline"/>
        <w:rPr>
          <w:rFonts w:asciiTheme="majorHAnsi" w:hAnsiTheme="majorHAnsi" w:cs="Segoe UI"/>
          <w:sz w:val="18"/>
          <w:szCs w:val="18"/>
        </w:rPr>
      </w:pPr>
      <w:r w:rsidRPr="005935EF">
        <w:rPr>
          <w:rFonts w:asciiTheme="majorHAnsi" w:hAnsiTheme="majorHAnsi" w:cs="Segoe UI"/>
          <w:sz w:val="16"/>
          <w:szCs w:val="16"/>
        </w:rPr>
        <w:t>The risk of confrontation between the U.S. and China is greater than it has been in decades, and a broader war, triggered by a Chinese action against Taiwan, is a possibility. In “Destined for War: Can America and China Escape </w:t>
      </w:r>
      <w:proofErr w:type="spellStart"/>
      <w:r w:rsidRPr="005935EF">
        <w:rPr>
          <w:rFonts w:asciiTheme="majorHAnsi" w:hAnsiTheme="majorHAnsi" w:cs="Segoe UI"/>
          <w:sz w:val="16"/>
          <w:szCs w:val="16"/>
        </w:rPr>
        <w:t>Thucydides’s</w:t>
      </w:r>
      <w:proofErr w:type="spellEnd"/>
      <w:r w:rsidRPr="005935EF">
        <w:rPr>
          <w:rFonts w:asciiTheme="majorHAnsi" w:hAnsiTheme="majorHAnsi" w:cs="Segoe UI"/>
          <w:sz w:val="16"/>
          <w:szCs w:val="16"/>
        </w:rPr>
        <w:t> Trap?” (2017), Graham Allison likened the situation to the Peloponnesian War, which the Athenian historian thought inevitable because Sparta feared the rising power of Athens. </w:t>
      </w:r>
      <w:r w:rsidRPr="005935EF">
        <w:rPr>
          <w:rFonts w:asciiTheme="majorHAnsi" w:hAnsiTheme="majorHAnsi" w:cs="Segoe UI"/>
          <w:szCs w:val="22"/>
          <w:u w:val="single"/>
          <w:shd w:val="clear" w:color="auto" w:fill="00FF00"/>
        </w:rPr>
        <w:t>Yet the real reason for the current tensions has</w:t>
      </w:r>
      <w:r w:rsidRPr="005935EF">
        <w:rPr>
          <w:rFonts w:asciiTheme="majorHAnsi" w:hAnsiTheme="majorHAnsi" w:cs="Segoe UI"/>
          <w:szCs w:val="22"/>
          <w:u w:val="single"/>
        </w:rPr>
        <w:t> less </w:t>
      </w:r>
      <w:r w:rsidRPr="005935EF">
        <w:rPr>
          <w:rFonts w:asciiTheme="majorHAnsi" w:hAnsiTheme="majorHAnsi" w:cs="Segoe UI"/>
          <w:szCs w:val="22"/>
          <w:u w:val="single"/>
          <w:shd w:val="clear" w:color="auto" w:fill="00FF00"/>
        </w:rPr>
        <w:t>to do with</w:t>
      </w:r>
      <w:r w:rsidRPr="005935EF">
        <w:rPr>
          <w:rFonts w:asciiTheme="majorHAnsi" w:hAnsiTheme="majorHAnsi" w:cs="Segoe UI"/>
          <w:szCs w:val="22"/>
          <w:u w:val="single"/>
        </w:rPr>
        <w:t> the decline and rise of great powers than with </w:t>
      </w:r>
      <w:r w:rsidRPr="005935EF">
        <w:rPr>
          <w:rFonts w:asciiTheme="majorHAnsi" w:hAnsiTheme="majorHAnsi" w:cs="Segoe UI"/>
          <w:szCs w:val="22"/>
          <w:u w:val="single"/>
          <w:shd w:val="clear" w:color="auto" w:fill="00FF00"/>
        </w:rPr>
        <w:t>threat perceptions, balance-of-power estimates, autonomous </w:t>
      </w:r>
      <w:proofErr w:type="gramStart"/>
      <w:r w:rsidRPr="005935EF">
        <w:rPr>
          <w:rFonts w:asciiTheme="majorHAnsi" w:hAnsiTheme="majorHAnsi" w:cs="Segoe UI"/>
          <w:szCs w:val="22"/>
          <w:u w:val="single"/>
          <w:shd w:val="clear" w:color="auto" w:fill="00FF00"/>
        </w:rPr>
        <w:t>assessments</w:t>
      </w:r>
      <w:proofErr w:type="gramEnd"/>
      <w:r w:rsidRPr="005935EF">
        <w:rPr>
          <w:rFonts w:asciiTheme="majorHAnsi" w:hAnsiTheme="majorHAnsi" w:cs="Segoe UI"/>
          <w:szCs w:val="22"/>
          <w:u w:val="single"/>
          <w:shd w:val="clear" w:color="auto" w:fill="00FF00"/>
        </w:rPr>
        <w:t> and internal decisions that have been driving China—and Russia</w:t>
      </w:r>
      <w:r w:rsidRPr="005935EF">
        <w:rPr>
          <w:rFonts w:asciiTheme="majorHAnsi" w:hAnsiTheme="majorHAnsi" w:cs="Segoe UI"/>
          <w:szCs w:val="22"/>
          <w:u w:val="single"/>
        </w:rPr>
        <w:t>—for several years now.</w:t>
      </w:r>
      <w:r w:rsidRPr="005935EF">
        <w:rPr>
          <w:rFonts w:asciiTheme="majorHAnsi" w:hAnsiTheme="majorHAnsi" w:cs="Segoe UI"/>
          <w:sz w:val="16"/>
          <w:szCs w:val="16"/>
        </w:rPr>
        <w:t> (They have increasingly aligned in their opposition to the U.S. and the post-Cold War international order.) The rising threat of high-intensity state-on-state war is driven by the growing elite conviction in Beijing and Moscow that their power disadvantage relative to the U.S. and its allies will worsen unless they move soon, making victory increasingly unattainable. </w:t>
      </w:r>
      <w:r w:rsidRPr="005935EF">
        <w:rPr>
          <w:rFonts w:asciiTheme="majorHAnsi" w:hAnsiTheme="majorHAnsi" w:cs="Segoe UI"/>
          <w:szCs w:val="22"/>
          <w:u w:val="single"/>
          <w:shd w:val="clear" w:color="auto" w:fill="00FF00"/>
        </w:rPr>
        <w:t>There are three principal reasons why China and Russia may want to confront the U.S</w:t>
      </w:r>
      <w:r w:rsidRPr="005935EF">
        <w:rPr>
          <w:rFonts w:asciiTheme="majorHAnsi" w:hAnsiTheme="majorHAnsi" w:cs="Segoe UI"/>
          <w:szCs w:val="22"/>
          <w:u w:val="single"/>
        </w:rPr>
        <w:t>. and its allies </w:t>
      </w:r>
      <w:r w:rsidRPr="005935EF">
        <w:rPr>
          <w:rFonts w:asciiTheme="majorHAnsi" w:hAnsiTheme="majorHAnsi" w:cs="Segoe UI"/>
          <w:szCs w:val="22"/>
          <w:u w:val="single"/>
          <w:shd w:val="clear" w:color="auto" w:fill="00FF00"/>
        </w:rPr>
        <w:t>sooner rather than later</w:t>
      </w:r>
      <w:r w:rsidRPr="005935EF">
        <w:rPr>
          <w:rFonts w:asciiTheme="majorHAnsi" w:hAnsiTheme="majorHAnsi" w:cs="Segoe UI"/>
          <w:szCs w:val="22"/>
          <w:u w:val="single"/>
        </w:rPr>
        <w:t>, possibly within five years. </w:t>
      </w:r>
      <w:r w:rsidRPr="005935EF">
        <w:rPr>
          <w:rFonts w:asciiTheme="majorHAnsi" w:hAnsiTheme="majorHAnsi" w:cs="Segoe UI"/>
          <w:szCs w:val="22"/>
          <w:u w:val="single"/>
          <w:shd w:val="clear" w:color="auto" w:fill="00FF00"/>
        </w:rPr>
        <w:t>First, the U.S. military will require time to restructure</w:t>
      </w:r>
      <w:r w:rsidRPr="005935EF">
        <w:rPr>
          <w:rFonts w:asciiTheme="majorHAnsi" w:hAnsiTheme="majorHAnsi" w:cs="Segoe UI"/>
          <w:szCs w:val="22"/>
          <w:u w:val="single"/>
        </w:rPr>
        <w:t> and refit away from counterterrorism and toward high-intensity state-on-state great-power conflict</w:t>
      </w:r>
      <w:r w:rsidRPr="005935EF">
        <w:rPr>
          <w:rFonts w:asciiTheme="majorHAnsi" w:hAnsiTheme="majorHAnsi" w:cs="Segoe UI"/>
          <w:sz w:val="16"/>
          <w:szCs w:val="16"/>
        </w:rPr>
        <w:t>. The Army Modernization Strategy published in 2019 sets 2035 as the deadline for transforming the Army into a multidomain-capable force. From a Russian or Chinese perspective, that means each additional year will shift imbalances, which currently favor them in some areas, in America’s favor. </w:t>
      </w:r>
      <w:r w:rsidRPr="005935EF">
        <w:rPr>
          <w:rFonts w:asciiTheme="majorHAnsi" w:hAnsiTheme="majorHAnsi" w:cs="Segoe UI"/>
          <w:szCs w:val="22"/>
          <w:u w:val="single"/>
          <w:shd w:val="clear" w:color="auto" w:fill="00FF00"/>
        </w:rPr>
        <w:t>The second factor is domestic conditions in the U.S. and Europe.</w:t>
      </w:r>
      <w:r w:rsidRPr="005935EF">
        <w:rPr>
          <w:rFonts w:asciiTheme="majorHAnsi" w:hAnsiTheme="majorHAnsi" w:cs="Segoe UI"/>
          <w:sz w:val="16"/>
          <w:szCs w:val="16"/>
        </w:rPr>
        <w:t xml:space="preserve"> Western democracies are buffeted by the trifecta of Covid-19; increasingly brazen mass in-migration, to which their governments seem unable to respond effectively; and the cresting cultural revolution, especially in the U.S., which is likely to peak within the next two years. All have strained national cohesion across the West, fed distrust in government, and sowed seeds of doubt that legacy democratic institutions and processes are able to meet the basic requirements </w:t>
      </w:r>
      <w:r w:rsidRPr="005935EF">
        <w:rPr>
          <w:rFonts w:asciiTheme="majorHAnsi" w:hAnsiTheme="majorHAnsi" w:cs="Segoe UI"/>
          <w:sz w:val="16"/>
          <w:szCs w:val="16"/>
        </w:rPr>
        <w:lastRenderedPageBreak/>
        <w:t>of governance and satisfy the citizenry. Once America has moved beyond its current internal 1970s-style turbulence, a reconsolidated U.S., with its key manufacturing supply chains re-shored back from China, will present Beijing and Moscow with a far more formidable foe than today. A good indicator is the recent reports that the U.S. has made a qualitative leap in hypersonic missile technology, likely to nullify the edge Russia and China had hoped to maintain through the investment in their own programs. Notwithstanding their blustery propaganda, Beijing and Moscow are keenly aware that America’s research-and-development base can be mobilized to improve U.S. capabilities. Time is on America’s side when it comes to the quality and sophistication of its weapon systems. </w:t>
      </w:r>
      <w:r w:rsidRPr="005935EF">
        <w:rPr>
          <w:rFonts w:asciiTheme="majorHAnsi" w:hAnsiTheme="majorHAnsi" w:cs="Segoe UI"/>
          <w:szCs w:val="22"/>
          <w:u w:val="single"/>
          <w:shd w:val="clear" w:color="auto" w:fill="00FF00"/>
        </w:rPr>
        <w:t>The third factor: internal pressures building within Chinese and Russian societies</w:t>
      </w:r>
      <w:r w:rsidRPr="005935EF">
        <w:rPr>
          <w:rFonts w:asciiTheme="majorHAnsi" w:hAnsiTheme="majorHAnsi" w:cs="Segoe UI"/>
          <w:sz w:val="16"/>
          <w:szCs w:val="16"/>
        </w:rPr>
        <w:t>. For both countries, population trends and current projections paint a devastating picture. In 2021 China reported its first projected population decline since the famine that accompanied Mao Zedong’s “Great Leap Forward” in the late 1950s. With the official birthrate of 1.3 children per woman—far below the replacement rate of 2.1, and in part a result of the now-relaxed one-child policy—there are credible projections that China’s population will peak in 2022, and that births will continue to </w:t>
      </w:r>
      <w:proofErr w:type="gramStart"/>
      <w:r w:rsidRPr="005935EF">
        <w:rPr>
          <w:rFonts w:asciiTheme="majorHAnsi" w:hAnsiTheme="majorHAnsi" w:cs="Segoe UI"/>
          <w:sz w:val="16"/>
          <w:szCs w:val="16"/>
        </w:rPr>
        <w:t>decline</w:t>
      </w:r>
      <w:proofErr w:type="gramEnd"/>
      <w:r w:rsidRPr="005935EF">
        <w:rPr>
          <w:rFonts w:asciiTheme="majorHAnsi" w:hAnsiTheme="majorHAnsi" w:cs="Segoe UI"/>
          <w:sz w:val="16"/>
          <w:szCs w:val="16"/>
        </w:rPr>
        <w:t> and deaths will surpass births by six million in 2025. Russia’s population is projected to decline from 146 million today to 121 million in 2050. Historically, wars have often started because of miscalculations based on unsound intelligence estimates and underestimating the enemy. In the case of U.S. strategic competition with China and Russia, the risk of war has grown not because of their rise but because of how China and Russia assess the real near-term implications of Washington’s decision to refocus its defense strategy on the fundamentals of great-power competition and conflict instead of counterterrorism and nation building. Whether war breaks out will depend on how badly Beijing and Moscow fear the global power shift in the next decade and how eager they will be to exploit their perceived current relative advantages to remake the world. </w:t>
      </w:r>
    </w:p>
    <w:p w14:paraId="405902EE" w14:textId="77777777" w:rsidR="005446DC" w:rsidRPr="005935EF" w:rsidRDefault="005446DC" w:rsidP="005446DC">
      <w:pPr>
        <w:spacing w:line="360" w:lineRule="auto"/>
        <w:textAlignment w:val="baseline"/>
        <w:rPr>
          <w:rFonts w:asciiTheme="majorHAnsi" w:hAnsiTheme="majorHAnsi" w:cs="Segoe UI"/>
          <w:sz w:val="18"/>
          <w:szCs w:val="18"/>
        </w:rPr>
      </w:pPr>
      <w:r w:rsidRPr="005935EF">
        <w:rPr>
          <w:rFonts w:asciiTheme="majorHAnsi" w:hAnsiTheme="majorHAnsi" w:cs="Segoe UI"/>
          <w:szCs w:val="22"/>
        </w:rPr>
        <w:t> </w:t>
      </w:r>
    </w:p>
    <w:p w14:paraId="31D228B9" w14:textId="77777777" w:rsidR="005446DC" w:rsidRPr="005935EF" w:rsidRDefault="005446DC" w:rsidP="005446DC">
      <w:pPr>
        <w:pStyle w:val="Heading4"/>
        <w:spacing w:line="360" w:lineRule="auto"/>
        <w:rPr>
          <w:rFonts w:asciiTheme="majorHAnsi" w:hAnsiTheme="majorHAnsi"/>
          <w:sz w:val="18"/>
          <w:szCs w:val="18"/>
        </w:rPr>
      </w:pPr>
      <w:r w:rsidRPr="005935EF">
        <w:rPr>
          <w:rFonts w:asciiTheme="majorHAnsi" w:hAnsiTheme="majorHAnsi"/>
        </w:rPr>
        <w:t>US-Russia nuclear war causes nuclear winter, blocks out sunlight, kills life on earth   </w:t>
      </w:r>
    </w:p>
    <w:p w14:paraId="667106E3" w14:textId="77777777" w:rsidR="005446DC" w:rsidRPr="005935EF" w:rsidRDefault="005446DC" w:rsidP="005446DC">
      <w:pPr>
        <w:spacing w:line="360" w:lineRule="auto"/>
        <w:textAlignment w:val="baseline"/>
        <w:rPr>
          <w:rFonts w:asciiTheme="majorHAnsi" w:hAnsiTheme="majorHAnsi" w:cs="Segoe UI"/>
          <w:sz w:val="18"/>
          <w:szCs w:val="18"/>
        </w:rPr>
      </w:pPr>
      <w:proofErr w:type="spellStart"/>
      <w:r w:rsidRPr="005935EF">
        <w:rPr>
          <w:rFonts w:asciiTheme="majorHAnsi" w:hAnsiTheme="majorHAnsi" w:cs="Segoe UI"/>
          <w:b/>
          <w:bCs/>
          <w:u w:val="single"/>
        </w:rPr>
        <w:t>Monzon</w:t>
      </w:r>
      <w:proofErr w:type="spellEnd"/>
      <w:r w:rsidRPr="005935EF">
        <w:rPr>
          <w:rFonts w:asciiTheme="majorHAnsi" w:hAnsiTheme="majorHAnsi" w:cs="Segoe UI"/>
          <w:b/>
          <w:bCs/>
          <w:u w:val="single"/>
        </w:rPr>
        <w:t> 2019</w:t>
      </w:r>
      <w:r w:rsidRPr="005935EF">
        <w:rPr>
          <w:rFonts w:asciiTheme="majorHAnsi" w:hAnsiTheme="majorHAnsi" w:cs="Segoe UI"/>
        </w:rPr>
        <w:t> </w:t>
      </w:r>
      <w:r w:rsidRPr="005935EF">
        <w:rPr>
          <w:rFonts w:asciiTheme="majorHAnsi" w:hAnsiTheme="majorHAnsi" w:cs="Segoe UI"/>
          <w:szCs w:val="22"/>
        </w:rPr>
        <w:t>[Inigo </w:t>
      </w:r>
      <w:proofErr w:type="spellStart"/>
      <w:r w:rsidRPr="005935EF">
        <w:rPr>
          <w:rFonts w:asciiTheme="majorHAnsi" w:hAnsiTheme="majorHAnsi" w:cs="Segoe UI"/>
          <w:szCs w:val="22"/>
        </w:rPr>
        <w:t>Monzon</w:t>
      </w:r>
      <w:proofErr w:type="spellEnd"/>
      <w:r w:rsidRPr="005935EF">
        <w:rPr>
          <w:rFonts w:asciiTheme="majorHAnsi" w:hAnsiTheme="majorHAnsi" w:cs="Segoe UI"/>
          <w:szCs w:val="22"/>
        </w:rPr>
        <w:t>, August 20, 2019, “US, Russia Nuclear War Would Cause 'Nuclear Winter' And 'Human Extinction,' Study Reveals,” International Business Times, </w:t>
      </w:r>
      <w:hyperlink r:id="rId9" w:tgtFrame="_blank" w:history="1">
        <w:r w:rsidRPr="005935EF">
          <w:rPr>
            <w:rFonts w:asciiTheme="majorHAnsi" w:hAnsiTheme="majorHAnsi" w:cs="Segoe UI"/>
            <w:szCs w:val="22"/>
          </w:rPr>
          <w:t>https://www.ibtimes.com/us-russia-nuclear-war-would-cause-nuclear-winter-human-extinction-study-reveals-2815921</w:t>
        </w:r>
      </w:hyperlink>
      <w:r w:rsidRPr="005935EF">
        <w:rPr>
          <w:rFonts w:asciiTheme="majorHAnsi" w:hAnsiTheme="majorHAnsi" w:cs="Segoe UI"/>
          <w:szCs w:val="22"/>
        </w:rPr>
        <w:t>]  //neth</w:t>
      </w:r>
      <w:r w:rsidRPr="005935EF">
        <w:rPr>
          <w:rFonts w:asciiTheme="majorHAnsi" w:hAnsiTheme="majorHAnsi" w:cs="Segoe UI"/>
          <w:sz w:val="16"/>
          <w:szCs w:val="16"/>
        </w:rPr>
        <w:t>  </w:t>
      </w:r>
    </w:p>
    <w:p w14:paraId="19222FD3" w14:textId="77777777" w:rsidR="005446DC" w:rsidRPr="005935EF" w:rsidRDefault="005446DC" w:rsidP="005446DC">
      <w:pPr>
        <w:spacing w:line="360" w:lineRule="auto"/>
        <w:textAlignment w:val="baseline"/>
        <w:rPr>
          <w:rFonts w:asciiTheme="majorHAnsi" w:hAnsiTheme="majorHAnsi" w:cs="Segoe UI"/>
          <w:sz w:val="18"/>
          <w:szCs w:val="18"/>
        </w:rPr>
      </w:pPr>
      <w:r w:rsidRPr="005935EF">
        <w:rPr>
          <w:rFonts w:asciiTheme="majorHAnsi" w:hAnsiTheme="majorHAnsi" w:cs="Segoe UI"/>
          <w:szCs w:val="22"/>
          <w:u w:val="single"/>
        </w:rPr>
        <w:t>A new study has confirmed that </w:t>
      </w:r>
      <w:r w:rsidRPr="005935EF">
        <w:rPr>
          <w:rFonts w:asciiTheme="majorHAnsi" w:hAnsiTheme="majorHAnsi" w:cs="Segoe UI"/>
          <w:szCs w:val="22"/>
          <w:u w:val="single"/>
          <w:shd w:val="clear" w:color="auto" w:fill="00FF00"/>
        </w:rPr>
        <w:t>the world will be plunged into a nuclear winter following a nuclear war between the U.S. and Russia</w:t>
      </w:r>
      <w:r w:rsidRPr="005935EF">
        <w:rPr>
          <w:rFonts w:asciiTheme="majorHAnsi" w:hAnsiTheme="majorHAnsi" w:cs="Segoe UI"/>
          <w:szCs w:val="22"/>
          <w:u w:val="single"/>
        </w:rPr>
        <w:t>.</w:t>
      </w:r>
      <w:r w:rsidRPr="005935EF">
        <w:rPr>
          <w:rFonts w:asciiTheme="majorHAnsi" w:hAnsiTheme="majorHAnsi" w:cs="Segoe UI"/>
          <w:sz w:val="16"/>
          <w:szCs w:val="16"/>
        </w:rPr>
        <w:t> According to the study, the war between these two superpowers would trigger a global environmental event that can last for several years. The new study was conducted by a team of researchers from the University of Colorado, Rutgers </w:t>
      </w:r>
      <w:proofErr w:type="gramStart"/>
      <w:r w:rsidRPr="005935EF">
        <w:rPr>
          <w:rFonts w:asciiTheme="majorHAnsi" w:hAnsiTheme="majorHAnsi" w:cs="Segoe UI"/>
          <w:sz w:val="16"/>
          <w:szCs w:val="16"/>
        </w:rPr>
        <w:t>University</w:t>
      </w:r>
      <w:proofErr w:type="gramEnd"/>
      <w:r w:rsidRPr="005935EF">
        <w:rPr>
          <w:rFonts w:asciiTheme="majorHAnsi" w:hAnsiTheme="majorHAnsi" w:cs="Segoe UI"/>
          <w:sz w:val="16"/>
          <w:szCs w:val="16"/>
        </w:rPr>
        <w:t> and the National Center for Atmospheric Research. It was published in the Journal of Geophysical Research: Atmospheres. </w:t>
      </w:r>
      <w:r w:rsidRPr="005935EF">
        <w:rPr>
          <w:rFonts w:asciiTheme="majorHAnsi" w:hAnsiTheme="majorHAnsi" w:cs="Segoe UI"/>
          <w:szCs w:val="22"/>
          <w:u w:val="single"/>
          <w:shd w:val="clear" w:color="auto" w:fill="00FF00"/>
        </w:rPr>
        <w:t>For the study, the researchers created a model depicting what would happen to Earth if the U.S. and Russia engaged in an all-out nuclear war</w:t>
      </w:r>
      <w:r w:rsidRPr="005935EF">
        <w:rPr>
          <w:rFonts w:asciiTheme="majorHAnsi" w:hAnsiTheme="majorHAnsi" w:cs="Segoe UI"/>
          <w:sz w:val="16"/>
          <w:szCs w:val="16"/>
        </w:rPr>
        <w:t>. As part of the simulation, the researchers observed what would happen if </w:t>
      </w:r>
      <w:proofErr w:type="gramStart"/>
      <w:r w:rsidRPr="005935EF">
        <w:rPr>
          <w:rFonts w:asciiTheme="majorHAnsi" w:hAnsiTheme="majorHAnsi" w:cs="Segoe UI"/>
          <w:sz w:val="16"/>
          <w:szCs w:val="16"/>
        </w:rPr>
        <w:t>a large number of</w:t>
      </w:r>
      <w:proofErr w:type="gramEnd"/>
      <w:r w:rsidRPr="005935EF">
        <w:rPr>
          <w:rFonts w:asciiTheme="majorHAnsi" w:hAnsiTheme="majorHAnsi" w:cs="Segoe UI"/>
          <w:sz w:val="16"/>
          <w:szCs w:val="16"/>
        </w:rPr>
        <w:t> nuclear bombs were detonated in urban areas near the U.S. and Russia. In the simulation, the two countries used </w:t>
      </w:r>
      <w:proofErr w:type="gramStart"/>
      <w:r w:rsidRPr="005935EF">
        <w:rPr>
          <w:rFonts w:asciiTheme="majorHAnsi" w:hAnsiTheme="majorHAnsi" w:cs="Segoe UI"/>
          <w:sz w:val="16"/>
          <w:szCs w:val="16"/>
        </w:rPr>
        <w:t>all of</w:t>
      </w:r>
      <w:proofErr w:type="gramEnd"/>
      <w:r w:rsidRPr="005935EF">
        <w:rPr>
          <w:rFonts w:asciiTheme="majorHAnsi" w:hAnsiTheme="majorHAnsi" w:cs="Segoe UI"/>
          <w:sz w:val="16"/>
          <w:szCs w:val="16"/>
        </w:rPr>
        <w:t> their nuclear weapons. </w:t>
      </w:r>
      <w:r w:rsidRPr="005935EF">
        <w:rPr>
          <w:rFonts w:asciiTheme="majorHAnsi" w:hAnsiTheme="majorHAnsi" w:cs="Segoe UI"/>
          <w:szCs w:val="22"/>
          <w:u w:val="single"/>
        </w:rPr>
        <w:t>According to the findings of their model, dubbed as the Community Earth System Model – Whole Atmosphere Community Climate Model version 4, </w:t>
      </w:r>
      <w:r w:rsidRPr="005935EF">
        <w:rPr>
          <w:rFonts w:asciiTheme="majorHAnsi" w:hAnsiTheme="majorHAnsi" w:cs="Segoe UI"/>
          <w:szCs w:val="22"/>
          <w:u w:val="single"/>
          <w:shd w:val="clear" w:color="auto" w:fill="00FF00"/>
        </w:rPr>
        <w:t>the explosions from the nuclear bomb detonations would create a massive amount of smoke that would cover up the Earth’s atmosphere.</w:t>
      </w:r>
      <w:r w:rsidRPr="005935EF">
        <w:rPr>
          <w:rFonts w:asciiTheme="majorHAnsi" w:hAnsiTheme="majorHAnsi" w:cs="Segoe UI"/>
          <w:szCs w:val="22"/>
          <w:u w:val="single"/>
        </w:rPr>
        <w:t> </w:t>
      </w:r>
      <w:r w:rsidRPr="005935EF">
        <w:rPr>
          <w:rFonts w:asciiTheme="majorHAnsi" w:hAnsiTheme="majorHAnsi" w:cs="Segoe UI"/>
          <w:szCs w:val="22"/>
          <w:u w:val="single"/>
          <w:shd w:val="clear" w:color="auto" w:fill="00FF00"/>
        </w:rPr>
        <w:t>The smoke,</w:t>
      </w:r>
      <w:r w:rsidRPr="005935EF">
        <w:rPr>
          <w:rFonts w:asciiTheme="majorHAnsi" w:hAnsiTheme="majorHAnsi" w:cs="Segoe UI"/>
          <w:szCs w:val="22"/>
          <w:u w:val="single"/>
        </w:rPr>
        <w:t> which scientists predict </w:t>
      </w:r>
      <w:r w:rsidRPr="005935EF">
        <w:rPr>
          <w:rFonts w:asciiTheme="majorHAnsi" w:hAnsiTheme="majorHAnsi" w:cs="Segoe UI"/>
          <w:szCs w:val="22"/>
          <w:u w:val="single"/>
          <w:shd w:val="clear" w:color="auto" w:fill="00FF00"/>
        </w:rPr>
        <w:t>would linger for years, will block out sunlight, leading to a significant drop in Earth’s temperature</w:t>
      </w:r>
      <w:r w:rsidRPr="005935EF">
        <w:rPr>
          <w:rFonts w:asciiTheme="majorHAnsi" w:hAnsiTheme="majorHAnsi" w:cs="Segoe UI"/>
          <w:szCs w:val="22"/>
          <w:u w:val="single"/>
        </w:rPr>
        <w:t>. According to the scientists, </w:t>
      </w:r>
      <w:r w:rsidRPr="005935EF">
        <w:rPr>
          <w:rFonts w:asciiTheme="majorHAnsi" w:hAnsiTheme="majorHAnsi" w:cs="Segoe UI"/>
          <w:szCs w:val="22"/>
          <w:u w:val="single"/>
          <w:shd w:val="clear" w:color="auto" w:fill="00FF00"/>
        </w:rPr>
        <w:t>the winter-like season that will be caused by the nuclear war will last for a long time</w:t>
      </w:r>
      <w:r w:rsidRPr="005935EF">
        <w:rPr>
          <w:rFonts w:asciiTheme="majorHAnsi" w:hAnsiTheme="majorHAnsi" w:cs="Segoe UI"/>
          <w:sz w:val="16"/>
          <w:szCs w:val="16"/>
        </w:rPr>
        <w:t xml:space="preserve">. It will also trigger other environmental events such as changes to the monsoon and El Niño seasons. The scientists noted that the results of their study agree with the findings of a previous research published in 2007. The similarity between these two studies clearly indicates the inevitability of a nuclear winter following a massive nuclear war. “Despite having different </w:t>
      </w:r>
      <w:r w:rsidRPr="005935EF">
        <w:rPr>
          <w:rFonts w:asciiTheme="majorHAnsi" w:hAnsiTheme="majorHAnsi" w:cs="Segoe UI"/>
          <w:sz w:val="16"/>
          <w:szCs w:val="16"/>
        </w:rPr>
        <w:lastRenderedPageBreak/>
        <w:t>features and capabilities, both models produce similar results,” the scientists stated in the study’s abstract. “</w:t>
      </w:r>
      <w:r w:rsidRPr="005935EF">
        <w:rPr>
          <w:rFonts w:asciiTheme="majorHAnsi" w:hAnsiTheme="majorHAnsi" w:cs="Segoe UI"/>
          <w:szCs w:val="22"/>
          <w:u w:val="single"/>
          <w:shd w:val="clear" w:color="auto" w:fill="00FF00"/>
        </w:rPr>
        <w:t>Nuclear winter</w:t>
      </w:r>
      <w:r w:rsidRPr="005935EF">
        <w:rPr>
          <w:rFonts w:asciiTheme="majorHAnsi" w:hAnsiTheme="majorHAnsi" w:cs="Segoe UI"/>
          <w:szCs w:val="22"/>
          <w:u w:val="single"/>
        </w:rPr>
        <w:t>, with below-freezing temperatures over much of the Northern Hemisphere during summer, </w:t>
      </w:r>
      <w:r w:rsidRPr="005935EF">
        <w:rPr>
          <w:rFonts w:asciiTheme="majorHAnsi" w:hAnsiTheme="majorHAnsi" w:cs="Segoe UI"/>
          <w:szCs w:val="22"/>
          <w:u w:val="single"/>
          <w:shd w:val="clear" w:color="auto" w:fill="00FF00"/>
        </w:rPr>
        <w:t>occurs because of a reduction of surface solar radiation due to smoke lofted into the stratosphere</w:t>
      </w:r>
      <w:r w:rsidRPr="005935EF">
        <w:rPr>
          <w:rFonts w:asciiTheme="majorHAnsi" w:hAnsiTheme="majorHAnsi" w:cs="Segoe UI"/>
          <w:szCs w:val="22"/>
          <w:u w:val="single"/>
        </w:rPr>
        <w:t>.</w:t>
      </w:r>
      <w:r w:rsidRPr="005935EF">
        <w:rPr>
          <w:rFonts w:asciiTheme="majorHAnsi" w:hAnsiTheme="majorHAnsi" w:cs="Segoe UI"/>
          <w:szCs w:val="22"/>
        </w:rPr>
        <w:t> </w:t>
      </w:r>
    </w:p>
    <w:p w14:paraId="01894ECE" w14:textId="722CC206" w:rsidR="005446DC" w:rsidRDefault="005446DC" w:rsidP="005446DC"/>
    <w:p w14:paraId="37FDB8F9" w14:textId="77777777" w:rsidR="005446DC" w:rsidRPr="005935EF" w:rsidRDefault="005446DC" w:rsidP="005446DC">
      <w:pPr>
        <w:pStyle w:val="Heading4"/>
        <w:spacing w:line="360" w:lineRule="auto"/>
        <w:rPr>
          <w:rFonts w:asciiTheme="majorHAnsi" w:hAnsiTheme="majorHAnsi"/>
          <w:sz w:val="18"/>
          <w:szCs w:val="18"/>
        </w:rPr>
      </w:pPr>
      <w:r w:rsidRPr="005935EF">
        <w:rPr>
          <w:rFonts w:asciiTheme="majorHAnsi" w:hAnsiTheme="majorHAnsi"/>
        </w:rPr>
        <w:t>Space growth that excludes Africa widens wealth and achievement gaps  </w:t>
      </w:r>
    </w:p>
    <w:p w14:paraId="1BAE031F" w14:textId="77777777" w:rsidR="005446DC" w:rsidRPr="005935EF" w:rsidRDefault="005446DC" w:rsidP="005446DC">
      <w:pPr>
        <w:spacing w:line="360" w:lineRule="auto"/>
        <w:textAlignment w:val="baseline"/>
        <w:rPr>
          <w:rFonts w:asciiTheme="majorHAnsi" w:hAnsiTheme="majorHAnsi" w:cs="Segoe UI"/>
          <w:sz w:val="18"/>
          <w:szCs w:val="18"/>
        </w:rPr>
      </w:pPr>
      <w:proofErr w:type="spellStart"/>
      <w:r w:rsidRPr="005935EF">
        <w:rPr>
          <w:rFonts w:asciiTheme="majorHAnsi" w:hAnsiTheme="majorHAnsi" w:cs="Segoe UI"/>
          <w:b/>
          <w:bCs/>
        </w:rPr>
        <w:t>Asiyanbola</w:t>
      </w:r>
      <w:proofErr w:type="spellEnd"/>
      <w:r w:rsidRPr="005935EF">
        <w:rPr>
          <w:rFonts w:asciiTheme="majorHAnsi" w:hAnsiTheme="majorHAnsi" w:cs="Segoe UI"/>
          <w:b/>
          <w:bCs/>
        </w:rPr>
        <w:t> et al 2019</w:t>
      </w:r>
      <w:r w:rsidRPr="005935EF">
        <w:rPr>
          <w:rFonts w:asciiTheme="majorHAnsi" w:hAnsiTheme="majorHAnsi" w:cs="Segoe UI"/>
        </w:rPr>
        <w:t> </w:t>
      </w:r>
      <w:r w:rsidRPr="005935EF">
        <w:rPr>
          <w:rFonts w:asciiTheme="majorHAnsi" w:hAnsiTheme="majorHAnsi" w:cs="Segoe UI"/>
          <w:szCs w:val="22"/>
        </w:rPr>
        <w:t>[</w:t>
      </w:r>
      <w:proofErr w:type="spellStart"/>
      <w:r w:rsidRPr="005935EF">
        <w:rPr>
          <w:rFonts w:asciiTheme="majorHAnsi" w:hAnsiTheme="majorHAnsi" w:cs="Segoe UI"/>
          <w:szCs w:val="22"/>
        </w:rPr>
        <w:t>Oyedamola</w:t>
      </w:r>
      <w:proofErr w:type="spellEnd"/>
      <w:r w:rsidRPr="005935EF">
        <w:rPr>
          <w:rFonts w:asciiTheme="majorHAnsi" w:hAnsiTheme="majorHAnsi" w:cs="Segoe UI"/>
          <w:szCs w:val="22"/>
        </w:rPr>
        <w:t> A. </w:t>
      </w:r>
      <w:proofErr w:type="spellStart"/>
      <w:r w:rsidRPr="005935EF">
        <w:rPr>
          <w:rFonts w:asciiTheme="majorHAnsi" w:hAnsiTheme="majorHAnsi" w:cs="Segoe UI"/>
          <w:szCs w:val="22"/>
        </w:rPr>
        <w:t>Asiyanbola</w:t>
      </w:r>
      <w:proofErr w:type="spellEnd"/>
      <w:r w:rsidRPr="005935EF">
        <w:rPr>
          <w:rFonts w:asciiTheme="majorHAnsi" w:hAnsiTheme="majorHAnsi" w:cs="Segoe UI"/>
          <w:szCs w:val="22"/>
        </w:rPr>
        <w:t>, </w:t>
      </w:r>
      <w:proofErr w:type="spellStart"/>
      <w:r w:rsidRPr="005935EF">
        <w:rPr>
          <w:rFonts w:asciiTheme="majorHAnsi" w:hAnsiTheme="majorHAnsi" w:cs="Segoe UI"/>
          <w:szCs w:val="22"/>
        </w:rPr>
        <w:t>Morayo</w:t>
      </w:r>
      <w:proofErr w:type="spellEnd"/>
      <w:r w:rsidRPr="005935EF">
        <w:rPr>
          <w:rFonts w:asciiTheme="majorHAnsi" w:hAnsiTheme="majorHAnsi" w:cs="Segoe UI"/>
          <w:szCs w:val="22"/>
        </w:rPr>
        <w:t> A. </w:t>
      </w:r>
      <w:proofErr w:type="spellStart"/>
      <w:r w:rsidRPr="005935EF">
        <w:rPr>
          <w:rFonts w:asciiTheme="majorHAnsi" w:hAnsiTheme="majorHAnsi" w:cs="Segoe UI"/>
          <w:szCs w:val="22"/>
        </w:rPr>
        <w:t>Ogunsina</w:t>
      </w:r>
      <w:proofErr w:type="spellEnd"/>
      <w:r w:rsidRPr="005935EF">
        <w:rPr>
          <w:rFonts w:asciiTheme="majorHAnsi" w:hAnsiTheme="majorHAnsi" w:cs="Segoe UI"/>
          <w:szCs w:val="22"/>
        </w:rPr>
        <w:t>, Abraham T. </w:t>
      </w:r>
      <w:proofErr w:type="spellStart"/>
      <w:r w:rsidRPr="005935EF">
        <w:rPr>
          <w:rFonts w:asciiTheme="majorHAnsi" w:hAnsiTheme="majorHAnsi" w:cs="Segoe UI"/>
          <w:szCs w:val="22"/>
        </w:rPr>
        <w:t>Akinwale</w:t>
      </w:r>
      <w:proofErr w:type="spellEnd"/>
      <w:r w:rsidRPr="005935EF">
        <w:rPr>
          <w:rFonts w:asciiTheme="majorHAnsi" w:hAnsiTheme="majorHAnsi" w:cs="Segoe UI"/>
          <w:szCs w:val="22"/>
        </w:rPr>
        <w:t>, and John B. </w:t>
      </w:r>
      <w:proofErr w:type="spellStart"/>
      <w:r w:rsidRPr="005935EF">
        <w:rPr>
          <w:rFonts w:asciiTheme="majorHAnsi" w:hAnsiTheme="majorHAnsi" w:cs="Segoe UI"/>
          <w:szCs w:val="22"/>
        </w:rPr>
        <w:t>Odey</w:t>
      </w:r>
      <w:proofErr w:type="spellEnd"/>
      <w:r w:rsidRPr="005935EF">
        <w:rPr>
          <w:rFonts w:asciiTheme="majorHAnsi" w:hAnsiTheme="majorHAnsi" w:cs="Segoe UI"/>
          <w:szCs w:val="22"/>
        </w:rPr>
        <w:t>, </w:t>
      </w:r>
      <w:proofErr w:type="spellStart"/>
      <w:r w:rsidRPr="005935EF">
        <w:rPr>
          <w:rFonts w:asciiTheme="majorHAnsi" w:hAnsiTheme="majorHAnsi" w:cs="Segoe UI"/>
          <w:szCs w:val="22"/>
        </w:rPr>
        <w:t>Asiyanbola</w:t>
      </w:r>
      <w:proofErr w:type="spellEnd"/>
      <w:r w:rsidRPr="005935EF">
        <w:rPr>
          <w:rFonts w:asciiTheme="majorHAnsi" w:hAnsiTheme="majorHAnsi" w:cs="Segoe UI"/>
          <w:szCs w:val="22"/>
        </w:rPr>
        <w:t> is a Graduate Research Assistant at Skolkovo Institute of Science and Technology, “Toward African Space Autonomy: Developmental Framework and Incorporated Synergies,” March 12, 2021, </w:t>
      </w:r>
      <w:hyperlink r:id="rId10" w:tgtFrame="_blank" w:history="1">
        <w:r w:rsidRPr="005935EF">
          <w:rPr>
            <w:rFonts w:asciiTheme="majorHAnsi" w:hAnsiTheme="majorHAnsi" w:cs="Segoe UI"/>
            <w:szCs w:val="22"/>
          </w:rPr>
          <w:t>https://www.liebertpub.com/doi/10.1089/space.2020.0039</w:t>
        </w:r>
      </w:hyperlink>
      <w:r w:rsidRPr="005935EF">
        <w:rPr>
          <w:rFonts w:asciiTheme="majorHAnsi" w:hAnsiTheme="majorHAnsi" w:cs="Segoe UI"/>
          <w:szCs w:val="22"/>
        </w:rPr>
        <w:t> &amp; </w:t>
      </w:r>
      <w:hyperlink r:id="rId11" w:tgtFrame="_blank" w:history="1">
        <w:r w:rsidRPr="005935EF">
          <w:rPr>
            <w:rFonts w:asciiTheme="majorHAnsi" w:hAnsiTheme="majorHAnsi" w:cs="Segoe UI"/>
            <w:szCs w:val="22"/>
          </w:rPr>
          <w:t>https://doi.org/10.1089/space.2020.0039</w:t>
        </w:r>
      </w:hyperlink>
      <w:r w:rsidRPr="005935EF">
        <w:rPr>
          <w:rFonts w:asciiTheme="majorHAnsi" w:hAnsiTheme="majorHAnsi" w:cs="Segoe UI"/>
          <w:szCs w:val="22"/>
        </w:rPr>
        <w:t>] //</w:t>
      </w:r>
      <w:proofErr w:type="spellStart"/>
      <w:r w:rsidRPr="005935EF">
        <w:rPr>
          <w:rFonts w:asciiTheme="majorHAnsi" w:hAnsiTheme="majorHAnsi" w:cs="Segoe UI"/>
          <w:szCs w:val="22"/>
        </w:rPr>
        <w:t>neth</w:t>
      </w:r>
      <w:proofErr w:type="spellEnd"/>
      <w:r w:rsidRPr="005935EF">
        <w:rPr>
          <w:rFonts w:asciiTheme="majorHAnsi" w:hAnsiTheme="majorHAnsi" w:cs="Segoe UI"/>
          <w:szCs w:val="22"/>
        </w:rPr>
        <w:t>  </w:t>
      </w:r>
    </w:p>
    <w:p w14:paraId="7DBA8DDB" w14:textId="5CBCDAF2" w:rsidR="005446DC" w:rsidRDefault="005446DC" w:rsidP="005446DC">
      <w:pPr>
        <w:spacing w:line="360" w:lineRule="auto"/>
        <w:textAlignment w:val="baseline"/>
        <w:rPr>
          <w:rFonts w:asciiTheme="majorHAnsi" w:hAnsiTheme="majorHAnsi" w:cs="Segoe UI"/>
          <w:sz w:val="16"/>
          <w:szCs w:val="16"/>
        </w:rPr>
      </w:pPr>
      <w:r w:rsidRPr="005935EF">
        <w:rPr>
          <w:rFonts w:asciiTheme="majorHAnsi" w:hAnsiTheme="majorHAnsi" w:cs="Segoe UI"/>
          <w:sz w:val="16"/>
          <w:szCs w:val="16"/>
        </w:rPr>
        <w:t>Toward Space Exploration and Space Driving Initiative </w:t>
      </w:r>
      <w:r w:rsidRPr="005935EF">
        <w:rPr>
          <w:rFonts w:asciiTheme="majorHAnsi" w:hAnsiTheme="majorHAnsi" w:cs="Segoe UI"/>
          <w:szCs w:val="22"/>
          <w:u w:val="single"/>
          <w:shd w:val="clear" w:color="auto" w:fill="00FF00"/>
        </w:rPr>
        <w:t>As spacefaring nations continue to develop their space industries, with combined efforts of the public and private entities, their level of competitive advantage improves by leaving the African countries far behind with regards to economic growth and technology capacity</w:t>
      </w:r>
      <w:r w:rsidRPr="005935EF">
        <w:rPr>
          <w:rFonts w:asciiTheme="majorHAnsi" w:hAnsiTheme="majorHAnsi" w:cs="Segoe UI"/>
          <w:szCs w:val="22"/>
          <w:u w:val="single"/>
        </w:rPr>
        <w:t> driven by innovation</w:t>
      </w:r>
      <w:r w:rsidRPr="005935EF">
        <w:rPr>
          <w:rFonts w:asciiTheme="majorHAnsi" w:hAnsiTheme="majorHAnsi" w:cs="Segoe UI"/>
          <w:sz w:val="16"/>
          <w:szCs w:val="16"/>
        </w:rPr>
        <w:t>.6,15,16 Spacefaring nations have pushed their prowess (Competitive Advantage) through continued space research.15,17 </w:t>
      </w:r>
      <w:r w:rsidRPr="005935EF">
        <w:rPr>
          <w:rFonts w:asciiTheme="majorHAnsi" w:hAnsiTheme="majorHAnsi" w:cs="Segoe UI"/>
          <w:szCs w:val="22"/>
          <w:u w:val="single"/>
        </w:rPr>
        <w:t>It can be said that </w:t>
      </w:r>
      <w:r w:rsidRPr="005935EF">
        <w:rPr>
          <w:rFonts w:asciiTheme="majorHAnsi" w:hAnsiTheme="majorHAnsi" w:cs="Segoe UI"/>
          <w:szCs w:val="22"/>
          <w:u w:val="single"/>
          <w:shd w:val="clear" w:color="auto" w:fill="00FF00"/>
        </w:rPr>
        <w:t>proceeds from space R&amp;D fostered innovation in every other aspect of science and technological fields</w:t>
      </w:r>
      <w:r w:rsidRPr="005935EF">
        <w:rPr>
          <w:rFonts w:asciiTheme="majorHAnsi" w:hAnsiTheme="majorHAnsi" w:cs="Segoe UI"/>
          <w:szCs w:val="22"/>
          <w:u w:val="single"/>
        </w:rPr>
        <w:t>, especially in the security, satellites, and telecommunication sectors</w:t>
      </w:r>
      <w:r w:rsidRPr="005935EF">
        <w:rPr>
          <w:rFonts w:asciiTheme="majorHAnsi" w:hAnsiTheme="majorHAnsi" w:cs="Segoe UI"/>
          <w:sz w:val="16"/>
          <w:szCs w:val="16"/>
        </w:rPr>
        <w:t>. African nations need to rethink what truly defines their aim in the growing globally competitive economic market. Based on Michael Porter's stages of competitive advantage, many African countries can be categorized into the factor-driven and investment-driven stages, for example, they are mainly providers of raw materials to other growing economies.15,17 To this end, </w:t>
      </w:r>
      <w:r w:rsidRPr="005935EF">
        <w:rPr>
          <w:rFonts w:asciiTheme="majorHAnsi" w:hAnsiTheme="majorHAnsi" w:cs="Segoe UI"/>
          <w:szCs w:val="22"/>
          <w:u w:val="single"/>
          <w:shd w:val="clear" w:color="auto" w:fill="00FF00"/>
        </w:rPr>
        <w:t>we have proposed a sequence of developmental phases</w:t>
      </w:r>
      <w:r w:rsidRPr="005935EF">
        <w:rPr>
          <w:rFonts w:asciiTheme="majorHAnsi" w:hAnsiTheme="majorHAnsi" w:cs="Segoe UI"/>
          <w:sz w:val="16"/>
          <w:szCs w:val="16"/>
        </w:rPr>
        <w:t> seen in Figure 4, which will serve as the action plan toward this agenda</w:t>
      </w:r>
      <w:r w:rsidRPr="005935EF">
        <w:rPr>
          <w:rFonts w:asciiTheme="majorHAnsi" w:hAnsiTheme="majorHAnsi" w:cs="Segoe UI"/>
          <w:szCs w:val="22"/>
          <w:u w:val="single"/>
          <w:shd w:val="clear" w:color="auto" w:fill="00FF00"/>
        </w:rPr>
        <w:t>. Phase 1</w:t>
      </w:r>
      <w:r w:rsidRPr="005935EF">
        <w:rPr>
          <w:rFonts w:asciiTheme="majorHAnsi" w:hAnsiTheme="majorHAnsi" w:cs="Segoe UI"/>
          <w:szCs w:val="22"/>
          <w:u w:val="single"/>
        </w:rPr>
        <w:t>, the first foundational step, would be a </w:t>
      </w:r>
      <w:r w:rsidRPr="005935EF">
        <w:rPr>
          <w:rFonts w:asciiTheme="majorHAnsi" w:hAnsiTheme="majorHAnsi" w:cs="Segoe UI"/>
          <w:szCs w:val="22"/>
          <w:u w:val="single"/>
          <w:shd w:val="clear" w:color="auto" w:fill="00FF00"/>
        </w:rPr>
        <w:t>political synergy among African state actors</w:t>
      </w:r>
      <w:r w:rsidRPr="005935EF">
        <w:rPr>
          <w:rFonts w:asciiTheme="majorHAnsi" w:hAnsiTheme="majorHAnsi" w:cs="Segoe UI"/>
          <w:szCs w:val="22"/>
          <w:u w:val="single"/>
        </w:rPr>
        <w:t>.</w:t>
      </w:r>
      <w:r w:rsidRPr="005935EF">
        <w:rPr>
          <w:rFonts w:asciiTheme="majorHAnsi" w:hAnsiTheme="majorHAnsi" w:cs="Segoe UI"/>
          <w:sz w:val="16"/>
          <w:szCs w:val="16"/>
        </w:rPr>
        <w:t> What we propose is a political synergy within African countries, which are potential African space actors that have ratified some or all the Outer space treaties.1,6,15,18 </w:t>
      </w:r>
      <w:r w:rsidRPr="005935EF">
        <w:rPr>
          <w:rFonts w:asciiTheme="majorHAnsi" w:hAnsiTheme="majorHAnsi" w:cs="Segoe UI"/>
          <w:szCs w:val="22"/>
          <w:u w:val="single"/>
          <w:shd w:val="clear" w:color="auto" w:fill="00FF00"/>
        </w:rPr>
        <w:t>Phase 2</w:t>
      </w:r>
      <w:r w:rsidRPr="005935EF">
        <w:rPr>
          <w:rFonts w:asciiTheme="majorHAnsi" w:hAnsiTheme="majorHAnsi" w:cs="Segoe UI"/>
          <w:szCs w:val="22"/>
          <w:u w:val="single"/>
        </w:rPr>
        <w:t> would require an introspective approach to </w:t>
      </w:r>
      <w:r w:rsidRPr="005935EF">
        <w:rPr>
          <w:rFonts w:asciiTheme="majorHAnsi" w:hAnsiTheme="majorHAnsi" w:cs="Segoe UI"/>
          <w:szCs w:val="22"/>
          <w:u w:val="single"/>
          <w:shd w:val="clear" w:color="auto" w:fill="00FF00"/>
        </w:rPr>
        <w:t>gather statistics on resources available and support for the division of research focus</w:t>
      </w:r>
      <w:r w:rsidRPr="005935EF">
        <w:rPr>
          <w:rFonts w:asciiTheme="majorHAnsi" w:hAnsiTheme="majorHAnsi" w:cs="Segoe UI"/>
          <w:szCs w:val="22"/>
          <w:u w:val="single"/>
        </w:rPr>
        <w:t> and personnel training of ASA.</w:t>
      </w:r>
      <w:r w:rsidRPr="005935EF">
        <w:rPr>
          <w:rFonts w:asciiTheme="majorHAnsi" w:hAnsiTheme="majorHAnsi" w:cs="Segoe UI"/>
          <w:sz w:val="16"/>
          <w:szCs w:val="16"/>
        </w:rPr>
        <w:t> Such research methodology currently proposed is like the infamous concept of “the division of labor” in the macroeconomics term. It would be the prelude to </w:t>
      </w:r>
      <w:r w:rsidRPr="005935EF">
        <w:rPr>
          <w:rFonts w:asciiTheme="majorHAnsi" w:hAnsiTheme="majorHAnsi" w:cs="Segoe UI"/>
          <w:szCs w:val="22"/>
          <w:u w:val="single"/>
          <w:shd w:val="clear" w:color="auto" w:fill="00FF00"/>
        </w:rPr>
        <w:t>Phase 3</w:t>
      </w:r>
      <w:r w:rsidRPr="005935EF">
        <w:rPr>
          <w:rFonts w:asciiTheme="majorHAnsi" w:hAnsiTheme="majorHAnsi" w:cs="Segoe UI"/>
          <w:szCs w:val="22"/>
          <w:u w:val="single"/>
        </w:rPr>
        <w:t>, where </w:t>
      </w:r>
      <w:r w:rsidRPr="005935EF">
        <w:rPr>
          <w:rFonts w:asciiTheme="majorHAnsi" w:hAnsiTheme="majorHAnsi" w:cs="Segoe UI"/>
          <w:szCs w:val="22"/>
          <w:u w:val="single"/>
          <w:shd w:val="clear" w:color="auto" w:fill="00FF00"/>
        </w:rPr>
        <w:t>each country accepts the challenge of specialization</w:t>
      </w:r>
      <w:r w:rsidRPr="005935EF">
        <w:rPr>
          <w:rFonts w:asciiTheme="majorHAnsi" w:hAnsiTheme="majorHAnsi" w:cs="Segoe UI"/>
          <w:szCs w:val="22"/>
          <w:u w:val="single"/>
        </w:rPr>
        <w:t> to gain competence in some space capability, not limited to launching, satellite manufacturing, and remote sensing. </w:t>
      </w:r>
      <w:r w:rsidRPr="005935EF">
        <w:rPr>
          <w:rFonts w:asciiTheme="majorHAnsi" w:hAnsiTheme="majorHAnsi" w:cs="Segoe UI"/>
          <w:szCs w:val="22"/>
          <w:u w:val="single"/>
          <w:shd w:val="clear" w:color="auto" w:fill="00FF00"/>
        </w:rPr>
        <w:t>Phase 4 gives an outlook on what the long-term objective of the ASA would be</w:t>
      </w:r>
      <w:r w:rsidRPr="005935EF">
        <w:rPr>
          <w:rFonts w:asciiTheme="majorHAnsi" w:hAnsiTheme="majorHAnsi" w:cs="Segoe UI"/>
          <w:szCs w:val="22"/>
          <w:u w:val="single"/>
        </w:rPr>
        <w:t>—a culmination of cooperative and strategic efforts taken to build competency in space autonomy in Africa</w:t>
      </w:r>
      <w:r w:rsidRPr="005935EF">
        <w:rPr>
          <w:rFonts w:asciiTheme="majorHAnsi" w:hAnsiTheme="majorHAnsi" w:cs="Segoe UI"/>
          <w:sz w:val="16"/>
          <w:szCs w:val="16"/>
        </w:rPr>
        <w:t xml:space="preserve">. The ASA is expected to lead the implementation phase of the 2063 strategy for African Countries to climb the Space Technology Ladder with a view of responsible innovation and sheer political will. The acquired technological know-how (space technological capability) in the African space actor and their agencies of specialized mastery in one or more space industry segments will aid the effectuating </w:t>
      </w:r>
      <w:r w:rsidRPr="005935EF">
        <w:rPr>
          <w:rFonts w:asciiTheme="majorHAnsi" w:hAnsiTheme="majorHAnsi" w:cs="Segoe UI"/>
          <w:sz w:val="16"/>
          <w:szCs w:val="16"/>
        </w:rPr>
        <w:lastRenderedPageBreak/>
        <w:t>our developmental framework objectives. The ASA will truly be a Global Space Actor if the required of strategy implementation is the sole focus in the plan for the African Space Agenda 2063: “Africa we want.”7 </w:t>
      </w:r>
    </w:p>
    <w:p w14:paraId="54285DFD" w14:textId="2BAA9837" w:rsidR="001A4E6D" w:rsidRDefault="001A4E6D" w:rsidP="005446DC">
      <w:pPr>
        <w:spacing w:line="360" w:lineRule="auto"/>
        <w:textAlignment w:val="baseline"/>
        <w:rPr>
          <w:rFonts w:asciiTheme="majorHAnsi" w:hAnsiTheme="majorHAnsi" w:cs="Segoe UI"/>
          <w:sz w:val="16"/>
          <w:szCs w:val="16"/>
        </w:rPr>
      </w:pPr>
    </w:p>
    <w:p w14:paraId="3A1C536C" w14:textId="69667E7D" w:rsidR="005446DC" w:rsidRDefault="005446DC" w:rsidP="005446DC"/>
    <w:p w14:paraId="15320C28" w14:textId="77777777" w:rsidR="005446DC" w:rsidRPr="005935EF" w:rsidRDefault="005446DC" w:rsidP="005446DC">
      <w:pPr>
        <w:pStyle w:val="Heading2"/>
        <w:spacing w:line="360" w:lineRule="auto"/>
        <w:rPr>
          <w:rFonts w:asciiTheme="majorHAnsi" w:hAnsiTheme="majorHAnsi"/>
        </w:rPr>
      </w:pPr>
      <w:r w:rsidRPr="005935EF">
        <w:rPr>
          <w:rFonts w:asciiTheme="majorHAnsi" w:eastAsia="Calibri" w:hAnsiTheme="majorHAnsi" w:cs="Calibri"/>
          <w:u w:val="single"/>
        </w:rPr>
        <w:lastRenderedPageBreak/>
        <w:t>collaboration cp</w:t>
      </w:r>
    </w:p>
    <w:p w14:paraId="3C09162D" w14:textId="77777777" w:rsidR="005446DC" w:rsidRPr="005935EF" w:rsidRDefault="005446DC" w:rsidP="005446DC">
      <w:pPr>
        <w:pStyle w:val="Heading4"/>
        <w:spacing w:line="360" w:lineRule="auto"/>
        <w:rPr>
          <w:rFonts w:asciiTheme="majorHAnsi" w:hAnsiTheme="majorHAnsi"/>
          <w:sz w:val="18"/>
          <w:szCs w:val="18"/>
        </w:rPr>
      </w:pPr>
      <w:r w:rsidRPr="005935EF">
        <w:rPr>
          <w:rFonts w:asciiTheme="majorHAnsi" w:hAnsiTheme="majorHAnsi"/>
        </w:rPr>
        <w:t>CP text: we advocate for public-private partnerships in space in line with the ISS model or a sponsored program model  </w:t>
      </w:r>
    </w:p>
    <w:p w14:paraId="43A4864D" w14:textId="77777777" w:rsidR="005446DC" w:rsidRPr="005935EF" w:rsidRDefault="005446DC" w:rsidP="005446DC">
      <w:pPr>
        <w:spacing w:line="360" w:lineRule="auto"/>
        <w:textAlignment w:val="baseline"/>
        <w:rPr>
          <w:rFonts w:asciiTheme="majorHAnsi" w:hAnsiTheme="majorHAnsi" w:cs="Segoe UI"/>
          <w:sz w:val="18"/>
          <w:szCs w:val="18"/>
        </w:rPr>
      </w:pPr>
      <w:r w:rsidRPr="005935EF">
        <w:rPr>
          <w:rFonts w:asciiTheme="majorHAnsi" w:hAnsiTheme="majorHAnsi" w:cs="Segoe UI"/>
          <w:b/>
          <w:bCs/>
        </w:rPr>
        <w:t>ISS National Lab</w:t>
      </w:r>
      <w:r w:rsidRPr="005935EF">
        <w:rPr>
          <w:rFonts w:asciiTheme="majorHAnsi" w:hAnsiTheme="majorHAnsi" w:cs="Segoe UI"/>
        </w:rPr>
        <w:t> </w:t>
      </w:r>
      <w:r w:rsidRPr="005935EF">
        <w:rPr>
          <w:rFonts w:asciiTheme="majorHAnsi" w:hAnsiTheme="majorHAnsi" w:cs="Segoe UI"/>
          <w:szCs w:val="22"/>
        </w:rPr>
        <w:t>[International Space Station National Laboratory – Center for the Advancement of Science in Space, “Research on the ISS, No Date, </w:t>
      </w:r>
      <w:hyperlink r:id="rId12" w:tgtFrame="_blank" w:history="1">
        <w:r w:rsidRPr="005935EF">
          <w:rPr>
            <w:rFonts w:asciiTheme="majorHAnsi" w:hAnsiTheme="majorHAnsi" w:cs="Segoe UI"/>
            <w:szCs w:val="22"/>
          </w:rPr>
          <w:t>https://www.issnationallab.org/research-on-the-iss/public-private-partnerships-in-space/</w:t>
        </w:r>
      </w:hyperlink>
      <w:r w:rsidRPr="005935EF">
        <w:rPr>
          <w:rFonts w:asciiTheme="majorHAnsi" w:hAnsiTheme="majorHAnsi" w:cs="Segoe UI"/>
          <w:szCs w:val="22"/>
        </w:rPr>
        <w:t>] //</w:t>
      </w:r>
      <w:proofErr w:type="spellStart"/>
      <w:r w:rsidRPr="005935EF">
        <w:rPr>
          <w:rFonts w:asciiTheme="majorHAnsi" w:hAnsiTheme="majorHAnsi" w:cs="Segoe UI"/>
          <w:szCs w:val="22"/>
        </w:rPr>
        <w:t>neth</w:t>
      </w:r>
      <w:proofErr w:type="spellEnd"/>
      <w:r w:rsidRPr="005935EF">
        <w:rPr>
          <w:rFonts w:asciiTheme="majorHAnsi" w:hAnsiTheme="majorHAnsi" w:cs="Segoe UI"/>
          <w:szCs w:val="22"/>
        </w:rPr>
        <w:t>  </w:t>
      </w:r>
    </w:p>
    <w:p w14:paraId="19C11C87" w14:textId="77777777" w:rsidR="005446DC" w:rsidRPr="005935EF" w:rsidRDefault="005446DC" w:rsidP="005446DC">
      <w:pPr>
        <w:spacing w:line="360" w:lineRule="auto"/>
        <w:textAlignment w:val="baseline"/>
        <w:rPr>
          <w:rFonts w:asciiTheme="majorHAnsi" w:hAnsiTheme="majorHAnsi" w:cs="Segoe UI"/>
          <w:sz w:val="16"/>
          <w:szCs w:val="16"/>
        </w:rPr>
      </w:pPr>
      <w:r w:rsidRPr="005935EF">
        <w:rPr>
          <w:rFonts w:asciiTheme="majorHAnsi" w:hAnsiTheme="majorHAnsi" w:cs="Segoe UI"/>
          <w:szCs w:val="22"/>
          <w:u w:val="single"/>
          <w:shd w:val="clear" w:color="auto" w:fill="00FF00"/>
        </w:rPr>
        <w:t>Public-private partnerships are a key component to driving innovation and national leadership</w:t>
      </w:r>
      <w:r w:rsidRPr="005935EF">
        <w:rPr>
          <w:rFonts w:asciiTheme="majorHAnsi" w:hAnsiTheme="majorHAnsi" w:cs="Segoe UI"/>
          <w:sz w:val="16"/>
          <w:szCs w:val="16"/>
        </w:rPr>
        <w:t>. With the potential to address a wide array of modern challenges from technology development to infrastructure modernization, and from education to the economic development of space, public-private partnerships unlock new possibilities unavailable when we rely solely on public or private investment. </w:t>
      </w:r>
      <w:r w:rsidRPr="005935EF">
        <w:rPr>
          <w:rFonts w:asciiTheme="majorHAnsi" w:hAnsiTheme="majorHAnsi" w:cs="Segoe UI"/>
          <w:szCs w:val="22"/>
          <w:u w:val="single"/>
          <w:shd w:val="clear" w:color="auto" w:fill="00FF00"/>
        </w:rPr>
        <w:t>The International Space Station (ISS) National laboratory is a great example of a public-private partnership model that is working in space</w:t>
      </w:r>
      <w:r w:rsidRPr="005935EF">
        <w:rPr>
          <w:rFonts w:asciiTheme="majorHAnsi" w:hAnsiTheme="majorHAnsi" w:cs="Segoe UI"/>
          <w:sz w:val="16"/>
          <w:szCs w:val="16"/>
        </w:rPr>
        <w:t>. The ISS National Lab </w:t>
      </w:r>
      <w:proofErr w:type="gramStart"/>
      <w:r w:rsidRPr="005935EF">
        <w:rPr>
          <w:rFonts w:asciiTheme="majorHAnsi" w:hAnsiTheme="majorHAnsi" w:cs="Segoe UI"/>
          <w:sz w:val="16"/>
          <w:szCs w:val="16"/>
        </w:rPr>
        <w:t>opens up</w:t>
      </w:r>
      <w:proofErr w:type="gramEnd"/>
      <w:r w:rsidRPr="005935EF">
        <w:rPr>
          <w:rFonts w:asciiTheme="majorHAnsi" w:hAnsiTheme="majorHAnsi" w:cs="Segoe UI"/>
          <w:sz w:val="16"/>
          <w:szCs w:val="16"/>
        </w:rPr>
        <w:t> the incredible possibilities of the space station research environment to a diverse range of researchers, entrepreneurs, and innovators that could create entirely new markets in space. The ISS National Laboratory – Accelerating Utilization of the ISS </w:t>
      </w:r>
      <w:r w:rsidRPr="005935EF">
        <w:rPr>
          <w:rFonts w:asciiTheme="majorHAnsi" w:hAnsiTheme="majorHAnsi" w:cs="Segoe UI"/>
          <w:szCs w:val="22"/>
          <w:u w:val="single"/>
          <w:shd w:val="clear" w:color="auto" w:fill="00FF00"/>
        </w:rPr>
        <w:t>The ISS offers a unique research and development platform</w:t>
      </w:r>
      <w:r w:rsidRPr="005935EF">
        <w:rPr>
          <w:rFonts w:asciiTheme="majorHAnsi" w:hAnsiTheme="majorHAnsi" w:cs="Segoe UI"/>
          <w:szCs w:val="22"/>
          <w:u w:val="single"/>
        </w:rPr>
        <w:t>, unlike any on Earth, enabling research that benefits both exploration and life on Earth</w:t>
      </w:r>
      <w:r w:rsidRPr="005935EF">
        <w:rPr>
          <w:rFonts w:asciiTheme="majorHAnsi" w:hAnsiTheme="majorHAnsi" w:cs="Segoe UI"/>
          <w:sz w:val="16"/>
          <w:szCs w:val="16"/>
        </w:rPr>
        <w:t>. </w:t>
      </w:r>
      <w:proofErr w:type="gramStart"/>
      <w:r w:rsidRPr="005935EF">
        <w:rPr>
          <w:rFonts w:asciiTheme="majorHAnsi" w:hAnsiTheme="majorHAnsi" w:cs="Segoe UI"/>
          <w:sz w:val="16"/>
          <w:szCs w:val="16"/>
        </w:rPr>
        <w:t>In an effort to</w:t>
      </w:r>
      <w:proofErr w:type="gramEnd"/>
      <w:r w:rsidRPr="005935EF">
        <w:rPr>
          <w:rFonts w:asciiTheme="majorHAnsi" w:hAnsiTheme="majorHAnsi" w:cs="Segoe UI"/>
          <w:sz w:val="16"/>
          <w:szCs w:val="16"/>
        </w:rPr>
        <w:t> expand the research opportunities this unparalleled platform provides to the nation, the ISS United States Orbital Segment, through bipartisan legislation, was designated as a U.S. National Laboratory in 2005, enabling research and development access to a broad range of commercial, academic, and government users. After final assembly of the ISS in 2011, the Center for the Advancement of Science in Space, a (</w:t>
      </w:r>
      <w:proofErr w:type="gramStart"/>
      <w:r w:rsidRPr="005935EF">
        <w:rPr>
          <w:rFonts w:asciiTheme="majorHAnsi" w:hAnsiTheme="majorHAnsi" w:cs="Segoe UI"/>
          <w:sz w:val="16"/>
          <w:szCs w:val="16"/>
        </w:rPr>
        <w:t>501)(</w:t>
      </w:r>
      <w:proofErr w:type="gramEnd"/>
      <w:r w:rsidRPr="005935EF">
        <w:rPr>
          <w:rFonts w:asciiTheme="majorHAnsi" w:hAnsiTheme="majorHAnsi" w:cs="Segoe UI"/>
          <w:sz w:val="16"/>
          <w:szCs w:val="16"/>
        </w:rPr>
        <w:t>c)(3) organization, was selected by NASA to manage the ISS U.S. National Laboratory. </w:t>
      </w:r>
      <w:r w:rsidRPr="005935EF">
        <w:rPr>
          <w:rFonts w:asciiTheme="majorHAnsi" w:hAnsiTheme="majorHAnsi" w:cs="Segoe UI"/>
          <w:szCs w:val="22"/>
          <w:u w:val="single"/>
          <w:shd w:val="clear" w:color="auto" w:fill="00FF00"/>
        </w:rPr>
        <w:t>The ISS National Lab fulfills its mission to accelerate space-based research by engaging a variety of nontraditional space users, operating in the fields of life science, physical science, technology development, and remote sensing</w:t>
      </w:r>
      <w:r w:rsidRPr="005935EF">
        <w:rPr>
          <w:rFonts w:asciiTheme="majorHAnsi" w:hAnsiTheme="majorHAnsi" w:cs="Segoe UI"/>
          <w:sz w:val="16"/>
          <w:szCs w:val="16"/>
        </w:rPr>
        <w:t>. The ISS National Lab engages primarily with organizations that pay toward the value obtained on the ISS, as well as with other organizations addressing national science and research priorities. This research serves commercial and entrepreneurial needs and other important goals such as the pursuit of new knowledge and education. Since 2011, the ISS National Lab has stewarded more than 200 ISS research projects, ranging from developing new drug therapies, to monitoring tropical cyclones, to improving equipment for </w:t>
      </w:r>
      <w:proofErr w:type="gramStart"/>
      <w:r w:rsidRPr="005935EF">
        <w:rPr>
          <w:rFonts w:asciiTheme="majorHAnsi" w:hAnsiTheme="majorHAnsi" w:cs="Segoe UI"/>
          <w:sz w:val="16"/>
          <w:szCs w:val="16"/>
        </w:rPr>
        <w:t>first-responders</w:t>
      </w:r>
      <w:proofErr w:type="gramEnd"/>
      <w:r w:rsidRPr="005935EF">
        <w:rPr>
          <w:rFonts w:asciiTheme="majorHAnsi" w:hAnsiTheme="majorHAnsi" w:cs="Segoe UI"/>
          <w:sz w:val="16"/>
          <w:szCs w:val="16"/>
        </w:rPr>
        <w:t>, to producing unique fiber-optics materials in space. </w:t>
      </w:r>
      <w:r w:rsidRPr="005935EF">
        <w:rPr>
          <w:rFonts w:asciiTheme="majorHAnsi" w:hAnsiTheme="majorHAnsi" w:cs="Segoe UI"/>
          <w:szCs w:val="22"/>
          <w:u w:val="single"/>
          <w:shd w:val="clear" w:color="auto" w:fill="00FF00"/>
        </w:rPr>
        <w:t>Working together with NASA, the ISS National Lab aims to advance the nation’s leadership in commercial space</w:t>
      </w:r>
      <w:r w:rsidRPr="005935EF">
        <w:rPr>
          <w:rFonts w:asciiTheme="majorHAnsi" w:hAnsiTheme="majorHAnsi" w:cs="Segoe UI"/>
          <w:szCs w:val="22"/>
          <w:u w:val="single"/>
        </w:rPr>
        <w:t>, pursue groundbreaking science not possible on Earth, and leverage the space station to inspire the next generation. </w:t>
      </w:r>
      <w:r w:rsidRPr="005935EF">
        <w:rPr>
          <w:rFonts w:asciiTheme="majorHAnsi" w:hAnsiTheme="majorHAnsi" w:cs="Segoe UI"/>
          <w:sz w:val="16"/>
          <w:szCs w:val="16"/>
        </w:rPr>
        <w:t>Prior to the ISS National Lab model, NASA traditionally funded all aspects of ISS research, whether it was research needed to further exploration, or discovery-based space research that expanded upon its scientific agenda. </w:t>
      </w:r>
      <w:r w:rsidRPr="005935EF">
        <w:rPr>
          <w:rFonts w:asciiTheme="majorHAnsi" w:hAnsiTheme="majorHAnsi" w:cs="Segoe UI"/>
          <w:szCs w:val="22"/>
          <w:u w:val="single"/>
          <w:shd w:val="clear" w:color="auto" w:fill="00FF00"/>
        </w:rPr>
        <w:t>As the ISS evolved into a National Laboratory, the ISS National Lab has increased the diversity of users by accelerating utilization of the ISS</w:t>
      </w:r>
      <w:r w:rsidRPr="005935EF">
        <w:rPr>
          <w:rFonts w:asciiTheme="majorHAnsi" w:hAnsiTheme="majorHAnsi" w:cs="Segoe UI"/>
          <w:szCs w:val="22"/>
          <w:u w:val="single"/>
        </w:rPr>
        <w:t> as an innovation platform for a wide variety of partners. </w:t>
      </w:r>
      <w:r w:rsidRPr="005935EF">
        <w:rPr>
          <w:rFonts w:asciiTheme="majorHAnsi" w:hAnsiTheme="majorHAnsi" w:cs="Segoe UI"/>
          <w:szCs w:val="22"/>
          <w:u w:val="single"/>
          <w:shd w:val="clear" w:color="auto" w:fill="00FF00"/>
        </w:rPr>
        <w:t>These include Fortune 500 organizations, small businesses, educational institutions, philanthropic and research foundations</w:t>
      </w:r>
      <w:r w:rsidRPr="005935EF">
        <w:rPr>
          <w:rFonts w:asciiTheme="majorHAnsi" w:hAnsiTheme="majorHAnsi" w:cs="Segoe UI"/>
          <w:szCs w:val="22"/>
          <w:u w:val="single"/>
        </w:rPr>
        <w:t>, federal and state government agencies, and other thought leaders in pursuit of groundbreaking technology and innovation who are interested in leveraging microgravity to solve complex research problems on Earth</w:t>
      </w:r>
      <w:r w:rsidRPr="005935EF">
        <w:rPr>
          <w:rFonts w:asciiTheme="majorHAnsi" w:hAnsiTheme="majorHAnsi" w:cs="Segoe UI"/>
          <w:sz w:val="16"/>
          <w:szCs w:val="16"/>
        </w:rPr>
        <w:t xml:space="preserve">. The ISS National </w:t>
      </w:r>
      <w:r w:rsidRPr="005935EF">
        <w:rPr>
          <w:rFonts w:asciiTheme="majorHAnsi" w:hAnsiTheme="majorHAnsi" w:cs="Segoe UI"/>
          <w:sz w:val="16"/>
          <w:szCs w:val="16"/>
        </w:rPr>
        <w:lastRenderedPageBreak/>
        <w:t>Lab plays a role in not only attracting a diverse set of users, including private companies, to utilize the ISS, but also in engaging the private sector through various research and cost-sharing arrangements. Sponsored Programs – Accelerating Third-Party Funding for Space Research </w:t>
      </w:r>
      <w:proofErr w:type="gramStart"/>
      <w:r w:rsidRPr="005935EF">
        <w:rPr>
          <w:rFonts w:asciiTheme="majorHAnsi" w:hAnsiTheme="majorHAnsi" w:cs="Segoe UI"/>
          <w:szCs w:val="22"/>
          <w:u w:val="single"/>
          <w:shd w:val="clear" w:color="auto" w:fill="00FF00"/>
        </w:rPr>
        <w:t>The</w:t>
      </w:r>
      <w:proofErr w:type="gramEnd"/>
      <w:r w:rsidRPr="005935EF">
        <w:rPr>
          <w:rFonts w:asciiTheme="majorHAnsi" w:hAnsiTheme="majorHAnsi" w:cs="Segoe UI"/>
          <w:szCs w:val="22"/>
          <w:u w:val="single"/>
          <w:shd w:val="clear" w:color="auto" w:fill="00FF00"/>
        </w:rPr>
        <w:t> ISS National Lab has developed a successful Sponsored Program model that attracts third-party funding from private industry and other government agencies</w:t>
      </w:r>
      <w:r w:rsidRPr="005935EF">
        <w:rPr>
          <w:rFonts w:asciiTheme="majorHAnsi" w:hAnsiTheme="majorHAnsi" w:cs="Segoe UI"/>
          <w:szCs w:val="22"/>
          <w:u w:val="single"/>
        </w:rPr>
        <w:t> to solve big problems or address target challenges</w:t>
      </w:r>
      <w:r w:rsidRPr="005935EF">
        <w:rPr>
          <w:rFonts w:asciiTheme="majorHAnsi" w:hAnsiTheme="majorHAnsi" w:cs="Segoe UI"/>
          <w:sz w:val="16"/>
          <w:szCs w:val="16"/>
        </w:rPr>
        <w:t>. These programs translate into projects on the ISS National Lab. The Sponsored Program model enables an organization to ask new questions and explore key variables, using the ISS National Lab environment as a tool in their innovation portfolio. In return, the organization creates opportunities for targeted research and development projects and STEM education projects or fosters novel ideas of startup companies. Fortune 500 companies, government agencies, and regional incubators have successfully used the ISS National Lab Sponsored Program model. This unique research and development model is flexible to meet the needs and budget of a partnering organization. Successful Sponsored Programs include Boeing Mass Challenge, Massachusetts Life Sciences Center, National Science Foundation (NSF) fluid dynamics and combustion Sponsored Program, and the National Institutes of Health (NIH) National Center for Advancing Translational Sciences (NCATS) organ-on-chip technologies Sponsored Program, totaling more than $20 million in third-party funding over the last two years. Additional Sponsored Programs totaling close to $5 million in 2017 with Fortune 500 organizations are imminent and will target major challenges to humankind as well as STEM education initiatives.  </w:t>
      </w:r>
    </w:p>
    <w:p w14:paraId="207037BE" w14:textId="77777777" w:rsidR="005446DC" w:rsidRPr="005935EF" w:rsidRDefault="005446DC" w:rsidP="005446DC">
      <w:pPr>
        <w:spacing w:line="360" w:lineRule="auto"/>
        <w:textAlignment w:val="baseline"/>
        <w:rPr>
          <w:rFonts w:asciiTheme="majorHAnsi" w:hAnsiTheme="majorHAnsi" w:cs="Segoe UI"/>
          <w:sz w:val="18"/>
          <w:szCs w:val="18"/>
        </w:rPr>
      </w:pPr>
    </w:p>
    <w:p w14:paraId="08730DCA" w14:textId="77777777" w:rsidR="005446DC" w:rsidRPr="005935EF" w:rsidRDefault="005446DC" w:rsidP="005446DC">
      <w:pPr>
        <w:pStyle w:val="Heading4"/>
        <w:spacing w:line="360" w:lineRule="auto"/>
        <w:rPr>
          <w:rFonts w:asciiTheme="majorHAnsi" w:hAnsiTheme="majorHAnsi"/>
          <w:sz w:val="18"/>
          <w:szCs w:val="18"/>
        </w:rPr>
      </w:pPr>
      <w:r w:rsidRPr="005935EF">
        <w:rPr>
          <w:rFonts w:asciiTheme="majorHAnsi" w:hAnsiTheme="majorHAnsi"/>
        </w:rPr>
        <w:t>Private organizations already have debris tracking technology – partnership would be the safest and most efficient </w:t>
      </w:r>
    </w:p>
    <w:p w14:paraId="40E4C544" w14:textId="77777777" w:rsidR="005446DC" w:rsidRPr="005935EF" w:rsidRDefault="005446DC" w:rsidP="005446DC">
      <w:pPr>
        <w:spacing w:line="360" w:lineRule="auto"/>
        <w:textAlignment w:val="baseline"/>
        <w:rPr>
          <w:rFonts w:asciiTheme="majorHAnsi" w:hAnsiTheme="majorHAnsi" w:cs="Segoe UI"/>
          <w:sz w:val="18"/>
          <w:szCs w:val="18"/>
        </w:rPr>
      </w:pPr>
      <w:r w:rsidRPr="005935EF">
        <w:rPr>
          <w:rFonts w:asciiTheme="majorHAnsi" w:hAnsiTheme="majorHAnsi" w:cs="Segoe UI"/>
          <w:b/>
          <w:bCs/>
        </w:rPr>
        <w:t>Moore &amp; van </w:t>
      </w:r>
      <w:proofErr w:type="spellStart"/>
      <w:r w:rsidRPr="005935EF">
        <w:rPr>
          <w:rFonts w:asciiTheme="majorHAnsi" w:hAnsiTheme="majorHAnsi" w:cs="Segoe UI"/>
          <w:b/>
          <w:bCs/>
        </w:rPr>
        <w:t>Burken</w:t>
      </w:r>
      <w:proofErr w:type="spellEnd"/>
      <w:r w:rsidRPr="005935EF">
        <w:rPr>
          <w:rFonts w:asciiTheme="majorHAnsi" w:hAnsiTheme="majorHAnsi" w:cs="Segoe UI"/>
          <w:b/>
          <w:bCs/>
        </w:rPr>
        <w:t> 2021</w:t>
      </w:r>
      <w:r w:rsidRPr="005935EF">
        <w:rPr>
          <w:rFonts w:asciiTheme="majorHAnsi" w:hAnsiTheme="majorHAnsi" w:cs="Segoe UI"/>
        </w:rPr>
        <w:t> </w:t>
      </w:r>
      <w:r w:rsidRPr="005935EF">
        <w:rPr>
          <w:rFonts w:asciiTheme="majorHAnsi" w:hAnsiTheme="majorHAnsi" w:cs="Segoe UI"/>
          <w:szCs w:val="22"/>
        </w:rPr>
        <w:t>[Adrian Moore, Vice President of Policy, and Rebecca van </w:t>
      </w:r>
      <w:proofErr w:type="spellStart"/>
      <w:r w:rsidRPr="005935EF">
        <w:rPr>
          <w:rFonts w:asciiTheme="majorHAnsi" w:hAnsiTheme="majorHAnsi" w:cs="Segoe UI"/>
          <w:szCs w:val="22"/>
        </w:rPr>
        <w:t>Burken</w:t>
      </w:r>
      <w:proofErr w:type="spellEnd"/>
      <w:r w:rsidRPr="005935EF">
        <w:rPr>
          <w:rFonts w:asciiTheme="majorHAnsi" w:hAnsiTheme="majorHAnsi" w:cs="Segoe UI"/>
          <w:szCs w:val="22"/>
        </w:rPr>
        <w:t>, Policy Analyst, “As Commercial Space Travel Becomes Reality, Debris and Space Traffic Management Becomes More Important,” Reason Foundation, August 5, 2021, </w:t>
      </w:r>
      <w:hyperlink r:id="rId13" w:tgtFrame="_blank" w:history="1">
        <w:r w:rsidRPr="005935EF">
          <w:rPr>
            <w:rFonts w:asciiTheme="majorHAnsi" w:hAnsiTheme="majorHAnsi" w:cs="Segoe UI"/>
            <w:szCs w:val="22"/>
          </w:rPr>
          <w:t>https://reason.org/commentary/as-commerical-space-travel-becomes-reality-debris-and-space-traffic-management-becomes-more-important/</w:t>
        </w:r>
      </w:hyperlink>
      <w:r w:rsidRPr="005935EF">
        <w:rPr>
          <w:rFonts w:asciiTheme="majorHAnsi" w:hAnsiTheme="majorHAnsi" w:cs="Segoe UI"/>
          <w:szCs w:val="22"/>
        </w:rPr>
        <w:t>] //</w:t>
      </w:r>
      <w:proofErr w:type="spellStart"/>
      <w:r w:rsidRPr="005935EF">
        <w:rPr>
          <w:rFonts w:asciiTheme="majorHAnsi" w:hAnsiTheme="majorHAnsi" w:cs="Segoe UI"/>
          <w:szCs w:val="22"/>
        </w:rPr>
        <w:t>neth</w:t>
      </w:r>
      <w:proofErr w:type="spellEnd"/>
      <w:r w:rsidRPr="005935EF">
        <w:rPr>
          <w:rFonts w:asciiTheme="majorHAnsi" w:hAnsiTheme="majorHAnsi" w:cs="Segoe UI"/>
          <w:szCs w:val="22"/>
        </w:rPr>
        <w:t>  </w:t>
      </w:r>
    </w:p>
    <w:p w14:paraId="2370951A" w14:textId="79FB849C" w:rsidR="005446DC" w:rsidRDefault="005446DC" w:rsidP="005446DC">
      <w:pPr>
        <w:spacing w:line="360" w:lineRule="auto"/>
        <w:textAlignment w:val="baseline"/>
        <w:rPr>
          <w:rFonts w:asciiTheme="majorHAnsi" w:hAnsiTheme="majorHAnsi" w:cs="Segoe UI"/>
          <w:sz w:val="16"/>
          <w:szCs w:val="16"/>
        </w:rPr>
      </w:pPr>
      <w:r w:rsidRPr="005935EF">
        <w:rPr>
          <w:rFonts w:asciiTheme="majorHAnsi" w:hAnsiTheme="majorHAnsi" w:cs="Segoe UI"/>
          <w:sz w:val="16"/>
          <w:szCs w:val="16"/>
        </w:rPr>
        <w:t>With Richard Branson and Jeff Bezos soaring into suborbital space, three U.S. flights to the International Space Station (ISS) in July, and SpaceX delivering 88 satellites to orbit in the last six weeks, space traffic is surging. And this is just the beginning of increased commercial and governmental activity in space. August will see several more trips to the ISS and more launches of satellites. Additionally, the Biden administration signed an agreement with the European Space Agency to use more satellites to address climate change through earth science research. This increased space traffic serves a wide array of purposes and represents vast investments by the private space industry and government. But these investments are going to increasingly be jeopardized by the massive amount of space junk already circling Earth. </w:t>
      </w:r>
      <w:r w:rsidRPr="005935EF">
        <w:rPr>
          <w:rFonts w:asciiTheme="majorHAnsi" w:hAnsiTheme="majorHAnsi" w:cs="Segoe UI"/>
          <w:szCs w:val="22"/>
          <w:u w:val="single"/>
        </w:rPr>
        <w:t>There’s plenty of room to fly up there, </w:t>
      </w:r>
      <w:proofErr w:type="gramStart"/>
      <w:r w:rsidRPr="005935EF">
        <w:rPr>
          <w:rFonts w:asciiTheme="majorHAnsi" w:hAnsiTheme="majorHAnsi" w:cs="Segoe UI"/>
          <w:szCs w:val="22"/>
          <w:u w:val="single"/>
        </w:rPr>
        <w:t>but,</w:t>
      </w:r>
      <w:proofErr w:type="gramEnd"/>
      <w:r w:rsidRPr="005935EF">
        <w:rPr>
          <w:rFonts w:asciiTheme="majorHAnsi" w:hAnsiTheme="majorHAnsi" w:cs="Segoe UI"/>
          <w:szCs w:val="22"/>
          <w:u w:val="single"/>
        </w:rPr>
        <w:t> believe it or not, </w:t>
      </w:r>
      <w:r w:rsidRPr="005935EF">
        <w:rPr>
          <w:rFonts w:asciiTheme="majorHAnsi" w:hAnsiTheme="majorHAnsi" w:cs="Segoe UI"/>
          <w:szCs w:val="22"/>
          <w:u w:val="single"/>
          <w:shd w:val="clear" w:color="auto" w:fill="00FF00"/>
        </w:rPr>
        <w:t>NASA estimates there are already 23,000 pieces of debris larger than 10 centimeters and over 500,000 pieces of smaller junk in orbit.</w:t>
      </w:r>
      <w:r w:rsidRPr="005935EF">
        <w:rPr>
          <w:rFonts w:asciiTheme="majorHAnsi" w:hAnsiTheme="majorHAnsi" w:cs="Segoe UI"/>
          <w:sz w:val="16"/>
          <w:szCs w:val="16"/>
        </w:rPr>
        <w:t xml:space="preserve"> This space junk, or orbital debris, travels at high speeds and even a small piece can cause serious damage or destruction if it hits a spacecraft or satellite. The space debris includes thousands of dead and retired satellites, parts of spacecraft from decades of missions, items exploded in warfare testing, and more. Dodging space junk is a regular requirement for spacecraft in orbit. The International Space Station had to maneuver 25 times between 1999 and 2018 to avoid collisions, and it had to dodge debris three times in 2020. Monitoring this debris is going to be a major issue as private space travel and the space economy grow. In 2019, the global space economy amounted to about $366 billion. Of this, $271 billion was in the satellite industry and $123 billion was directly in satellite services. As the world increasingly becoming reliant on satellites U.S. and global satellite businesses bear the brunt of the failure to track and remove orbital debris. As Sen. John Hickenlooper (D-Colo.), chair of the Senate Commerce Committee’s Subcommittee on Science and Space, said recently, we need to be proactive on space debris “rather than </w:t>
      </w:r>
      <w:r w:rsidRPr="005935EF">
        <w:rPr>
          <w:rFonts w:asciiTheme="majorHAnsi" w:hAnsiTheme="majorHAnsi" w:cs="Segoe UI"/>
          <w:sz w:val="16"/>
          <w:szCs w:val="16"/>
        </w:rPr>
        <w:lastRenderedPageBreak/>
        <w:t>learning by a terrible accident … but we don’t quite have the sense of urgency we need.” </w:t>
      </w:r>
      <w:r w:rsidRPr="005935EF">
        <w:rPr>
          <w:rFonts w:asciiTheme="majorHAnsi" w:hAnsiTheme="majorHAnsi" w:cs="Segoe UI"/>
          <w:szCs w:val="22"/>
          <w:u w:val="single"/>
          <w:shd w:val="clear" w:color="auto" w:fill="00FF00"/>
        </w:rPr>
        <w:t>Urgency means committing to better space traffic </w:t>
      </w:r>
      <w:proofErr w:type="gramStart"/>
      <w:r w:rsidRPr="005935EF">
        <w:rPr>
          <w:rFonts w:asciiTheme="majorHAnsi" w:hAnsiTheme="majorHAnsi" w:cs="Segoe UI"/>
          <w:szCs w:val="22"/>
          <w:u w:val="single"/>
          <w:shd w:val="clear" w:color="auto" w:fill="00FF00"/>
        </w:rPr>
        <w:t>management, and</w:t>
      </w:r>
      <w:proofErr w:type="gramEnd"/>
      <w:r w:rsidRPr="005935EF">
        <w:rPr>
          <w:rFonts w:asciiTheme="majorHAnsi" w:hAnsiTheme="majorHAnsi" w:cs="Segoe UI"/>
          <w:szCs w:val="22"/>
          <w:u w:val="single"/>
          <w:shd w:val="clear" w:color="auto" w:fill="00FF00"/>
        </w:rPr>
        <w:t> tracking and removing orbital debris.</w:t>
      </w:r>
      <w:r w:rsidRPr="005935EF">
        <w:rPr>
          <w:rFonts w:asciiTheme="majorHAnsi" w:hAnsiTheme="majorHAnsi" w:cs="Segoe UI"/>
          <w:szCs w:val="22"/>
          <w:u w:val="single"/>
        </w:rPr>
        <w:t> </w:t>
      </w:r>
      <w:r w:rsidRPr="005935EF">
        <w:rPr>
          <w:rFonts w:asciiTheme="majorHAnsi" w:hAnsiTheme="majorHAnsi" w:cs="Segoe UI"/>
          <w:szCs w:val="22"/>
          <w:u w:val="single"/>
          <w:shd w:val="clear" w:color="auto" w:fill="00FF00"/>
        </w:rPr>
        <w:t>Orbital debris management is not well organized within the government. Right now, the Department of Defense (DOD) does most tracking</w:t>
      </w:r>
      <w:r w:rsidRPr="005935EF">
        <w:rPr>
          <w:rFonts w:asciiTheme="majorHAnsi" w:hAnsiTheme="majorHAnsi" w:cs="Segoe UI"/>
          <w:szCs w:val="22"/>
          <w:u w:val="single"/>
        </w:rPr>
        <w:t> of space debris for the U.S. out of the need to protect military satellites and national security interests. </w:t>
      </w:r>
      <w:r w:rsidRPr="005935EF">
        <w:rPr>
          <w:rFonts w:asciiTheme="majorHAnsi" w:hAnsiTheme="majorHAnsi" w:cs="Segoe UI"/>
          <w:sz w:val="16"/>
          <w:szCs w:val="16"/>
        </w:rPr>
        <w:t>NASA has its own less advanced systems for tracking debris. </w:t>
      </w:r>
      <w:r w:rsidRPr="005935EF">
        <w:rPr>
          <w:rFonts w:asciiTheme="majorHAnsi" w:hAnsiTheme="majorHAnsi" w:cs="Segoe UI"/>
          <w:szCs w:val="22"/>
          <w:u w:val="single"/>
          <w:shd w:val="clear" w:color="auto" w:fill="00FF00"/>
        </w:rPr>
        <w:t>However, orbital debris management is not just about tracking debris anymore. It is also about forming collision warning systems and safely managing traffic in space. To do this efficiently, we need a civil repository for all orbital debris components,</w:t>
      </w:r>
      <w:r w:rsidRPr="005935EF">
        <w:rPr>
          <w:rFonts w:asciiTheme="majorHAnsi" w:hAnsiTheme="majorHAnsi" w:cs="Segoe UI"/>
          <w:szCs w:val="22"/>
          <w:u w:val="single"/>
        </w:rPr>
        <w:t> </w:t>
      </w:r>
      <w:r w:rsidRPr="005935EF">
        <w:rPr>
          <w:rFonts w:asciiTheme="majorHAnsi" w:hAnsiTheme="majorHAnsi" w:cs="Segoe UI"/>
          <w:szCs w:val="22"/>
          <w:u w:val="single"/>
          <w:shd w:val="clear" w:color="auto" w:fill="00FF00"/>
        </w:rPr>
        <w:t>something that many commercial space companies have already created on their own</w:t>
      </w:r>
      <w:r w:rsidRPr="005935EF">
        <w:rPr>
          <w:rFonts w:asciiTheme="majorHAnsi" w:hAnsiTheme="majorHAnsi" w:cs="Segoe UI"/>
          <w:szCs w:val="22"/>
          <w:u w:val="single"/>
        </w:rPr>
        <w:t> to stay aware of orbital debris and help protect their satellites in space.</w:t>
      </w:r>
      <w:r w:rsidRPr="005935EF">
        <w:rPr>
          <w:rFonts w:asciiTheme="majorHAnsi" w:hAnsiTheme="majorHAnsi" w:cs="Segoe UI"/>
          <w:sz w:val="16"/>
          <w:szCs w:val="16"/>
        </w:rPr>
        <w:t> Tracking debris may be a national security </w:t>
      </w:r>
      <w:proofErr w:type="gramStart"/>
      <w:r w:rsidRPr="005935EF">
        <w:rPr>
          <w:rFonts w:asciiTheme="majorHAnsi" w:hAnsiTheme="majorHAnsi" w:cs="Segoe UI"/>
          <w:sz w:val="16"/>
          <w:szCs w:val="16"/>
        </w:rPr>
        <w:t>priority, but</w:t>
      </w:r>
      <w:proofErr w:type="gramEnd"/>
      <w:r w:rsidRPr="005935EF">
        <w:rPr>
          <w:rFonts w:asciiTheme="majorHAnsi" w:hAnsiTheme="majorHAnsi" w:cs="Segoe UI"/>
          <w:sz w:val="16"/>
          <w:szCs w:val="16"/>
        </w:rPr>
        <w:t> providing space traffic control is not really in the Defense Department’s mission. </w:t>
      </w:r>
      <w:r w:rsidRPr="005935EF">
        <w:rPr>
          <w:rFonts w:asciiTheme="majorHAnsi" w:hAnsiTheme="majorHAnsi" w:cs="Segoe UI"/>
          <w:szCs w:val="22"/>
          <w:u w:val="single"/>
          <w:shd w:val="clear" w:color="auto" w:fill="00FF00"/>
        </w:rPr>
        <w:t>We should be utilizing the private sector’s expertise and advancements in this area</w:t>
      </w:r>
      <w:r w:rsidRPr="005935EF">
        <w:rPr>
          <w:rFonts w:asciiTheme="majorHAnsi" w:hAnsiTheme="majorHAnsi" w:cs="Segoe UI"/>
          <w:sz w:val="16"/>
          <w:szCs w:val="16"/>
        </w:rPr>
        <w:t>. </w:t>
      </w:r>
      <w:r w:rsidRPr="005935EF">
        <w:rPr>
          <w:rFonts w:asciiTheme="majorHAnsi" w:hAnsiTheme="majorHAnsi" w:cs="Segoe UI"/>
          <w:szCs w:val="22"/>
          <w:u w:val="single"/>
          <w:shd w:val="clear" w:color="auto" w:fill="00FF00"/>
        </w:rPr>
        <w:t>For example, </w:t>
      </w:r>
      <w:proofErr w:type="spellStart"/>
      <w:r w:rsidRPr="005935EF">
        <w:rPr>
          <w:rFonts w:asciiTheme="majorHAnsi" w:hAnsiTheme="majorHAnsi" w:cs="Segoe UI"/>
          <w:szCs w:val="22"/>
          <w:u w:val="single"/>
          <w:shd w:val="clear" w:color="auto" w:fill="00FF00"/>
        </w:rPr>
        <w:t>Astroscale</w:t>
      </w:r>
      <w:proofErr w:type="spellEnd"/>
      <w:r w:rsidRPr="005935EF">
        <w:rPr>
          <w:rFonts w:asciiTheme="majorHAnsi" w:hAnsiTheme="majorHAnsi" w:cs="Segoe UI"/>
          <w:szCs w:val="22"/>
          <w:u w:val="single"/>
          <w:shd w:val="clear" w:color="auto" w:fill="00FF00"/>
        </w:rPr>
        <w:t> has contracts with both the Japanese and European space agencies to develop orbital debris removal capability</w:t>
      </w:r>
      <w:r w:rsidRPr="005935EF">
        <w:rPr>
          <w:rFonts w:asciiTheme="majorHAnsi" w:hAnsiTheme="majorHAnsi" w:cs="Segoe UI"/>
          <w:sz w:val="16"/>
          <w:szCs w:val="16"/>
        </w:rPr>
        <w:t>. And responsibility for developing collision warnings and space traffic management would be best suited for the Office of Space Commerce, an office with existing connections to the commercial space industry, </w:t>
      </w:r>
      <w:proofErr w:type="gramStart"/>
      <w:r w:rsidRPr="005935EF">
        <w:rPr>
          <w:rFonts w:asciiTheme="majorHAnsi" w:hAnsiTheme="majorHAnsi" w:cs="Segoe UI"/>
          <w:sz w:val="16"/>
          <w:szCs w:val="16"/>
        </w:rPr>
        <w:t>NASA</w:t>
      </w:r>
      <w:proofErr w:type="gramEnd"/>
      <w:r w:rsidRPr="005935EF">
        <w:rPr>
          <w:rFonts w:asciiTheme="majorHAnsi" w:hAnsiTheme="majorHAnsi" w:cs="Segoe UI"/>
          <w:sz w:val="16"/>
          <w:szCs w:val="16"/>
        </w:rPr>
        <w:t> and DOD. </w:t>
      </w:r>
      <w:r w:rsidRPr="005935EF">
        <w:rPr>
          <w:rFonts w:asciiTheme="majorHAnsi" w:hAnsiTheme="majorHAnsi" w:cs="Segoe UI"/>
          <w:szCs w:val="22"/>
          <w:u w:val="single"/>
          <w:shd w:val="clear" w:color="auto" w:fill="00FF00"/>
        </w:rPr>
        <w:t>Partnering with the debris tracking and removal systems private companies are developing while freeing up DOD to focus on military awareness and NASA to focus on research and development would be the most efficient way forward.</w:t>
      </w:r>
      <w:r w:rsidRPr="005935EF">
        <w:rPr>
          <w:rFonts w:asciiTheme="majorHAnsi" w:hAnsiTheme="majorHAnsi" w:cs="Segoe UI"/>
          <w:szCs w:val="22"/>
          <w:u w:val="single"/>
        </w:rPr>
        <w:t> </w:t>
      </w:r>
      <w:r w:rsidRPr="005935EF">
        <w:rPr>
          <w:rFonts w:asciiTheme="majorHAnsi" w:hAnsiTheme="majorHAnsi" w:cs="Segoe UI"/>
          <w:sz w:val="16"/>
          <w:szCs w:val="16"/>
        </w:rPr>
        <w:t>If the government works with private industry through strategic public-private partnerships, the U.S. can best address the threats posed by orbital debris and create sustainable policies for safe space exploration. </w:t>
      </w:r>
    </w:p>
    <w:p w14:paraId="411B4CC8" w14:textId="77777777" w:rsidR="001A4E6D" w:rsidRDefault="001A4E6D" w:rsidP="005446DC">
      <w:pPr>
        <w:spacing w:line="360" w:lineRule="auto"/>
        <w:textAlignment w:val="baseline"/>
        <w:rPr>
          <w:rFonts w:asciiTheme="majorHAnsi" w:hAnsiTheme="majorHAnsi" w:cs="Segoe UI"/>
          <w:sz w:val="16"/>
          <w:szCs w:val="16"/>
        </w:rPr>
      </w:pPr>
    </w:p>
    <w:p w14:paraId="1E93CC50" w14:textId="11464D0B" w:rsidR="001A4E6D" w:rsidRPr="004A02F9" w:rsidRDefault="001A4E6D" w:rsidP="001A4E6D">
      <w:pPr>
        <w:pStyle w:val="Heading4"/>
        <w:rPr>
          <w:rFonts w:asciiTheme="minorHAnsi" w:hAnsiTheme="minorHAnsi" w:cstheme="minorHAnsi"/>
        </w:rPr>
      </w:pPr>
      <w:r w:rsidRPr="004A02F9">
        <w:rPr>
          <w:rFonts w:asciiTheme="minorHAnsi" w:hAnsiTheme="minorHAnsi" w:cstheme="minorHAnsi"/>
        </w:rPr>
        <w:t xml:space="preserve">Regulated capitalism in outer space solves the </w:t>
      </w:r>
      <w:proofErr w:type="spellStart"/>
      <w:r w:rsidRPr="004A02F9">
        <w:rPr>
          <w:rFonts w:asciiTheme="minorHAnsi" w:hAnsiTheme="minorHAnsi" w:cstheme="minorHAnsi"/>
        </w:rPr>
        <w:t>Aff's</w:t>
      </w:r>
      <w:proofErr w:type="spellEnd"/>
      <w:r w:rsidRPr="004A02F9">
        <w:rPr>
          <w:rFonts w:asciiTheme="minorHAnsi" w:hAnsiTheme="minorHAnsi" w:cstheme="minorHAnsi"/>
        </w:rPr>
        <w:t xml:space="preserve"> offense without ending private appropriation.</w:t>
      </w:r>
    </w:p>
    <w:p w14:paraId="2711CE0A" w14:textId="77777777" w:rsidR="001A4E6D" w:rsidRPr="004A02F9" w:rsidRDefault="001A4E6D" w:rsidP="001A4E6D">
      <w:pPr>
        <w:rPr>
          <w:rFonts w:asciiTheme="minorHAnsi" w:hAnsiTheme="minorHAnsi" w:cstheme="minorHAnsi"/>
        </w:rPr>
      </w:pPr>
      <w:r w:rsidRPr="0037439C">
        <w:rPr>
          <w:rStyle w:val="Style13ptBold"/>
        </w:rPr>
        <w:t>Sharma 21</w:t>
      </w:r>
      <w:r>
        <w:rPr>
          <w:rFonts w:asciiTheme="minorHAnsi" w:hAnsiTheme="minorHAnsi" w:cstheme="minorHAnsi"/>
        </w:rPr>
        <w:t xml:space="preserve"> (</w:t>
      </w:r>
      <w:r w:rsidRPr="004A02F9">
        <w:rPr>
          <w:rFonts w:asciiTheme="minorHAnsi" w:hAnsiTheme="minorHAnsi" w:cstheme="minorHAnsi"/>
        </w:rPr>
        <w:t xml:space="preserve">Sharma, </w:t>
      </w:r>
      <w:proofErr w:type="spellStart"/>
      <w:r w:rsidRPr="004A02F9">
        <w:rPr>
          <w:rFonts w:asciiTheme="minorHAnsi" w:hAnsiTheme="minorHAnsi" w:cstheme="minorHAnsi"/>
        </w:rPr>
        <w:t>Maanas</w:t>
      </w:r>
      <w:proofErr w:type="spellEnd"/>
      <w:r w:rsidRPr="004A02F9">
        <w:rPr>
          <w:rFonts w:asciiTheme="minorHAnsi" w:hAnsiTheme="minorHAnsi" w:cstheme="minorHAnsi"/>
        </w:rPr>
        <w:t xml:space="preserve">. “The Privatized Frontier: The Ethical Implications </w:t>
      </w:r>
      <w:proofErr w:type="gramStart"/>
      <w:r w:rsidRPr="004A02F9">
        <w:rPr>
          <w:rFonts w:asciiTheme="minorHAnsi" w:hAnsiTheme="minorHAnsi" w:cstheme="minorHAnsi"/>
        </w:rPr>
        <w:t>And</w:t>
      </w:r>
      <w:proofErr w:type="gramEnd"/>
      <w:r w:rsidRPr="004A02F9">
        <w:rPr>
          <w:rFonts w:asciiTheme="minorHAnsi" w:hAnsiTheme="minorHAnsi" w:cstheme="minorHAnsi"/>
        </w:rPr>
        <w:t xml:space="preserve"> Role Of Private</w:t>
      </w:r>
      <w:r>
        <w:rPr>
          <w:rFonts w:asciiTheme="minorHAnsi" w:hAnsiTheme="minorHAnsi" w:cstheme="minorHAnsi"/>
        </w:rPr>
        <w:t xml:space="preserve"> </w:t>
      </w:r>
      <w:r w:rsidRPr="004A02F9">
        <w:rPr>
          <w:rFonts w:asciiTheme="minorHAnsi" w:hAnsiTheme="minorHAnsi" w:cstheme="minorHAnsi"/>
        </w:rPr>
        <w:t>Companies In Space Exploration.” The Space Review. September 07, 2021. Web.</w:t>
      </w:r>
      <w:r>
        <w:rPr>
          <w:rFonts w:asciiTheme="minorHAnsi" w:hAnsiTheme="minorHAnsi" w:cstheme="minorHAnsi"/>
        </w:rPr>
        <w:t xml:space="preserve"> </w:t>
      </w:r>
      <w:r w:rsidRPr="004A02F9">
        <w:rPr>
          <w:rFonts w:asciiTheme="minorHAnsi" w:hAnsiTheme="minorHAnsi" w:cstheme="minorHAnsi"/>
        </w:rPr>
        <w:t>December 11, 2021. &lt;https://www.thespacereview.com/article/4238/1&gt;.</w:t>
      </w:r>
      <w:r>
        <w:rPr>
          <w:rFonts w:asciiTheme="minorHAnsi" w:hAnsiTheme="minorHAnsi" w:cstheme="minorHAnsi"/>
        </w:rPr>
        <w:t>) SJ</w:t>
      </w:r>
    </w:p>
    <w:p w14:paraId="711A1937" w14:textId="77777777" w:rsidR="001A4E6D" w:rsidRPr="004A02F9" w:rsidRDefault="001A4E6D" w:rsidP="001A4E6D">
      <w:pPr>
        <w:rPr>
          <w:rFonts w:asciiTheme="minorHAnsi" w:hAnsiTheme="minorHAnsi" w:cstheme="minorHAnsi"/>
        </w:rPr>
      </w:pPr>
      <w:r w:rsidRPr="004A02F9">
        <w:rPr>
          <w:rFonts w:asciiTheme="minorHAnsi" w:hAnsiTheme="minorHAnsi" w:cstheme="minorHAnsi"/>
        </w:rPr>
        <w:t>However, others contend that just because private space exploration has some capitalist</w:t>
      </w:r>
      <w:r>
        <w:rPr>
          <w:rFonts w:asciiTheme="minorHAnsi" w:hAnsiTheme="minorHAnsi" w:cstheme="minorHAnsi"/>
        </w:rPr>
        <w:t xml:space="preserve"> </w:t>
      </w:r>
      <w:r w:rsidRPr="004A02F9">
        <w:rPr>
          <w:rFonts w:asciiTheme="minorHAnsi" w:hAnsiTheme="minorHAnsi" w:cstheme="minorHAnsi"/>
        </w:rPr>
        <w:t xml:space="preserve">elements, it is by no means an embodiment of unrestricted capitalism. </w:t>
      </w:r>
      <w:r w:rsidRPr="0037439C">
        <w:rPr>
          <w:rFonts w:asciiTheme="minorHAnsi" w:hAnsiTheme="minorHAnsi" w:cstheme="minorHAnsi"/>
          <w:highlight w:val="yellow"/>
          <w:u w:val="single"/>
        </w:rPr>
        <w:t>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w:t>
      </w:r>
      <w:r w:rsidRPr="0037439C">
        <w:rPr>
          <w:rFonts w:asciiTheme="minorHAnsi" w:hAnsiTheme="minorHAnsi" w:cstheme="minorHAnsi"/>
          <w:u w:val="single"/>
        </w:rPr>
        <w:t>.</w:t>
      </w:r>
      <w:r w:rsidRPr="004A02F9">
        <w:rPr>
          <w:rFonts w:asciiTheme="minorHAnsi" w:hAnsiTheme="minorHAnsi" w:cstheme="minorHAnsi"/>
        </w:rPr>
        <w:t xml:space="preserve"> Even those who are generally against excessive government regulation should see the</w:t>
      </w:r>
      <w:r>
        <w:rPr>
          <w:rFonts w:asciiTheme="minorHAnsi" w:hAnsiTheme="minorHAnsi" w:cstheme="minorHAnsi"/>
        </w:rPr>
        <w:t xml:space="preserve"> </w:t>
      </w:r>
      <w:r w:rsidRPr="004A02F9">
        <w:rPr>
          <w:rFonts w:asciiTheme="minorHAnsi" w:hAnsiTheme="minorHAnsi" w:cstheme="minorHAnsi"/>
        </w:rPr>
        <w:t>benefits of them in space. Lacking any consensus on definitions and rights in space will create</w:t>
      </w:r>
      <w:r>
        <w:rPr>
          <w:rFonts w:asciiTheme="minorHAnsi" w:hAnsiTheme="minorHAnsi" w:cstheme="minorHAnsi"/>
        </w:rPr>
        <w:t xml:space="preserve"> </w:t>
      </w:r>
      <w:r w:rsidRPr="004A02F9">
        <w:rPr>
          <w:rFonts w:asciiTheme="minorHAnsi" w:hAnsiTheme="minorHAnsi" w:cstheme="minorHAnsi"/>
        </w:rPr>
        <w:t>undue competition between corporations as well as governments that will harm everyone</w:t>
      </w:r>
      <w:r>
        <w:rPr>
          <w:rFonts w:asciiTheme="minorHAnsi" w:hAnsiTheme="minorHAnsi" w:cstheme="minorHAnsi"/>
        </w:rPr>
        <w:t xml:space="preserve"> </w:t>
      </w:r>
      <w:r w:rsidRPr="004A02F9">
        <w:rPr>
          <w:rFonts w:asciiTheme="minorHAnsi" w:hAnsiTheme="minorHAnsi" w:cstheme="minorHAnsi"/>
        </w:rPr>
        <w:t>rather than helping anyone</w:t>
      </w:r>
      <w:r w:rsidRPr="0037439C">
        <w:rPr>
          <w:rFonts w:asciiTheme="minorHAnsi" w:hAnsiTheme="minorHAnsi" w:cstheme="minorHAnsi"/>
          <w:u w:val="single"/>
        </w:rPr>
        <w:t xml:space="preserve">. To create a conducive environment for new space-for-space exploration, one without confrontation but </w:t>
      </w:r>
      <w:r w:rsidRPr="005476ED">
        <w:rPr>
          <w:rFonts w:asciiTheme="minorHAnsi" w:hAnsiTheme="minorHAnsi" w:cstheme="minorHAnsi"/>
          <w:highlight w:val="yellow"/>
          <w:u w:val="single"/>
        </w:rPr>
        <w:t xml:space="preserve">with protection for corporate astronauts, infrastructure, and other interests, governments must create key policies such as a framework for property </w:t>
      </w:r>
      <w:r w:rsidRPr="004E4A03">
        <w:rPr>
          <w:rFonts w:asciiTheme="minorHAnsi" w:hAnsiTheme="minorHAnsi" w:cstheme="minorHAnsi"/>
          <w:highlight w:val="yellow"/>
          <w:u w:val="single"/>
        </w:rPr>
        <w:t>rights on asteroids, the Moon, and Mars.</w:t>
      </w:r>
      <w:r>
        <w:rPr>
          <w:rFonts w:asciiTheme="minorHAnsi" w:hAnsiTheme="minorHAnsi" w:cstheme="minorHAnsi"/>
          <w:u w:val="single"/>
        </w:rPr>
        <w:t xml:space="preserve"> </w:t>
      </w:r>
    </w:p>
    <w:p w14:paraId="77631161" w14:textId="77777777" w:rsidR="001A4E6D" w:rsidRDefault="001A4E6D" w:rsidP="005446DC">
      <w:pPr>
        <w:spacing w:line="360" w:lineRule="auto"/>
        <w:textAlignment w:val="baseline"/>
        <w:rPr>
          <w:rFonts w:asciiTheme="majorHAnsi" w:hAnsiTheme="majorHAnsi" w:cs="Segoe UI"/>
          <w:sz w:val="16"/>
          <w:szCs w:val="16"/>
        </w:rPr>
      </w:pPr>
    </w:p>
    <w:p w14:paraId="1CE40BE1" w14:textId="77777777" w:rsidR="00E17CE5" w:rsidRDefault="00E17CE5" w:rsidP="00E17CE5">
      <w:pPr>
        <w:pStyle w:val="Heading4"/>
      </w:pPr>
      <w:r>
        <w:lastRenderedPageBreak/>
        <w:t>No perms</w:t>
      </w:r>
    </w:p>
    <w:p w14:paraId="73A889AE" w14:textId="77777777" w:rsidR="00E17CE5" w:rsidRDefault="00E17CE5" w:rsidP="00E17CE5">
      <w:pPr>
        <w:pStyle w:val="Heading4"/>
      </w:pPr>
      <w:r>
        <w:t xml:space="preserve">1—the cp is about expanding private appropriation of outer space—so any perm is severance from the </w:t>
      </w:r>
      <w:proofErr w:type="spellStart"/>
      <w:r>
        <w:t>aff</w:t>
      </w:r>
      <w:proofErr w:type="spellEnd"/>
    </w:p>
    <w:p w14:paraId="23B6DB56" w14:textId="77777777" w:rsidR="00E17CE5" w:rsidRPr="004E5043" w:rsidRDefault="00E17CE5" w:rsidP="00E17CE5">
      <w:pPr>
        <w:pStyle w:val="Heading4"/>
      </w:pPr>
      <w:r>
        <w:t xml:space="preserve">2—perms increase neg burden by reducing the </w:t>
      </w:r>
      <w:proofErr w:type="spellStart"/>
      <w:r>
        <w:t>neg’s</w:t>
      </w:r>
      <w:proofErr w:type="spellEnd"/>
      <w:r>
        <w:t xml:space="preserve"> possible offense—results in </w:t>
      </w:r>
      <w:proofErr w:type="spellStart"/>
      <w:r>
        <w:t>unnegatability</w:t>
      </w:r>
      <w:proofErr w:type="spellEnd"/>
    </w:p>
    <w:p w14:paraId="3114C04B" w14:textId="77777777" w:rsidR="005446DC" w:rsidRDefault="005446DC" w:rsidP="005446DC">
      <w:pPr>
        <w:spacing w:line="360" w:lineRule="auto"/>
        <w:textAlignment w:val="baseline"/>
        <w:rPr>
          <w:rFonts w:asciiTheme="majorHAnsi" w:hAnsiTheme="majorHAnsi" w:cs="Segoe UI"/>
          <w:sz w:val="16"/>
          <w:szCs w:val="16"/>
        </w:rPr>
      </w:pPr>
    </w:p>
    <w:p w14:paraId="0421B96B" w14:textId="77777777" w:rsidR="005446DC" w:rsidRPr="005935EF" w:rsidRDefault="005446DC" w:rsidP="005446DC">
      <w:pPr>
        <w:spacing w:line="360" w:lineRule="auto"/>
        <w:textAlignment w:val="baseline"/>
        <w:rPr>
          <w:rFonts w:asciiTheme="majorHAnsi" w:hAnsiTheme="majorHAnsi" w:cs="Segoe UI"/>
          <w:sz w:val="16"/>
          <w:szCs w:val="16"/>
        </w:rPr>
      </w:pPr>
    </w:p>
    <w:p w14:paraId="7437AC3A" w14:textId="068D4165" w:rsidR="005446DC" w:rsidRDefault="005446DC" w:rsidP="00CC4C1C">
      <w:pPr>
        <w:pStyle w:val="Heading2"/>
      </w:pPr>
      <w:r>
        <w:lastRenderedPageBreak/>
        <w:t>Case</w:t>
      </w:r>
    </w:p>
    <w:p w14:paraId="00C2625A" w14:textId="77777777" w:rsidR="00BE7B89" w:rsidRPr="004A02F9" w:rsidRDefault="00BE7B89" w:rsidP="00BE7B89">
      <w:pPr>
        <w:pStyle w:val="Heading4"/>
        <w:rPr>
          <w:rFonts w:asciiTheme="minorHAnsi" w:hAnsiTheme="minorHAnsi" w:cstheme="minorHAnsi"/>
        </w:rPr>
      </w:pPr>
      <w:r w:rsidRPr="004A02F9">
        <w:rPr>
          <w:rFonts w:asciiTheme="minorHAnsi" w:hAnsiTheme="minorHAnsi" w:cstheme="minorHAnsi"/>
        </w:rPr>
        <w:t xml:space="preserve">Turns suffering – mass death causes suffering because people can’t get access to resources and </w:t>
      </w:r>
      <w:proofErr w:type="gramStart"/>
      <w:r w:rsidRPr="004A02F9">
        <w:rPr>
          <w:rFonts w:asciiTheme="minorHAnsi" w:hAnsiTheme="minorHAnsi" w:cstheme="minorHAnsi"/>
        </w:rPr>
        <w:t>basic necessities</w:t>
      </w:r>
      <w:proofErr w:type="gramEnd"/>
      <w:r w:rsidRPr="004A02F9">
        <w:rPr>
          <w:rFonts w:asciiTheme="minorHAnsi" w:hAnsiTheme="minorHAnsi" w:cstheme="minorHAnsi"/>
        </w:rPr>
        <w:t> </w:t>
      </w:r>
    </w:p>
    <w:p w14:paraId="3C43C8F9" w14:textId="77777777" w:rsidR="00BE7B89" w:rsidRPr="004A02F9" w:rsidRDefault="00BE7B89" w:rsidP="00BE7B89">
      <w:pPr>
        <w:pStyle w:val="Heading4"/>
        <w:rPr>
          <w:rFonts w:asciiTheme="minorHAnsi" w:hAnsiTheme="minorHAnsi" w:cstheme="minorHAnsi"/>
        </w:rPr>
      </w:pPr>
      <w:r w:rsidRPr="004A02F9">
        <w:rPr>
          <w:rFonts w:asciiTheme="minorHAnsi" w:hAnsiTheme="minorHAnsi" w:cstheme="minorHAnsi"/>
        </w:rPr>
        <w:t xml:space="preserve">[1] Magnitude of the impact over structural violence, even if there’s a smaller chance that our impact occurs, we need to prioritize it </w:t>
      </w:r>
      <w:proofErr w:type="gramStart"/>
      <w:r w:rsidRPr="004A02F9">
        <w:rPr>
          <w:rFonts w:asciiTheme="minorHAnsi" w:hAnsiTheme="minorHAnsi" w:cstheme="minorHAnsi"/>
        </w:rPr>
        <w:t>in order to</w:t>
      </w:r>
      <w:proofErr w:type="gramEnd"/>
      <w:r w:rsidRPr="004A02F9">
        <w:rPr>
          <w:rFonts w:asciiTheme="minorHAnsi" w:hAnsiTheme="minorHAnsi" w:cstheme="minorHAnsi"/>
        </w:rPr>
        <w:t xml:space="preserve"> save the most amount of lives </w:t>
      </w:r>
    </w:p>
    <w:p w14:paraId="0F81CDBB" w14:textId="77777777" w:rsidR="00BE7B89" w:rsidRPr="004A02F9" w:rsidRDefault="00BE7B89" w:rsidP="00BE7B89">
      <w:pPr>
        <w:pStyle w:val="Heading4"/>
        <w:rPr>
          <w:rFonts w:asciiTheme="minorHAnsi" w:hAnsiTheme="minorHAnsi" w:cstheme="minorHAnsi"/>
        </w:rPr>
      </w:pPr>
      <w:r w:rsidRPr="004A02F9">
        <w:rPr>
          <w:rFonts w:asciiTheme="minorHAnsi" w:hAnsiTheme="minorHAnsi" w:cstheme="minorHAnsi"/>
        </w:rPr>
        <w:t>[2] Large impacts turn structural violence – impacts like global warming disproportionately affects minorities and people in poverty. </w:t>
      </w:r>
    </w:p>
    <w:p w14:paraId="01BE32A3" w14:textId="607D3666" w:rsidR="00BE7B89" w:rsidRDefault="00BE7B89" w:rsidP="00BE7B89">
      <w:pPr>
        <w:pStyle w:val="Heading4"/>
        <w:rPr>
          <w:rFonts w:asciiTheme="minorHAnsi" w:hAnsiTheme="minorHAnsi" w:cstheme="minorHAnsi"/>
        </w:rPr>
      </w:pPr>
      <w:r w:rsidRPr="004A02F9">
        <w:rPr>
          <w:rFonts w:asciiTheme="minorHAnsi" w:hAnsiTheme="minorHAnsi" w:cstheme="minorHAnsi"/>
        </w:rPr>
        <w:t>[3] use our framework to solve existential threats and then work on fixing structural inequalities, net benefit is preventing existential threats that would hurt marginalized groups more</w:t>
      </w:r>
    </w:p>
    <w:p w14:paraId="7412653A" w14:textId="77777777" w:rsidR="00BE7B89" w:rsidRPr="00BE7B89" w:rsidRDefault="00BE7B89" w:rsidP="00BE7B89"/>
    <w:p w14:paraId="78CFCA80" w14:textId="77777777" w:rsidR="005446DC" w:rsidRDefault="005446DC" w:rsidP="005446DC">
      <w:pPr>
        <w:pStyle w:val="Heading4"/>
      </w:pPr>
      <w:r>
        <w:t>Cleanup satellites are in progress</w:t>
      </w:r>
    </w:p>
    <w:p w14:paraId="56989B0B" w14:textId="77777777" w:rsidR="005446DC" w:rsidRPr="00AC0F37" w:rsidRDefault="005446DC" w:rsidP="005446DC">
      <w:pPr>
        <w:rPr>
          <w:sz w:val="16"/>
          <w:szCs w:val="16"/>
        </w:rPr>
      </w:pPr>
      <w:r w:rsidRPr="00AC0F37">
        <w:rPr>
          <w:b/>
          <w:bCs/>
          <w:sz w:val="24"/>
          <w:szCs w:val="28"/>
          <w:u w:val="single"/>
        </w:rPr>
        <w:t>Weiner 2021</w:t>
      </w:r>
      <w:r w:rsidRPr="00AC0F37">
        <w:rPr>
          <w:sz w:val="24"/>
          <w:szCs w:val="28"/>
        </w:rPr>
        <w:t xml:space="preserve"> </w:t>
      </w:r>
      <w:r w:rsidRPr="00AC0F37">
        <w:rPr>
          <w:sz w:val="16"/>
          <w:szCs w:val="16"/>
        </w:rPr>
        <w:t xml:space="preserve">(Chloe Weiner, March 21, 2021, “New Effort To Clean Up Space Junk Reaches Orbit,” NPR – National Public Radio, </w:t>
      </w:r>
      <w:hyperlink r:id="rId14" w:history="1">
        <w:r w:rsidRPr="00AC0F37">
          <w:rPr>
            <w:rStyle w:val="Hyperlink"/>
            <w:sz w:val="16"/>
            <w:szCs w:val="16"/>
          </w:rPr>
          <w:t>https://www.npr</w:t>
        </w:r>
        <w:r w:rsidRPr="00AC0F37">
          <w:rPr>
            <w:rStyle w:val="Hyperlink"/>
            <w:sz w:val="16"/>
            <w:szCs w:val="16"/>
          </w:rPr>
          <w:t>.</w:t>
        </w:r>
        <w:r w:rsidRPr="00AC0F37">
          <w:rPr>
            <w:rStyle w:val="Hyperlink"/>
            <w:sz w:val="16"/>
            <w:szCs w:val="16"/>
          </w:rPr>
          <w:t>org/2021/03/21/979815691/new-effort-to-clean-up-space-junk-prepares-to-launch</w:t>
        </w:r>
      </w:hyperlink>
      <w:r w:rsidRPr="00AC0F37">
        <w:rPr>
          <w:sz w:val="16"/>
          <w:szCs w:val="16"/>
        </w:rPr>
        <w:t>) //</w:t>
      </w:r>
      <w:proofErr w:type="spellStart"/>
      <w:r w:rsidRPr="00AC0F37">
        <w:rPr>
          <w:sz w:val="16"/>
          <w:szCs w:val="16"/>
        </w:rPr>
        <w:t>neth</w:t>
      </w:r>
      <w:proofErr w:type="spellEnd"/>
      <w:r w:rsidRPr="00AC0F37">
        <w:rPr>
          <w:sz w:val="16"/>
          <w:szCs w:val="16"/>
        </w:rPr>
        <w:t xml:space="preserve"> </w:t>
      </w:r>
    </w:p>
    <w:p w14:paraId="3780C94B" w14:textId="77777777" w:rsidR="005446DC" w:rsidRPr="00BC33FC" w:rsidRDefault="005446DC" w:rsidP="005446DC">
      <w:pPr>
        <w:rPr>
          <w:rStyle w:val="StyleUnderline"/>
        </w:rPr>
      </w:pPr>
      <w:r w:rsidRPr="00BC33FC">
        <w:rPr>
          <w:rStyle w:val="StyleUnderline"/>
          <w:highlight w:val="yellow"/>
        </w:rPr>
        <w:t>A</w:t>
      </w:r>
      <w:r w:rsidRPr="00BC33FC">
        <w:rPr>
          <w:rStyle w:val="StyleUnderline"/>
        </w:rPr>
        <w:t xml:space="preserve"> demonstration </w:t>
      </w:r>
      <w:r w:rsidRPr="00BC33FC">
        <w:rPr>
          <w:rStyle w:val="StyleUnderline"/>
          <w:highlight w:val="yellow"/>
        </w:rPr>
        <w:t>mission to test</w:t>
      </w:r>
      <w:r w:rsidRPr="00BC33FC">
        <w:rPr>
          <w:rStyle w:val="StyleUnderline"/>
        </w:rPr>
        <w:t xml:space="preserve"> an idea to </w:t>
      </w:r>
      <w:r w:rsidRPr="00BC33FC">
        <w:rPr>
          <w:rStyle w:val="StyleUnderline"/>
          <w:highlight w:val="yellow"/>
        </w:rPr>
        <w:t>clean up</w:t>
      </w:r>
      <w:r w:rsidRPr="00BC33FC">
        <w:rPr>
          <w:rStyle w:val="StyleUnderline"/>
        </w:rPr>
        <w:t xml:space="preserve"> space debris </w:t>
      </w:r>
      <w:r w:rsidRPr="00BC33FC">
        <w:rPr>
          <w:rStyle w:val="StyleUnderline"/>
          <w:highlight w:val="yellow"/>
        </w:rPr>
        <w:t>launched</w:t>
      </w:r>
      <w:r w:rsidRPr="00BC33FC">
        <w:rPr>
          <w:rStyle w:val="StyleUnderline"/>
        </w:rPr>
        <w:t xml:space="preserve"> Monday morning local time from the Baikonur Cosmodrome in Kazakhstan</w:t>
      </w:r>
      <w:r w:rsidRPr="00BC33FC">
        <w:rPr>
          <w:sz w:val="16"/>
        </w:rPr>
        <w:t xml:space="preserve">. </w:t>
      </w:r>
      <w:r w:rsidRPr="00BC33FC">
        <w:rPr>
          <w:rStyle w:val="StyleUnderline"/>
          <w:highlight w:val="yellow"/>
        </w:rPr>
        <w:t>Known as ELSA-d</w:t>
      </w:r>
      <w:r w:rsidRPr="00BC33FC">
        <w:rPr>
          <w:sz w:val="16"/>
        </w:rPr>
        <w:t xml:space="preserve">, the mission will exhibit technology that could help capture space junk, the millions of pieces of orbital debris that float above Earth. The more than 8,000 metric tons of debris threaten the loss of services we rely on for Earth-bound life, including weather forecasting, </w:t>
      </w:r>
      <w:proofErr w:type="gramStart"/>
      <w:r w:rsidRPr="00BC33FC">
        <w:rPr>
          <w:sz w:val="16"/>
        </w:rPr>
        <w:t>telecommunications</w:t>
      </w:r>
      <w:proofErr w:type="gramEnd"/>
      <w:r w:rsidRPr="00BC33FC">
        <w:rPr>
          <w:sz w:val="16"/>
        </w:rPr>
        <w:t xml:space="preserve"> and GPS systems. The spacecraft works by attempting to attach itself to dead satellites and pushing them toward Earth to burn up in the atmosphere. ELSA-d, which stands for End-of-Life Services </w:t>
      </w:r>
      <w:r w:rsidRPr="00BC33FC">
        <w:rPr>
          <w:rStyle w:val="StyleUnderline"/>
          <w:highlight w:val="yellow"/>
        </w:rPr>
        <w:t xml:space="preserve">by </w:t>
      </w:r>
      <w:proofErr w:type="spellStart"/>
      <w:r w:rsidRPr="00BC33FC">
        <w:rPr>
          <w:rStyle w:val="StyleUnderline"/>
          <w:highlight w:val="yellow"/>
        </w:rPr>
        <w:t>Astroscale</w:t>
      </w:r>
      <w:proofErr w:type="spellEnd"/>
      <w:r w:rsidRPr="00BC33FC">
        <w:rPr>
          <w:sz w:val="16"/>
        </w:rPr>
        <w:t xml:space="preserve">, will be carried out by </w:t>
      </w:r>
      <w:r w:rsidRPr="00BC33FC">
        <w:rPr>
          <w:rStyle w:val="StyleUnderline"/>
          <w:highlight w:val="yellow"/>
        </w:rPr>
        <w:t>a</w:t>
      </w:r>
      <w:r w:rsidRPr="00BC33FC">
        <w:rPr>
          <w:sz w:val="16"/>
        </w:rPr>
        <w:t xml:space="preserve"> "servicer satellite" and a "client satellite" that launched together, according to </w:t>
      </w:r>
      <w:proofErr w:type="spellStart"/>
      <w:r w:rsidRPr="00BC33FC">
        <w:rPr>
          <w:sz w:val="16"/>
        </w:rPr>
        <w:t>Astroscale</w:t>
      </w:r>
      <w:proofErr w:type="spellEnd"/>
      <w:r w:rsidRPr="00BC33FC">
        <w:rPr>
          <w:sz w:val="16"/>
        </w:rPr>
        <w:t xml:space="preserve">, the </w:t>
      </w:r>
      <w:r w:rsidRPr="00BC33FC">
        <w:rPr>
          <w:rStyle w:val="StyleUnderline"/>
          <w:highlight w:val="yellow"/>
        </w:rPr>
        <w:t>Japan-based company</w:t>
      </w:r>
      <w:r w:rsidRPr="00BC33FC">
        <w:rPr>
          <w:sz w:val="16"/>
        </w:rPr>
        <w:t xml:space="preserve"> behind the mission. Using a magnetic docking technology, the servicer will release and try to "rendezvous" with the client, which will act as a mock piece of space junk. The mission, which will be run from the U.K., will carry out this catch and release process repeatedly over the course of six months. The goal is to prove the servicer satellite's ability to track down and dock with its target in varying levels of complexity. </w:t>
      </w:r>
      <w:r w:rsidRPr="00BC33FC">
        <w:rPr>
          <w:rStyle w:val="StyleUnderline"/>
          <w:highlight w:val="yellow"/>
        </w:rPr>
        <w:t xml:space="preserve">The spacecraft is </w:t>
      </w:r>
      <w:r w:rsidRPr="00BC33FC">
        <w:rPr>
          <w:rStyle w:val="StyleUnderline"/>
        </w:rPr>
        <w:t xml:space="preserve">not </w:t>
      </w:r>
      <w:r w:rsidRPr="00BC33FC">
        <w:rPr>
          <w:rStyle w:val="StyleUnderline"/>
          <w:highlight w:val="yellow"/>
        </w:rPr>
        <w:t xml:space="preserve">designed to capture </w:t>
      </w:r>
      <w:r w:rsidRPr="00BC33FC">
        <w:rPr>
          <w:rStyle w:val="StyleUnderline"/>
        </w:rPr>
        <w:t xml:space="preserve">dead satellites already in orbit, but rather </w:t>
      </w:r>
      <w:r w:rsidRPr="00BC33FC">
        <w:rPr>
          <w:rStyle w:val="StyleUnderline"/>
          <w:highlight w:val="yellow"/>
        </w:rPr>
        <w:t>future satellites that would be launched with compatible docking plates on them.</w:t>
      </w:r>
    </w:p>
    <w:p w14:paraId="62B702FB" w14:textId="77777777" w:rsidR="005446DC" w:rsidRDefault="005446DC" w:rsidP="005446DC"/>
    <w:p w14:paraId="21FA54FE" w14:textId="77777777" w:rsidR="005446DC" w:rsidRDefault="005446DC" w:rsidP="005446DC">
      <w:pPr>
        <w:pStyle w:val="Heading4"/>
      </w:pPr>
      <w:r>
        <w:t>Drag sail tech solves and private investment is key to development &amp; launch</w:t>
      </w:r>
    </w:p>
    <w:p w14:paraId="1B9B46C7" w14:textId="77777777" w:rsidR="005446DC" w:rsidRPr="00AC0F37" w:rsidRDefault="005446DC" w:rsidP="005446DC">
      <w:pPr>
        <w:rPr>
          <w:sz w:val="16"/>
          <w:szCs w:val="16"/>
        </w:rPr>
      </w:pPr>
      <w:r w:rsidRPr="00AC0F37">
        <w:rPr>
          <w:b/>
          <w:bCs/>
          <w:sz w:val="24"/>
          <w:szCs w:val="28"/>
          <w:u w:val="single"/>
        </w:rPr>
        <w:t>Hill 2020</w:t>
      </w:r>
      <w:r w:rsidRPr="00AC0F37">
        <w:rPr>
          <w:sz w:val="24"/>
          <w:szCs w:val="28"/>
        </w:rPr>
        <w:t xml:space="preserve"> </w:t>
      </w:r>
      <w:r w:rsidRPr="00AC0F37">
        <w:rPr>
          <w:sz w:val="16"/>
          <w:szCs w:val="16"/>
        </w:rPr>
        <w:t xml:space="preserve">(Rebecca Hill, February 24, 2020, “Passive space debris removal using drag sail deorbiting technology,” The Space Review, </w:t>
      </w:r>
      <w:hyperlink r:id="rId15" w:history="1">
        <w:r w:rsidRPr="00AC0F37">
          <w:rPr>
            <w:rStyle w:val="Hyperlink"/>
            <w:sz w:val="16"/>
            <w:szCs w:val="16"/>
          </w:rPr>
          <w:t>https://www.thespacereview.com/article/3887/1</w:t>
        </w:r>
      </w:hyperlink>
      <w:r w:rsidRPr="00AC0F37">
        <w:rPr>
          <w:sz w:val="16"/>
          <w:szCs w:val="16"/>
        </w:rPr>
        <w:t>) //</w:t>
      </w:r>
      <w:proofErr w:type="spellStart"/>
      <w:r w:rsidRPr="00AC0F37">
        <w:rPr>
          <w:sz w:val="16"/>
          <w:szCs w:val="16"/>
        </w:rPr>
        <w:t>neth</w:t>
      </w:r>
      <w:proofErr w:type="spellEnd"/>
      <w:r w:rsidRPr="00AC0F37">
        <w:rPr>
          <w:sz w:val="16"/>
          <w:szCs w:val="16"/>
        </w:rPr>
        <w:t xml:space="preserve"> </w:t>
      </w:r>
    </w:p>
    <w:p w14:paraId="2EF7041B" w14:textId="77777777" w:rsidR="005446DC" w:rsidRPr="00A55892" w:rsidRDefault="005446DC" w:rsidP="005446DC">
      <w:pPr>
        <w:rPr>
          <w:sz w:val="16"/>
        </w:rPr>
      </w:pPr>
      <w:r w:rsidRPr="00A55892">
        <w:rPr>
          <w:sz w:val="16"/>
        </w:rPr>
        <w:t xml:space="preserve">There are currently about 22,000 tracked objects in LEO, some of which are smaller than one centimeter. The focus of many current plans has been on the active removal of current debris. But with a projected 57,000 new satellites expected to launch by 2029, the question becomes: how to prevent new debris? Currently, at Purdue University’s School of Aeronautics and Astronautics, David Spencer and his team are working on a passive debris removal system using drag sail deorbiting technology where these passive deorbiting systems are embedded within a spacecraft for deorbiting at the end of the spacecraft’s lifetime. Licensed by </w:t>
      </w:r>
      <w:proofErr w:type="spellStart"/>
      <w:r w:rsidRPr="00A55892">
        <w:rPr>
          <w:sz w:val="16"/>
        </w:rPr>
        <w:t>Vestigo</w:t>
      </w:r>
      <w:proofErr w:type="spellEnd"/>
      <w:r w:rsidRPr="00A55892">
        <w:rPr>
          <w:sz w:val="16"/>
        </w:rPr>
        <w:t xml:space="preserve"> Aerospace and funded through a Purdue University Research Foundation grant, Spencer and his team hope to launch a drag sail prototype with Texas-based Firefly Aerospace, no earlier than this April. Right now, Spencer is the project and mission of LightSail 2, a solar sail currently in orbit. </w:t>
      </w:r>
      <w:r w:rsidRPr="00A55892">
        <w:rPr>
          <w:rStyle w:val="StyleUnderline"/>
        </w:rPr>
        <w:t xml:space="preserve">According to Spencer, the </w:t>
      </w:r>
      <w:r w:rsidRPr="00A55892">
        <w:rPr>
          <w:rStyle w:val="StyleUnderline"/>
          <w:highlight w:val="yellow"/>
        </w:rPr>
        <w:t>drag sail would launch within a satellite or attached to launch vehicle</w:t>
      </w:r>
      <w:r w:rsidRPr="00A55892">
        <w:rPr>
          <w:rStyle w:val="StyleUnderline"/>
        </w:rPr>
        <w:t xml:space="preserve"> upper stage.</w:t>
      </w:r>
      <w:r w:rsidRPr="00A55892">
        <w:rPr>
          <w:sz w:val="16"/>
        </w:rPr>
        <w:t xml:space="preserve"> Once the vehicle reaches the end of its operational lifetime, the sail would deploy, using aerodynamic drag as a deorbiting force. </w:t>
      </w:r>
      <w:r w:rsidRPr="00A55892">
        <w:rPr>
          <w:rStyle w:val="StyleUnderline"/>
          <w:highlight w:val="yellow"/>
        </w:rPr>
        <w:t>While traditional deorbiting requires burn maneuvers, a passive deorbiting system works independently of spacecraft propulsion.</w:t>
      </w:r>
      <w:r>
        <w:rPr>
          <w:rStyle w:val="StyleUnderline"/>
        </w:rPr>
        <w:t xml:space="preserve"> </w:t>
      </w:r>
      <w:r w:rsidRPr="00A55892">
        <w:rPr>
          <w:rStyle w:val="StyleUnderline"/>
        </w:rPr>
        <w:t xml:space="preserve">Spencer believes </w:t>
      </w:r>
      <w:r w:rsidRPr="00A55892">
        <w:rPr>
          <w:rStyle w:val="StyleUnderline"/>
          <w:highlight w:val="yellow"/>
        </w:rPr>
        <w:t xml:space="preserve">the “sweet spot” for passive debris removal is for small satellites and launch vehicle upper </w:t>
      </w:r>
      <w:r w:rsidRPr="00A55892">
        <w:rPr>
          <w:rStyle w:val="StyleUnderline"/>
          <w:highlight w:val="yellow"/>
        </w:rPr>
        <w:lastRenderedPageBreak/>
        <w:t>stages in orbits between 500 and 900 kilometers</w:t>
      </w:r>
      <w:r w:rsidRPr="00A55892">
        <w:rPr>
          <w:sz w:val="16"/>
        </w:rPr>
        <w:t xml:space="preserve">. They can be used up to an altitude of 1,000 kilometers, but above that altitude the size of the drag sail size increases dramatically, creating a risk of collision with other debris. </w:t>
      </w:r>
      <w:proofErr w:type="spellStart"/>
      <w:proofErr w:type="gramStart"/>
      <w:r w:rsidRPr="00A55892">
        <w:rPr>
          <w:sz w:val="16"/>
        </w:rPr>
        <w:t>I”t’s</w:t>
      </w:r>
      <w:proofErr w:type="spellEnd"/>
      <w:proofErr w:type="gramEnd"/>
      <w:r w:rsidRPr="00A55892">
        <w:rPr>
          <w:sz w:val="16"/>
        </w:rPr>
        <w:t xml:space="preserve"> a big target, so to speak,” said Spencer. Thus, his team is concentrating right now on that sweet spot for drag sails with 1U and 3U </w:t>
      </w:r>
      <w:proofErr w:type="spellStart"/>
      <w:r w:rsidRPr="00A55892">
        <w:rPr>
          <w:sz w:val="16"/>
        </w:rPr>
        <w:t>cubesats</w:t>
      </w:r>
      <w:proofErr w:type="spellEnd"/>
      <w:r w:rsidRPr="00A55892">
        <w:rPr>
          <w:sz w:val="16"/>
        </w:rPr>
        <w:t xml:space="preserve">. In many ways, drag sails are like solar sails. The sail material is thin. It is packed within a satellite, and carbon fiber booms stabilize the sail. However, while solar sails use the Sun’s photons for propulsion, photons destabilize a drag sail. To work, sail orientation must be face-on to the aerodynamic flow to achieve maximum drag. </w:t>
      </w:r>
      <w:r w:rsidRPr="00A55892">
        <w:rPr>
          <w:rStyle w:val="StyleUnderline"/>
          <w:highlight w:val="yellow"/>
        </w:rPr>
        <w:t xml:space="preserve">In development are two types of sails. One is Spinnaker 1, a </w:t>
      </w:r>
      <w:proofErr w:type="spellStart"/>
      <w:r w:rsidRPr="00A55892">
        <w:rPr>
          <w:rStyle w:val="StyleUnderline"/>
          <w:highlight w:val="yellow"/>
        </w:rPr>
        <w:t>cubesat</w:t>
      </w:r>
      <w:proofErr w:type="spellEnd"/>
      <w:r w:rsidRPr="00A55892">
        <w:rPr>
          <w:rStyle w:val="StyleUnderline"/>
          <w:highlight w:val="yellow"/>
        </w:rPr>
        <w:t>-class sail</w:t>
      </w:r>
      <w:r w:rsidRPr="00A55892">
        <w:rPr>
          <w:rStyle w:val="StyleUnderline"/>
        </w:rPr>
        <w:t xml:space="preserve"> </w:t>
      </w:r>
      <w:r w:rsidRPr="00A55892">
        <w:rPr>
          <w:sz w:val="16"/>
        </w:rPr>
        <w:t xml:space="preserve">1.8-meters square that, when looking face-on, forms a square pyramid with an open funnel. “It’s a fairly small sail and effective for deorbiting </w:t>
      </w:r>
      <w:proofErr w:type="spellStart"/>
      <w:r w:rsidRPr="00A55892">
        <w:rPr>
          <w:sz w:val="16"/>
        </w:rPr>
        <w:t>cubesat</w:t>
      </w:r>
      <w:proofErr w:type="spellEnd"/>
      <w:r w:rsidRPr="00A55892">
        <w:rPr>
          <w:sz w:val="16"/>
        </w:rPr>
        <w:t xml:space="preserve"> spacecraft like the 10x10x10 centimeter satellite,” said Spencer. Up to 27U </w:t>
      </w:r>
      <w:proofErr w:type="spellStart"/>
      <w:r w:rsidRPr="00A55892">
        <w:rPr>
          <w:sz w:val="16"/>
        </w:rPr>
        <w:t>cubesats</w:t>
      </w:r>
      <w:proofErr w:type="spellEnd"/>
      <w:r w:rsidRPr="00A55892">
        <w:rPr>
          <w:sz w:val="16"/>
        </w:rPr>
        <w:t xml:space="preserve"> can be deorbited with a sail this size, says Spencer. The sail material is a transparent, Saran Wrap-like material called CP-1, </w:t>
      </w:r>
      <w:proofErr w:type="gramStart"/>
      <w:r w:rsidRPr="00A55892">
        <w:rPr>
          <w:sz w:val="16"/>
        </w:rPr>
        <w:t>tested</w:t>
      </w:r>
      <w:proofErr w:type="gramEnd"/>
      <w:r w:rsidRPr="00A55892">
        <w:rPr>
          <w:sz w:val="16"/>
        </w:rPr>
        <w:t xml:space="preserve"> and rated for a ten-year life span in geosynchronous earth orbit. The translucent material allows solar photons to pass through the material rather than being deflected, like it does with a solar sail. </w:t>
      </w:r>
      <w:r w:rsidRPr="00A55892">
        <w:rPr>
          <w:rStyle w:val="StyleUnderline"/>
        </w:rPr>
        <w:t xml:space="preserve">Spencer’s team is </w:t>
      </w:r>
      <w:r w:rsidRPr="00A55892">
        <w:rPr>
          <w:rStyle w:val="StyleUnderline"/>
          <w:highlight w:val="yellow"/>
        </w:rPr>
        <w:t>also developing an 18-square-meter flat sail with booms three meters long, called Spinnaker 3</w:t>
      </w:r>
      <w:r w:rsidRPr="00A55892">
        <w:rPr>
          <w:rStyle w:val="StyleUnderline"/>
        </w:rPr>
        <w:t>.</w:t>
      </w:r>
      <w:r w:rsidRPr="00A55892">
        <w:rPr>
          <w:sz w:val="16"/>
        </w:rPr>
        <w:t xml:space="preserve"> </w:t>
      </w:r>
      <w:r w:rsidRPr="00A55892">
        <w:rPr>
          <w:rStyle w:val="StyleUnderline"/>
        </w:rPr>
        <w:t xml:space="preserve">With this large area, Spencer says </w:t>
      </w:r>
      <w:r w:rsidRPr="00A55892">
        <w:rPr>
          <w:rStyle w:val="StyleUnderline"/>
          <w:highlight w:val="yellow"/>
        </w:rPr>
        <w:t>it can deorbit 400-kilogram satellites or launch vehicle upper stages from orbits as high as 600 kilometers</w:t>
      </w:r>
      <w:r w:rsidRPr="00A55892">
        <w:rPr>
          <w:sz w:val="16"/>
        </w:rPr>
        <w:t xml:space="preserve">. This sail is scheduled to launch with Firefly Aerospace no earlier than April. With the transparent sail material came several challenges. Static cling made tightly folding the sail difficult, says Spencer. That same static cling could also create a buildup of static electricity on the deployed sail, he said, resulting “in an electrical arcing that could damage sensitive electronics in drag sail avionics.” Another concern involved ensuring that the sail resisted the pull of the three-meter carbon fiber booms to avoid tearing the sail on deployment. One critical aspect with the drag sail was the structural stiffness of the carbon fiber booms. “We wanted to make sure that the booms deployed in a repeatable fashion in their rigid configuration on deployment to achieve drag sail structural stability,” said Spencer. “It’s taken us a few iterations to get there, but we’ve done enough testing to look like everything is going well.” Rip stops built within the sail will also help decrease the probability of damage in the event of a collision with space debris. “Micrometeoroids can pass through the sail material without minimal consequences and most likely would result in pinholes that wouldn’t have much impact,” said Spencer. However, larger debris could result in debris fragmentation, which is why, says Spencer, they needed to meet the 25-year deorbit guidelines and collision probability requirements. Aerodynamically, Spencer’s goal was stabilizing the </w:t>
      </w:r>
      <w:r w:rsidRPr="00A55892">
        <w:rPr>
          <w:rStyle w:val="StyleUnderline"/>
          <w:highlight w:val="yellow"/>
        </w:rPr>
        <w:t>drag sail</w:t>
      </w:r>
      <w:r w:rsidRPr="00A55892">
        <w:rPr>
          <w:sz w:val="16"/>
        </w:rPr>
        <w:t xml:space="preserve"> design so it would trim to a maximum drag orientation. In multiple design simulations, Spencer’s team found that the sail achieved aerodynamic stability at low altitudes, below 400 kilometers. But above that, “the vehicle was basically tumbling,” he said, “which was okay because it will still provide more area and more rapid deorbit than it would without a sail.” </w:t>
      </w:r>
      <w:r w:rsidRPr="00A55892">
        <w:rPr>
          <w:rStyle w:val="StyleUnderline"/>
        </w:rPr>
        <w:t xml:space="preserve">Right now, Spencer </w:t>
      </w:r>
      <w:r w:rsidRPr="00A55892">
        <w:rPr>
          <w:rStyle w:val="StyleUnderline"/>
          <w:highlight w:val="yellow"/>
        </w:rPr>
        <w:t>is looking to attract developers and launch vehicle companies</w:t>
      </w:r>
      <w:r w:rsidRPr="00A55892">
        <w:rPr>
          <w:rStyle w:val="StyleUnderline"/>
        </w:rPr>
        <w:t xml:space="preserve">. But </w:t>
      </w:r>
      <w:r w:rsidRPr="00A55892">
        <w:rPr>
          <w:rStyle w:val="StyleUnderline"/>
          <w:highlight w:val="yellow"/>
        </w:rPr>
        <w:t>the biggest user,</w:t>
      </w:r>
      <w:r w:rsidRPr="00A55892">
        <w:rPr>
          <w:rStyle w:val="StyleUnderline"/>
        </w:rPr>
        <w:t xml:space="preserve"> in Spencer’s opinion, </w:t>
      </w:r>
      <w:r w:rsidRPr="00A55892">
        <w:rPr>
          <w:rStyle w:val="StyleUnderline"/>
          <w:highlight w:val="yellow"/>
        </w:rPr>
        <w:t xml:space="preserve">is the </w:t>
      </w:r>
      <w:proofErr w:type="spellStart"/>
      <w:r w:rsidRPr="00A55892">
        <w:rPr>
          <w:rStyle w:val="StyleUnderline"/>
          <w:highlight w:val="yellow"/>
        </w:rPr>
        <w:t>megaconstellations</w:t>
      </w:r>
      <w:proofErr w:type="spellEnd"/>
      <w:r w:rsidRPr="00A55892">
        <w:rPr>
          <w:rStyle w:val="StyleUnderline"/>
          <w:highlight w:val="yellow"/>
        </w:rPr>
        <w:t xml:space="preserve"> of communications satellites for global Internet services, where each satellite in the constellation would require a drag sail unit.</w:t>
      </w:r>
      <w:r w:rsidRPr="00A55892">
        <w:rPr>
          <w:sz w:val="16"/>
        </w:rPr>
        <w:t xml:space="preserve"> “</w:t>
      </w:r>
      <w:proofErr w:type="spellStart"/>
      <w:r w:rsidRPr="00A55892">
        <w:rPr>
          <w:sz w:val="16"/>
        </w:rPr>
        <w:t>Vestigo</w:t>
      </w:r>
      <w:proofErr w:type="spellEnd"/>
      <w:r w:rsidRPr="00A55892">
        <w:rPr>
          <w:sz w:val="16"/>
        </w:rPr>
        <w:t xml:space="preserve"> Aerospace is designing our drag sails to have standard mechanical and electrical interfaces, resulting in straightforward integration with the host vehicle,” said Spencer. “For new spacecraft that are being launched today </w:t>
      </w:r>
      <w:proofErr w:type="gramStart"/>
      <w:r w:rsidRPr="00A55892">
        <w:rPr>
          <w:sz w:val="16"/>
        </w:rPr>
        <w:t>and in the future,</w:t>
      </w:r>
      <w:proofErr w:type="gramEnd"/>
      <w:r w:rsidRPr="00A55892">
        <w:rPr>
          <w:sz w:val="16"/>
        </w:rPr>
        <w:t xml:space="preserve">” said Spencer, “having the capability to deorbit at the end of the mission makes sense.” As for reentry, drag sail technology uses a one-time deployment system, initiating at the end of the vehicle’s lifetime or before. One benefit of drag sails is that the host spacecraft need not be functional. A timer stored within the avionics unit will initiate deployment and can be updated as needed by the host spacecraft operator. Though Spencer’s team will not pursue targeted reentry objectives for these first two prototypes, his team is working on the option of deploying the drag sail when the host satellite is close to reentry, at an altitude of less than 200 kilometers. “The goal is to constrain the atmospheric entry corridor so that reentry occurs over unpopulated areas, away from highly trafficked air corridors,” said Spencer. NASA developed the Exo-Brake Parachute technology on the same principle. While the utility for drag sail is clearly apparent, Spencer believes sooner or later </w:t>
      </w:r>
      <w:proofErr w:type="gramStart"/>
      <w:r w:rsidRPr="00A55892">
        <w:rPr>
          <w:sz w:val="16"/>
        </w:rPr>
        <w:t>that regulations</w:t>
      </w:r>
      <w:proofErr w:type="gramEnd"/>
      <w:r w:rsidRPr="00A55892">
        <w:rPr>
          <w:sz w:val="16"/>
        </w:rPr>
        <w:t xml:space="preserve"> will catch up to future space applications, requiring deorbiting systems. “For new spacecraft that are being launched today </w:t>
      </w:r>
      <w:proofErr w:type="gramStart"/>
      <w:r w:rsidRPr="00A55892">
        <w:rPr>
          <w:sz w:val="16"/>
        </w:rPr>
        <w:t>and in the future,</w:t>
      </w:r>
      <w:proofErr w:type="gramEnd"/>
      <w:r w:rsidRPr="00A55892">
        <w:rPr>
          <w:sz w:val="16"/>
        </w:rPr>
        <w:t>” said Spencer, “having the capability to deorbit at the end of the mission makes sense.”</w:t>
      </w:r>
    </w:p>
    <w:p w14:paraId="730A9A56" w14:textId="39094749" w:rsidR="005446DC" w:rsidRDefault="005446DC" w:rsidP="005446DC"/>
    <w:p w14:paraId="6ECA9E44" w14:textId="77777777" w:rsidR="00E17CE5" w:rsidRPr="00BB060D" w:rsidRDefault="00E17CE5" w:rsidP="00E17CE5">
      <w:pPr>
        <w:pStyle w:val="Heading4"/>
        <w:rPr>
          <w:rFonts w:asciiTheme="minorHAnsi" w:hAnsiTheme="minorHAnsi" w:cstheme="minorHAnsi"/>
        </w:rPr>
      </w:pPr>
      <w:r w:rsidRPr="00BB060D">
        <w:rPr>
          <w:rFonts w:asciiTheme="minorHAnsi" w:hAnsiTheme="minorHAnsi" w:cstheme="minorHAnsi"/>
        </w:rPr>
        <w:t xml:space="preserve">No </w:t>
      </w:r>
      <w:proofErr w:type="gramStart"/>
      <w:r w:rsidRPr="00BB060D">
        <w:rPr>
          <w:rFonts w:asciiTheme="minorHAnsi" w:hAnsiTheme="minorHAnsi" w:cstheme="minorHAnsi"/>
        </w:rPr>
        <w:t>guarantee</w:t>
      </w:r>
      <w:proofErr w:type="gramEnd"/>
      <w:r w:rsidRPr="00BB060D">
        <w:rPr>
          <w:rFonts w:asciiTheme="minorHAnsi" w:hAnsiTheme="minorHAnsi" w:cstheme="minorHAnsi"/>
        </w:rPr>
        <w:t xml:space="preserve"> space tourism ever becomes affordable enough for average people, until then it will be reserved for the rich and famous making the effects limited.</w:t>
      </w:r>
    </w:p>
    <w:p w14:paraId="6E267AE1" w14:textId="77777777" w:rsidR="00E17CE5" w:rsidRPr="00BB060D" w:rsidRDefault="00E17CE5" w:rsidP="00E17CE5">
      <w:pPr>
        <w:rPr>
          <w:rFonts w:asciiTheme="minorHAnsi" w:hAnsiTheme="minorHAnsi" w:cstheme="minorHAnsi"/>
        </w:rPr>
      </w:pPr>
      <w:r w:rsidRPr="00BB060D">
        <w:rPr>
          <w:rStyle w:val="Style13ptBold"/>
          <w:rFonts w:asciiTheme="minorHAnsi" w:hAnsiTheme="minorHAnsi" w:cstheme="minorHAnsi"/>
        </w:rPr>
        <w:t xml:space="preserve">Roulette 21 </w:t>
      </w:r>
      <w:r w:rsidRPr="00BB060D">
        <w:rPr>
          <w:rFonts w:asciiTheme="minorHAnsi" w:hAnsiTheme="minorHAnsi" w:cstheme="minorHAnsi"/>
        </w:rPr>
        <w:t xml:space="preserve">(Roulette, Joey. “The Space Tourism Industry Is Stuck </w:t>
      </w:r>
      <w:proofErr w:type="gramStart"/>
      <w:r w:rsidRPr="00BB060D">
        <w:rPr>
          <w:rFonts w:asciiTheme="minorHAnsi" w:hAnsiTheme="minorHAnsi" w:cstheme="minorHAnsi"/>
        </w:rPr>
        <w:t>In</w:t>
      </w:r>
      <w:proofErr w:type="gramEnd"/>
      <w:r w:rsidRPr="00BB060D">
        <w:rPr>
          <w:rFonts w:asciiTheme="minorHAnsi" w:hAnsiTheme="minorHAnsi" w:cstheme="minorHAnsi"/>
        </w:rPr>
        <w:t xml:space="preserve"> Its Billionaire Phase.” The Verge. July 17, 2021. Web. December 13, 2021. &lt;https://www.theverge.com/2021/7/17/22573791/space-tourism-industry-bezos-branson-musk-billionaire-phase&gt;.) SJ</w:t>
      </w:r>
    </w:p>
    <w:p w14:paraId="55450465" w14:textId="77777777" w:rsidR="00E17CE5" w:rsidRPr="00BB060D" w:rsidRDefault="00E17CE5" w:rsidP="00E17CE5">
      <w:pPr>
        <w:rPr>
          <w:rFonts w:asciiTheme="minorHAnsi" w:hAnsiTheme="minorHAnsi" w:cstheme="minorHAnsi"/>
          <w:sz w:val="16"/>
        </w:rPr>
      </w:pPr>
      <w:r w:rsidRPr="00BB060D">
        <w:rPr>
          <w:rFonts w:asciiTheme="minorHAnsi" w:hAnsiTheme="minorHAnsi" w:cstheme="minorHAnsi"/>
          <w:sz w:val="16"/>
        </w:rPr>
        <w:t>“There’s going to be a fairly large learning curve as companies go from the process of developing a capability and testing it, to operating it routinely,” Christensen said</w:t>
      </w:r>
      <w:r w:rsidRPr="00BB060D">
        <w:rPr>
          <w:rFonts w:asciiTheme="minorHAnsi" w:hAnsiTheme="minorHAnsi" w:cstheme="minorHAnsi"/>
          <w:highlight w:val="green"/>
          <w:u w:val="single"/>
        </w:rPr>
        <w:t>. It’s possible that space tourism will follow the same path as computers</w:t>
      </w:r>
      <w:r w:rsidRPr="00BB060D">
        <w:rPr>
          <w:rFonts w:asciiTheme="minorHAnsi" w:hAnsiTheme="minorHAnsi" w:cstheme="minorHAnsi"/>
          <w:u w:val="single"/>
        </w:rPr>
        <w:t xml:space="preserve"> or airplanes, </w:t>
      </w:r>
      <w:r w:rsidRPr="00BB060D">
        <w:rPr>
          <w:rFonts w:asciiTheme="minorHAnsi" w:hAnsiTheme="minorHAnsi" w:cstheme="minorHAnsi"/>
          <w:highlight w:val="green"/>
          <w:u w:val="single"/>
        </w:rPr>
        <w:t>but there’s no guarantee that it will succeed</w:t>
      </w:r>
      <w:r w:rsidRPr="00BB060D">
        <w:rPr>
          <w:rFonts w:asciiTheme="minorHAnsi" w:hAnsiTheme="minorHAnsi" w:cstheme="minorHAnsi"/>
          <w:sz w:val="16"/>
        </w:rPr>
        <w:t xml:space="preserve">. </w:t>
      </w:r>
      <w:r w:rsidRPr="00BB060D">
        <w:rPr>
          <w:rFonts w:asciiTheme="minorHAnsi" w:hAnsiTheme="minorHAnsi" w:cstheme="minorHAnsi"/>
          <w:u w:val="single"/>
        </w:rPr>
        <w:t xml:space="preserve">In part, that’s </w:t>
      </w:r>
      <w:r w:rsidRPr="00BB060D">
        <w:rPr>
          <w:rFonts w:asciiTheme="minorHAnsi" w:hAnsiTheme="minorHAnsi" w:cstheme="minorHAnsi"/>
          <w:highlight w:val="green"/>
          <w:u w:val="single"/>
        </w:rPr>
        <w:t>because there’s no single solution to driving down the cost of launching people to space</w:t>
      </w:r>
      <w:r w:rsidRPr="00BB060D">
        <w:rPr>
          <w:rFonts w:asciiTheme="minorHAnsi" w:hAnsiTheme="minorHAnsi" w:cstheme="minorHAnsi"/>
          <w:u w:val="single"/>
        </w:rPr>
        <w:t xml:space="preserve">. </w:t>
      </w:r>
      <w:r w:rsidRPr="00BB060D">
        <w:rPr>
          <w:rFonts w:asciiTheme="minorHAnsi" w:hAnsiTheme="minorHAnsi" w:cstheme="minorHAnsi"/>
          <w:sz w:val="16"/>
        </w:rPr>
        <w:t xml:space="preserve">Virgin Galactic earlier this year unveiled a new version of SpaceShipTwo that’s tailored for quick production rates, signaling it’s gearing up to accommodate its hefty customer backlog and reopen ticket sales, which have been closed since a fatal 2014 accident during a test flight. (Branson’s presence on Sunday’s flight also served as a visual </w:t>
      </w:r>
      <w:r w:rsidRPr="00BB060D">
        <w:rPr>
          <w:rFonts w:asciiTheme="minorHAnsi" w:hAnsiTheme="minorHAnsi" w:cstheme="minorHAnsi"/>
          <w:sz w:val="16"/>
        </w:rPr>
        <w:lastRenderedPageBreak/>
        <w:t xml:space="preserve">reassurance to customers that the ship is safe.) Musk is focusing on better rocket fuel efficiency with SpaceX’s Starship, a fully reusable launch system being developed to slash the cost of sending humans to space. But again, what exactly those next-generation prices will be remain a mystery. Musk hasn’t said how much it’ll cost prospective passengers to fly on Starship. And Virgin Galactic hasn’t said how much it plans to charge for tickets for its newer spaceplane, </w:t>
      </w:r>
      <w:proofErr w:type="spellStart"/>
      <w:r w:rsidRPr="00BB060D">
        <w:rPr>
          <w:rFonts w:asciiTheme="minorHAnsi" w:hAnsiTheme="minorHAnsi" w:cstheme="minorHAnsi"/>
          <w:sz w:val="16"/>
        </w:rPr>
        <w:t>SpaceShipThree</w:t>
      </w:r>
      <w:proofErr w:type="spellEnd"/>
      <w:r w:rsidRPr="00BB060D">
        <w:rPr>
          <w:rFonts w:asciiTheme="minorHAnsi" w:hAnsiTheme="minorHAnsi" w:cstheme="minorHAnsi"/>
          <w:sz w:val="16"/>
        </w:rPr>
        <w:t xml:space="preserve">, just like Blue Origin, which hasn’t revealed its New Shepard prices. </w:t>
      </w:r>
      <w:r w:rsidRPr="00BB060D">
        <w:rPr>
          <w:rFonts w:asciiTheme="minorHAnsi" w:hAnsiTheme="minorHAnsi" w:cstheme="minorHAnsi"/>
          <w:u w:val="single"/>
        </w:rPr>
        <w:t xml:space="preserve">Currently, </w:t>
      </w:r>
      <w:r w:rsidRPr="00BB060D">
        <w:rPr>
          <w:rFonts w:asciiTheme="minorHAnsi" w:hAnsiTheme="minorHAnsi" w:cstheme="minorHAnsi"/>
          <w:highlight w:val="green"/>
          <w:u w:val="single"/>
        </w:rPr>
        <w:t xml:space="preserve">you either </w:t>
      </w:r>
      <w:proofErr w:type="gramStart"/>
      <w:r w:rsidRPr="00BB060D">
        <w:rPr>
          <w:rFonts w:asciiTheme="minorHAnsi" w:hAnsiTheme="minorHAnsi" w:cstheme="minorHAnsi"/>
          <w:highlight w:val="green"/>
          <w:u w:val="single"/>
        </w:rPr>
        <w:t>have to</w:t>
      </w:r>
      <w:proofErr w:type="gramEnd"/>
      <w:r w:rsidRPr="00BB060D">
        <w:rPr>
          <w:rFonts w:asciiTheme="minorHAnsi" w:hAnsiTheme="minorHAnsi" w:cstheme="minorHAnsi"/>
          <w:highlight w:val="green"/>
          <w:u w:val="single"/>
        </w:rPr>
        <w:t xml:space="preserve"> be</w:t>
      </w:r>
      <w:r w:rsidRPr="00BB060D">
        <w:rPr>
          <w:rFonts w:asciiTheme="minorHAnsi" w:hAnsiTheme="minorHAnsi" w:cstheme="minorHAnsi"/>
          <w:u w:val="single"/>
        </w:rPr>
        <w:t xml:space="preserve"> talented (</w:t>
      </w:r>
      <w:r w:rsidRPr="00BB060D">
        <w:rPr>
          <w:rFonts w:asciiTheme="minorHAnsi" w:hAnsiTheme="minorHAnsi" w:cstheme="minorHAnsi"/>
          <w:highlight w:val="green"/>
          <w:u w:val="single"/>
        </w:rPr>
        <w:t>hand-picked by a billionaire) or lucky to book a ride</w:t>
      </w:r>
      <w:r w:rsidRPr="00BB060D">
        <w:rPr>
          <w:rFonts w:asciiTheme="minorHAnsi" w:hAnsiTheme="minorHAnsi" w:cstheme="minorHAnsi"/>
          <w:u w:val="single"/>
        </w:rPr>
        <w:t xml:space="preserve"> on one of these rockets </w:t>
      </w:r>
      <w:r w:rsidRPr="00BB060D">
        <w:rPr>
          <w:rFonts w:asciiTheme="minorHAnsi" w:hAnsiTheme="minorHAnsi" w:cstheme="minorHAnsi"/>
          <w:highlight w:val="green"/>
          <w:u w:val="single"/>
        </w:rPr>
        <w:t>without paying the steep price tag</w:t>
      </w:r>
      <w:r w:rsidRPr="00BB060D">
        <w:rPr>
          <w:rFonts w:asciiTheme="minorHAnsi" w:hAnsiTheme="minorHAnsi" w:cstheme="minorHAnsi"/>
          <w:u w:val="single"/>
        </w:rPr>
        <w:t>.</w:t>
      </w:r>
      <w:r w:rsidRPr="00BB060D">
        <w:rPr>
          <w:rFonts w:asciiTheme="minorHAnsi" w:hAnsiTheme="minorHAnsi" w:cstheme="minorHAnsi"/>
          <w:sz w:val="16"/>
        </w:rPr>
        <w:t xml:space="preserve"> Raffling off tickets, like Virgin Galactic plans to do, and donating seats to space enthusiasts who can’t afford them keeps the public dream of normalized, low-cost space travel alive while the industry races to find the right recipe for bringing prices down. “I think that in any competitive market you’re going to see products improve and/or prices drop,” Christensen added.</w:t>
      </w:r>
    </w:p>
    <w:p w14:paraId="78438E5F" w14:textId="2E98725C" w:rsidR="00E17CE5" w:rsidRDefault="00E17CE5" w:rsidP="005446DC"/>
    <w:p w14:paraId="2967ECD2" w14:textId="3309872F" w:rsidR="00E17CE5" w:rsidRDefault="00E17CE5" w:rsidP="005446DC"/>
    <w:p w14:paraId="35D87EAD" w14:textId="77777777" w:rsidR="001A4E6D" w:rsidRDefault="001A4E6D" w:rsidP="001A4E6D">
      <w:pPr>
        <w:pStyle w:val="Heading4"/>
      </w:pPr>
      <w:r>
        <w:t xml:space="preserve">Other policy actions solve climate – space isn’t key </w:t>
      </w:r>
    </w:p>
    <w:p w14:paraId="4D808E42" w14:textId="77777777" w:rsidR="001A4E6D" w:rsidRPr="00CA4416" w:rsidRDefault="001A4E6D" w:rsidP="001A4E6D">
      <w:r w:rsidRPr="00CA4416">
        <w:rPr>
          <w:b/>
          <w:bCs/>
          <w:sz w:val="24"/>
          <w:szCs w:val="28"/>
        </w:rPr>
        <w:t>CSS 2021</w:t>
      </w:r>
      <w:r w:rsidRPr="00CA4416">
        <w:rPr>
          <w:sz w:val="24"/>
          <w:szCs w:val="28"/>
        </w:rPr>
        <w:t xml:space="preserve"> </w:t>
      </w:r>
      <w:r w:rsidRPr="00CA4416">
        <w:rPr>
          <w:sz w:val="16"/>
          <w:szCs w:val="16"/>
        </w:rPr>
        <w:t xml:space="preserve">(Center for Sustainable Systems, University of Michigan. 2021. "Climate Change: Policy and Mitigation Factsheet." CSS05-20. </w:t>
      </w:r>
      <w:hyperlink r:id="rId16" w:history="1">
        <w:r w:rsidRPr="00CA4416">
          <w:rPr>
            <w:rStyle w:val="Hyperlink"/>
            <w:sz w:val="16"/>
            <w:szCs w:val="16"/>
          </w:rPr>
          <w:t>https://css.umich.edu/factsheets/climate-change-policy-and-mitigation-factsheet</w:t>
        </w:r>
      </w:hyperlink>
      <w:r w:rsidRPr="00CA4416">
        <w:rPr>
          <w:sz w:val="16"/>
          <w:szCs w:val="16"/>
        </w:rPr>
        <w:t>) //</w:t>
      </w:r>
      <w:proofErr w:type="spellStart"/>
      <w:r w:rsidRPr="00CA4416">
        <w:rPr>
          <w:sz w:val="16"/>
          <w:szCs w:val="16"/>
        </w:rPr>
        <w:t>neth</w:t>
      </w:r>
      <w:proofErr w:type="spellEnd"/>
      <w:r w:rsidRPr="00CA4416">
        <w:rPr>
          <w:sz w:val="16"/>
          <w:szCs w:val="16"/>
        </w:rPr>
        <w:t xml:space="preserve"> </w:t>
      </w:r>
    </w:p>
    <w:p w14:paraId="57DE6AE4" w14:textId="77777777" w:rsidR="001A4E6D" w:rsidRPr="00DC2291" w:rsidRDefault="001A4E6D" w:rsidP="001A4E6D">
      <w:pPr>
        <w:rPr>
          <w:sz w:val="16"/>
        </w:rPr>
      </w:pPr>
      <w:r w:rsidRPr="004C26BE">
        <w:rPr>
          <w:highlight w:val="yellow"/>
          <w:u w:val="single"/>
        </w:rPr>
        <w:t>Climate change is a global problem that requires global cooperation to address</w:t>
      </w:r>
      <w:r w:rsidRPr="00DC2291">
        <w:rPr>
          <w:sz w:val="16"/>
        </w:rPr>
        <w:t xml:space="preserve">. The objective of the United Nations Framework Convention on Climate Change (UNFCCC), which virtually all nations, including the U.S., have ratified, is to stabilize greenhouse gas (GHG) concentrations at a level that will not cause “dangerous anthropogenic (human-induced) interference with the climate system.”1 Due to the persistence of some GHGs in the atmosphere, significant emissions reductions must be achieved in coming decades to meet the UNFCCC objective. In 2018, the Intergovernmental Panel on Climate Change (IPCC) published the Special Report on Global Warming of 1.5oC. The report details the impacts of a 1.5oC temperature rise and proposes mitigation strategies to remain below the 1.5oC target. It will require lowering global carbon dioxide (CO2) emissions in 2030 by 45% compared to 2010 and will require net zero emissions around 2050. Current national targets under the Paris Agreement would lead to 52–58 gigatons (Gt) CO2-equivalents (CO2e) per year by 2030 -- not enough to meet the 1.5oC target. 2018 GHG emissions were approximately 42 GtCO2 and would need to drop to between 25-30 GtCO2 per year by 2030 to remain on target.2 In 2019, U.S. GHG emissions were 6.6 GtCO2e.3 CARBON EMISSION PATHWAYS TO ACHIEVE 1.5OC TARGET2 Carbon Emission Pathways To Achieve 1.5C Target GENERAL POLICIES MARKET-BASED INSTRUMENTS </w:t>
      </w:r>
      <w:r w:rsidRPr="004C26BE">
        <w:rPr>
          <w:highlight w:val="yellow"/>
          <w:u w:val="single"/>
        </w:rPr>
        <w:t>Market-based approaches include carbon taxes, subsidies, and cap-and-trade programs</w:t>
      </w:r>
      <w:r w:rsidRPr="00DC2291">
        <w:rPr>
          <w:sz w:val="16"/>
        </w:rPr>
        <w:t xml:space="preserve">.4 In a tradable carbon permit system, permits equal to an allowed level of emissions are distributed or auctioned. Parties with emissions below their allowance </w:t>
      </w:r>
      <w:proofErr w:type="gramStart"/>
      <w:r w:rsidRPr="00DC2291">
        <w:rPr>
          <w:sz w:val="16"/>
        </w:rPr>
        <w:t>are able to</w:t>
      </w:r>
      <w:proofErr w:type="gramEnd"/>
      <w:r w:rsidRPr="00DC2291">
        <w:rPr>
          <w:sz w:val="16"/>
        </w:rPr>
        <w:t xml:space="preserve"> sell their excess permits to other parties that have exceeded their emissions allowance.4 Market-based instruments are recognized for their potential to reduce emissions by allowing for flexibility and ingenuity in the private sector.4 REGULATORY INSTRUMENTS </w:t>
      </w:r>
      <w:r w:rsidRPr="004C26BE">
        <w:rPr>
          <w:highlight w:val="yellow"/>
          <w:u w:val="single"/>
        </w:rPr>
        <w:t>Regulatory approaches include non-tradable permits, technology and emissions standards, product bans, and government investment.</w:t>
      </w:r>
      <w:r>
        <w:rPr>
          <w:u w:val="single"/>
        </w:rPr>
        <w:t xml:space="preserve"> </w:t>
      </w:r>
      <w:r w:rsidRPr="00DC2291">
        <w:rPr>
          <w:sz w:val="16"/>
        </w:rPr>
        <w:t xml:space="preserve">In 2007, the U.S. Supreme Court ruled that CO2 and other GHG emissions meet the Clean Air Act’s </w:t>
      </w:r>
      <w:proofErr w:type="spellStart"/>
      <w:r w:rsidRPr="00DC2291">
        <w:rPr>
          <w:sz w:val="16"/>
        </w:rPr>
        <w:t>defition</w:t>
      </w:r>
      <w:proofErr w:type="spellEnd"/>
      <w:r w:rsidRPr="00DC2291">
        <w:rPr>
          <w:sz w:val="16"/>
        </w:rPr>
        <w:t xml:space="preserve"> of air pollutants, which are regulated by the U.S. Environmental Protection Agency (EPA).5 After several appeals, the U.S. Court of Appeals upheld the ruling in 2012.6 In the U.S., the Safer Affordable Fuel-Efficient (SAFE) vehicles rule, administered by NHTSA, was implemented in 2020.7 In comparison to the 2012 Corporate Average Fuel Economy (CAFE) standards, the SAFE rule is less demanding than CAFE and will result in 867-923 million metric tons more CO2 emissions compared to CAFE standards.7,8 In 2021, NHTSA assessed the Safe I Rule and has proposed repealing the rule in favor of establishing regulations that align with the Energy Policy and Conservation Act (EPCA).9 VOLUNTARY AGREEMENTS </w:t>
      </w:r>
      <w:r w:rsidRPr="004C26BE">
        <w:rPr>
          <w:highlight w:val="yellow"/>
          <w:u w:val="single"/>
        </w:rPr>
        <w:t>Voluntary agreements are generally made between a government agency and one or more private parties</w:t>
      </w:r>
      <w:r w:rsidRPr="00DC2291">
        <w:rPr>
          <w:sz w:val="16"/>
        </w:rPr>
        <w:t xml:space="preserve"> to “achieve environmental objectives or to improve environmental performance beyond compliance.”10 EPA partners with the public and private sectors to oversee a variety of voluntary programs aimed at reducing GHG emissions, increasing clean energy adoption, and adapting to climate change.11 </w:t>
      </w:r>
      <w:r w:rsidRPr="004C26BE">
        <w:rPr>
          <w:highlight w:val="yellow"/>
          <w:u w:val="single"/>
        </w:rPr>
        <w:t>THE KYOTO PROTOCOL</w:t>
      </w:r>
      <w:r>
        <w:rPr>
          <w:u w:val="single"/>
        </w:rPr>
        <w:t xml:space="preserve"> </w:t>
      </w:r>
      <w:r w:rsidRPr="00DC2291">
        <w:rPr>
          <w:sz w:val="16"/>
        </w:rPr>
        <w:t xml:space="preserve">The Kyoto Protocol came into force on February 16, 2005, and established mandatory, enforceable targets for GHG emissions. Initial emissions reductions for participating countries ranged from –8% to +10% of 1990 levels, while the overall reduction goal was 5% below the 1990 level by 2012. When the first commitment period ended in 2012, the Protocol was amended for a second commitment period; the new overall reduction goal is 18% below 1990 levels by 2020.12 </w:t>
      </w:r>
      <w:r w:rsidRPr="004C26BE">
        <w:rPr>
          <w:highlight w:val="yellow"/>
          <w:u w:val="single"/>
        </w:rPr>
        <w:t>THE PARIS AGREEMENT</w:t>
      </w:r>
      <w:r>
        <w:rPr>
          <w:u w:val="single"/>
        </w:rPr>
        <w:t xml:space="preserve"> </w:t>
      </w:r>
      <w:r w:rsidRPr="00DC2291">
        <w:rPr>
          <w:sz w:val="16"/>
        </w:rPr>
        <w:t xml:space="preserve">In December of 2015, all Parties of the UNFCCC reached a climate change mitigation and adaptation agreement, called The Paris Agreement, in order to keep the global temperature increase (from pre-industrial levels) below a 2oC.13 The Paris Agreement entered into force on November 4, 2016. As of July 2021, The Paris Agreement had 197 signatories, of which 191 parties (accounting for at least 55% of total global emissions) have ratified the agreement.14 GOVERNMENT ACTION IN THE U.S. FEDERAL POLICY According to the U.S. Senate, “…Congress should enact a comprehensive and effective national program of mandatory, market-based limits and incentives on emissions of greenhouse gases that slow, stop, and reverse the growth of such emissions at a rate and in a manner that will not significantly harm the United States economy and will encourage comparable action by other nations…”15 Due to the Consolidated Appropriations Act of 2008, large emitters of GHGs in the U.S. must report emissions to the EPA.16 In 2015, the proposed Clean Power Plan set a national limit for CO2 emissions from power plants. In early 2016, the plan was stayed </w:t>
      </w:r>
      <w:r w:rsidRPr="00DC2291">
        <w:rPr>
          <w:sz w:val="16"/>
        </w:rPr>
        <w:lastRenderedPageBreak/>
        <w:t xml:space="preserve">by the Supreme Court.17 In 2019, the EPA repealed the Clean Power Plan and replaced it with the Affordable Clean Energy (ACE) Rule.17 By January 2021, the U.S. Court of Appeals vacated the ACE Rule and remanded back to the EPA.18 In 2019, a Green New Deal resolution was introduced in the U.S. House. It proposes at 10-year mobilization effort to focus on goals such as net-zero GHG emissions, economic security, infrastructure investment, clean air and water, and promoting justice and equality.19 </w:t>
      </w:r>
      <w:r w:rsidRPr="004C26BE">
        <w:rPr>
          <w:highlight w:val="yellow"/>
          <w:u w:val="single"/>
        </w:rPr>
        <w:t>In April 2021, President Biden</w:t>
      </w:r>
      <w:r w:rsidRPr="004C26BE">
        <w:rPr>
          <w:u w:val="single"/>
        </w:rPr>
        <w:t xml:space="preserve"> held the </w:t>
      </w:r>
      <w:proofErr w:type="spellStart"/>
      <w:r w:rsidRPr="004C26BE">
        <w:rPr>
          <w:u w:val="single"/>
        </w:rPr>
        <w:t>Leaders</w:t>
      </w:r>
      <w:proofErr w:type="spellEnd"/>
      <w:r w:rsidRPr="004C26BE">
        <w:rPr>
          <w:u w:val="single"/>
        </w:rPr>
        <w:t xml:space="preserve"> Summit on Climate with 40 world leaders and </w:t>
      </w:r>
      <w:r w:rsidRPr="004C26BE">
        <w:rPr>
          <w:highlight w:val="yellow"/>
          <w:u w:val="single"/>
        </w:rPr>
        <w:t>announced the U.S. will “target reducing emissions by 50-52 percent by 2030 compared to 2005 levels</w:t>
      </w:r>
      <w:r w:rsidRPr="004C26BE">
        <w:rPr>
          <w:u w:val="single"/>
        </w:rPr>
        <w:t>.”20</w:t>
      </w:r>
      <w:r>
        <w:rPr>
          <w:u w:val="single"/>
        </w:rPr>
        <w:t xml:space="preserve"> </w:t>
      </w:r>
      <w:r w:rsidRPr="00DC2291">
        <w:rPr>
          <w:sz w:val="16"/>
        </w:rPr>
        <w:t xml:space="preserve">STATE POLICY Climate change action plans have been enacted by 33 states and D.C.21 Twenty four states and D.C. have GHG emission reduction targets. California is targeting GHG emissions 40% below 1990 levels by 2030 and net zero CO2 emissions by 2045.22 </w:t>
      </w:r>
      <w:r w:rsidRPr="004C26BE">
        <w:rPr>
          <w:highlight w:val="yellow"/>
          <w:u w:val="single"/>
        </w:rPr>
        <w:t>Thirty states, D.C., and 3 U.S. territories have Renewable Portfolio Standards, which specify the percentage of electricity to be generated from renewable sources by a certain date</w:t>
      </w:r>
      <w:r w:rsidRPr="00DC2291">
        <w:rPr>
          <w:sz w:val="16"/>
        </w:rPr>
        <w:t xml:space="preserve">. Five states have Clean Energy Standards, which specify the percentage of electricity to be generated from low-to-no carbon sources and can include renewables, nuclear, and advanced fossil fuel plants with carbon capture and sequestration.23 A group of governors formed the U.S. Climate Alliance, to uphold the GHG reductions outlined in the Paris Agreement. The alliance represents 57% of the U.S. population and 61% of the U.S. economy.24 STATES WITH RENEWABLE AND/OR CLEAN ENERGY STANDARDS23 States with Renewable and/or Clean Energy Standards MITIGATION STRATEGIES </w:t>
      </w:r>
      <w:r w:rsidRPr="004C26BE">
        <w:rPr>
          <w:highlight w:val="yellow"/>
          <w:u w:val="single"/>
        </w:rPr>
        <w:t>Stabilizing atmospheric CO2 concentrations requires changes in energy production and use.</w:t>
      </w:r>
      <w:r w:rsidRPr="004C26BE">
        <w:rPr>
          <w:u w:val="single"/>
        </w:rPr>
        <w:t xml:space="preserve"> </w:t>
      </w:r>
      <w:r w:rsidRPr="00DC2291">
        <w:rPr>
          <w:sz w:val="16"/>
        </w:rPr>
        <w:t xml:space="preserve">Effective mitigation cannot be achieved without individual agencies working collectively towards reduction goals.10 Stabilization wedges are one display of GHG reduction strategies; each wedge represents 1 billion tons of carbon avoided in 2054.25 </w:t>
      </w:r>
      <w:r w:rsidRPr="004C26BE">
        <w:rPr>
          <w:highlight w:val="yellow"/>
          <w:u w:val="single"/>
        </w:rPr>
        <w:t>Energy Savings</w:t>
      </w:r>
      <w:r w:rsidRPr="00DC2291">
        <w:rPr>
          <w:sz w:val="16"/>
        </w:rPr>
        <w:t xml:space="preserve">: Many energy efficiency efforts require an initial capital investment, but the payback period is often only a few years. In 2016, the Minneapolis Clean Energy Partnership planned to retrofit 75% of Minneapolis residences for efficiency and allocated resources to buy down the cost of energy audits and provide no-interest financing for energy efficiency upgrades.26 </w:t>
      </w:r>
      <w:r w:rsidRPr="004C26BE">
        <w:rPr>
          <w:highlight w:val="yellow"/>
          <w:u w:val="single"/>
        </w:rPr>
        <w:t>Fuel Switching</w:t>
      </w:r>
      <w:r w:rsidRPr="00DC2291">
        <w:rPr>
          <w:sz w:val="16"/>
        </w:rPr>
        <w:t xml:space="preserve">: Switching power plants and vehicles to less carbon-intensive fuels can achieve emission reductions quickly. For instance, switching from an average coal plant to a natural gas combined cycle plant can reduce CO2 emissions by approximately 50%.10 </w:t>
      </w:r>
      <w:r w:rsidRPr="004C26BE">
        <w:rPr>
          <w:highlight w:val="yellow"/>
          <w:u w:val="single"/>
        </w:rPr>
        <w:t>Capturing and Storing Emissions</w:t>
      </w:r>
      <w:r w:rsidRPr="00DC2291">
        <w:rPr>
          <w:sz w:val="16"/>
        </w:rPr>
        <w:t>: CO2 can be captured from large point sources both pre- and post-combustion of fossil fuels. Once CO2 is separated, it can be stored underground depending on the geology of a site. Currently, CO2 is used in enhanced oil recovery (EOR), but long-term storage technologies remain expensive.27 Alternatively, existing CO2 can be removed from the atmosphere through Negative Emissions Technologies and approaches such as direct air capture and sequestration, bioenergy with carbon capture and sequestration, and land management strategies.28</w:t>
      </w:r>
    </w:p>
    <w:p w14:paraId="0AB7A2C5" w14:textId="78D004CD" w:rsidR="001A4E6D" w:rsidRDefault="001A4E6D" w:rsidP="001A4E6D"/>
    <w:p w14:paraId="0F93D82A" w14:textId="77777777" w:rsidR="001A4E6D" w:rsidRPr="005446DC" w:rsidRDefault="001A4E6D" w:rsidP="005446DC"/>
    <w:sectPr w:rsidR="001A4E6D" w:rsidRPr="005446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doNotDisplayPageBoundarie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410"/>
    <w:rsid w:val="001A4E6D"/>
    <w:rsid w:val="003415E5"/>
    <w:rsid w:val="005446DC"/>
    <w:rsid w:val="007E2A89"/>
    <w:rsid w:val="00856410"/>
    <w:rsid w:val="00BE7B89"/>
    <w:rsid w:val="00CB6322"/>
    <w:rsid w:val="00CC4C1C"/>
    <w:rsid w:val="00E17CE5"/>
    <w:rsid w:val="00E33CEE"/>
    <w:rsid w:val="00EE1D0A"/>
    <w:rsid w:val="00F14D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46458D6"/>
  <w15:chartTrackingRefBased/>
  <w15:docId w15:val="{4CE50DD1-A1F7-464F-AC8A-CC413EA37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17CE5"/>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E17C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17C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17C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40,Big card,body,Normal Tag,heading 2,Ch,Heading 2 Char2 Char,Heading 2 Char1 Char Char,No Spacing211,No Spacing12,No Spacing2111,ta,small space, Ch,small text,TAG,no read,No Spacing4,No Spacing11111,No Spacing5,No Spacing21,Card,T"/>
    <w:basedOn w:val="Normal"/>
    <w:next w:val="Normal"/>
    <w:link w:val="Heading4Char"/>
    <w:uiPriority w:val="9"/>
    <w:unhideWhenUsed/>
    <w:qFormat/>
    <w:rsid w:val="00E17C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17C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7CE5"/>
  </w:style>
  <w:style w:type="character" w:customStyle="1" w:styleId="Heading1Char">
    <w:name w:val="Heading 1 Char"/>
    <w:aliases w:val="Pocket Char"/>
    <w:basedOn w:val="DefaultParagraphFont"/>
    <w:link w:val="Heading1"/>
    <w:uiPriority w:val="9"/>
    <w:rsid w:val="00E17C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17CE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17CE5"/>
    <w:rPr>
      <w:rFonts w:ascii="Calibri" w:eastAsiaTheme="majorEastAsia" w:hAnsi="Calibri" w:cstheme="majorBidi"/>
      <w:b/>
      <w:bCs/>
      <w:sz w:val="32"/>
      <w:szCs w:val="32"/>
      <w:u w:val="single"/>
    </w:rPr>
  </w:style>
  <w:style w:type="character" w:customStyle="1" w:styleId="Heading4Char">
    <w:name w:val="Heading 4 Char"/>
    <w:aliases w:val="Tag Char,heading 40 Char,Big card Char,body Char,Normal Tag Char,heading 2 Char,Ch Char,Heading 2 Char2 Char Char,Heading 2 Char1 Char Char Char,No Spacing211 Char,No Spacing12 Char,No Spacing2111 Char,ta Char,small space Char, Ch Char"/>
    <w:basedOn w:val="DefaultParagraphFont"/>
    <w:link w:val="Heading4"/>
    <w:uiPriority w:val="9"/>
    <w:rsid w:val="00E17CE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17CE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Bo"/>
    <w:basedOn w:val="DefaultParagraphFont"/>
    <w:uiPriority w:val="1"/>
    <w:qFormat/>
    <w:rsid w:val="00E17CE5"/>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E17CE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17CE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E17CE5"/>
    <w:rPr>
      <w:color w:val="auto"/>
      <w:u w:val="none"/>
    </w:rPr>
  </w:style>
  <w:style w:type="paragraph" w:styleId="DocumentMap">
    <w:name w:val="Document Map"/>
    <w:basedOn w:val="Normal"/>
    <w:link w:val="DocumentMapChar"/>
    <w:uiPriority w:val="99"/>
    <w:semiHidden/>
    <w:unhideWhenUsed/>
    <w:rsid w:val="00E17C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17CE5"/>
    <w:rPr>
      <w:rFonts w:ascii="Lucida Grande" w:eastAsiaTheme="minorEastAsia" w:hAnsi="Lucida Grande" w:cs="Lucida Grande"/>
    </w:rPr>
  </w:style>
  <w:style w:type="paragraph" w:customStyle="1" w:styleId="textbold">
    <w:name w:val="text bold"/>
    <w:basedOn w:val="Normal"/>
    <w:link w:val="Emphasis"/>
    <w:uiPriority w:val="20"/>
    <w:qFormat/>
    <w:rsid w:val="005446DC"/>
    <w:pPr>
      <w:ind w:left="720"/>
      <w:jc w:val="both"/>
    </w:pPr>
    <w:rPr>
      <w:rFonts w:eastAsiaTheme="minorHAnsi"/>
      <w:b/>
      <w:iCs/>
      <w:u w:val="single"/>
    </w:rPr>
  </w:style>
  <w:style w:type="paragraph" w:styleId="NoSpacing">
    <w:name w:val="No Spacing"/>
    <w:aliases w:val="Note Level 2,Small Text,Card Format,Note Level 21,ClearFormatting,Clear,DDI Tag,Tag Title,No Spacing51,No Spacing11211,No Spacing13,No Spacing23,Tag and Ci,No Spacing6,No Spacing113,Dont use,Tag and Cite,No Spacing31,No Spacing22,No Spacing41"/>
    <w:basedOn w:val="Heading1"/>
    <w:link w:val="Hyperlink"/>
    <w:autoRedefine/>
    <w:uiPriority w:val="99"/>
    <w:qFormat/>
    <w:rsid w:val="005446D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sj.com/articles/russia-and-china-dangerous-population-decline-indo-pacific-pivot-research-development-taiwan-ukraine-11639497466" TargetMode="External"/><Relationship Id="rId13" Type="http://schemas.openxmlformats.org/officeDocument/2006/relationships/hyperlink" Target="https://reason.org/commentary/as-commerical-space-travel-becomes-reality-debris-and-space-traffic-management-becomes-more-importan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arontherocks.com/2020/06/is-the-united-states-losing-the-african-space-race/" TargetMode="External"/><Relationship Id="rId12" Type="http://schemas.openxmlformats.org/officeDocument/2006/relationships/hyperlink" Target="https://www.issnationallab.org/research-on-the-iss/public-private-partnerships-in-spac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ss.umich.edu/factsheets/climate-change-policy-and-mitigation-factsheet" TargetMode="External"/><Relationship Id="rId1" Type="http://schemas.openxmlformats.org/officeDocument/2006/relationships/numbering" Target="numbering.xml"/><Relationship Id="rId6" Type="http://schemas.openxmlformats.org/officeDocument/2006/relationships/hyperlink" Target="https://www.cnbc.com/2021/09/13/russia-is-building-military-influence-in-africa-challenging-us-france.html" TargetMode="External"/><Relationship Id="rId11" Type="http://schemas.openxmlformats.org/officeDocument/2006/relationships/hyperlink" Target="https://doi.org/10.1089/space.2020.0039" TargetMode="External"/><Relationship Id="rId5" Type="http://schemas.openxmlformats.org/officeDocument/2006/relationships/hyperlink" Target="http://blog.practicalethics.ox.ac.uk/2015/05/moral-agreement-on-saving-the-world/" TargetMode="External"/><Relationship Id="rId15" Type="http://schemas.openxmlformats.org/officeDocument/2006/relationships/hyperlink" Target="https://www.thespacereview.com/article/3887/1" TargetMode="External"/><Relationship Id="rId10" Type="http://schemas.openxmlformats.org/officeDocument/2006/relationships/hyperlink" Target="https://www.liebertpub.com/doi/10.1089/space.2020.0039" TargetMode="External"/><Relationship Id="rId4" Type="http://schemas.openxmlformats.org/officeDocument/2006/relationships/webSettings" Target="webSettings.xml"/><Relationship Id="rId9" Type="http://schemas.openxmlformats.org/officeDocument/2006/relationships/hyperlink" Target="https://www.ibtimes.com/us-russia-nuclear-war-would-cause-nuclear-winter-human-extinction-study-reveals-2815921" TargetMode="External"/><Relationship Id="rId14" Type="http://schemas.openxmlformats.org/officeDocument/2006/relationships/hyperlink" Target="https://www.npr.org/2021/03/21/979815691/new-effort-to-clean-up-space-junk-prepares-to-laun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uhanijampala/Library/Containers/com.apple.news/Data/~/Library/Group%20Containers/UBF8T346G9.Office/User%20Conten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19</Pages>
  <Words>9514</Words>
  <Characters>54230</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Jampala, Suhani</dc:creator>
  <cp:keywords/>
  <dc:description/>
  <cp:lastModifiedBy>Jampala, Suhani</cp:lastModifiedBy>
  <cp:revision>2</cp:revision>
  <dcterms:created xsi:type="dcterms:W3CDTF">2022-02-05T14:43:00Z</dcterms:created>
  <dcterms:modified xsi:type="dcterms:W3CDTF">2022-02-05T14:43:00Z</dcterms:modified>
</cp:coreProperties>
</file>