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A8F0A" w14:textId="77777777" w:rsidR="007F3094" w:rsidRDefault="007F3094" w:rsidP="007F3094">
      <w:pPr>
        <w:pStyle w:val="Heading2"/>
        <w:spacing w:line="360" w:lineRule="auto"/>
        <w:rPr>
          <w:rFonts w:asciiTheme="majorHAnsi" w:hAnsiTheme="majorHAnsi"/>
        </w:rPr>
      </w:pPr>
      <w:r>
        <w:rPr>
          <w:rFonts w:asciiTheme="majorHAnsi" w:hAnsiTheme="majorHAnsi"/>
        </w:rPr>
        <w:t>China private public t</w:t>
      </w:r>
    </w:p>
    <w:p w14:paraId="1BBE3000" w14:textId="04760B7D" w:rsidR="007F3094" w:rsidRDefault="007F3094" w:rsidP="007F3094">
      <w:pPr>
        <w:pStyle w:val="Heading4"/>
        <w:spacing w:line="360" w:lineRule="auto"/>
      </w:pPr>
      <w:r>
        <w:t xml:space="preserve">Interpretation: the affirmative must only defend that the appropriation of space by </w:t>
      </w:r>
      <w:r w:rsidRPr="00E8068E">
        <w:rPr>
          <w:u w:val="single"/>
        </w:rPr>
        <w:t>private</w:t>
      </w:r>
      <w:r>
        <w:t xml:space="preserve"> entities is unjust.</w:t>
      </w:r>
    </w:p>
    <w:p w14:paraId="7BF4EC8C" w14:textId="77777777" w:rsidR="007F3094" w:rsidRPr="005935EF" w:rsidRDefault="007F3094" w:rsidP="007F3094">
      <w:pPr>
        <w:pStyle w:val="Heading4"/>
        <w:spacing w:line="480" w:lineRule="auto"/>
        <w:rPr>
          <w:rFonts w:asciiTheme="majorHAnsi" w:hAnsiTheme="majorHAnsi" w:cstheme="majorHAnsi"/>
        </w:rPr>
      </w:pPr>
      <w:r w:rsidRPr="005935EF">
        <w:rPr>
          <w:rFonts w:asciiTheme="majorHAnsi" w:hAnsiTheme="majorHAnsi" w:cstheme="majorHAnsi"/>
        </w:rPr>
        <w:t>A private entity is not affiliated with the government</w:t>
      </w:r>
    </w:p>
    <w:p w14:paraId="7E23B0EA" w14:textId="77777777" w:rsidR="007F3094" w:rsidRPr="005935EF" w:rsidRDefault="007F3094" w:rsidP="007F3094">
      <w:pPr>
        <w:spacing w:line="480" w:lineRule="auto"/>
        <w:rPr>
          <w:rFonts w:asciiTheme="majorHAnsi" w:hAnsiTheme="majorHAnsi" w:cstheme="majorHAnsi"/>
        </w:rPr>
      </w:pPr>
      <w:proofErr w:type="spellStart"/>
      <w:r w:rsidRPr="005935EF">
        <w:rPr>
          <w:rStyle w:val="Style13ptBold"/>
          <w:rFonts w:asciiTheme="majorHAnsi" w:hAnsiTheme="majorHAnsi"/>
        </w:rPr>
        <w:t>UpCounsel</w:t>
      </w:r>
      <w:proofErr w:type="spellEnd"/>
      <w:r w:rsidRPr="005935EF">
        <w:rPr>
          <w:rStyle w:val="Style13ptBold"/>
          <w:rFonts w:asciiTheme="majorHAnsi" w:hAnsiTheme="majorHAnsi"/>
        </w:rPr>
        <w:t xml:space="preserve"> ND</w:t>
      </w:r>
      <w:r w:rsidRPr="005935EF">
        <w:rPr>
          <w:rFonts w:asciiTheme="majorHAnsi" w:hAnsiTheme="majorHAnsi" w:cstheme="majorHAnsi"/>
        </w:rPr>
        <w:t xml:space="preserve"> (</w:t>
      </w:r>
      <w:proofErr w:type="spellStart"/>
      <w:r w:rsidRPr="005935EF">
        <w:rPr>
          <w:rFonts w:asciiTheme="majorHAnsi" w:hAnsiTheme="majorHAnsi" w:cstheme="majorHAnsi"/>
        </w:rPr>
        <w:t>UpCounsel</w:t>
      </w:r>
      <w:proofErr w:type="spellEnd"/>
      <w:r w:rsidRPr="005935EF">
        <w:rPr>
          <w:rFonts w:asciiTheme="majorHAnsi" w:hAnsiTheme="majorHAnsi" w:cstheme="majorHAnsi"/>
        </w:rPr>
        <w:t xml:space="preserve">, Private Entity: Everything You Need to Know, </w:t>
      </w:r>
      <w:hyperlink r:id="rId5" w:history="1">
        <w:r w:rsidRPr="005935EF">
          <w:rPr>
            <w:rStyle w:val="Hyperlink"/>
            <w:rFonts w:asciiTheme="majorHAnsi" w:hAnsiTheme="majorHAnsi" w:cstheme="majorHAnsi"/>
          </w:rPr>
          <w:t>https://www.upcounsel.com/private-entity</w:t>
        </w:r>
      </w:hyperlink>
      <w:r w:rsidRPr="005935EF">
        <w:rPr>
          <w:rFonts w:asciiTheme="majorHAnsi" w:hAnsiTheme="majorHAnsi" w:cstheme="majorHAnsi"/>
        </w:rPr>
        <w:t>) SJ</w:t>
      </w:r>
    </w:p>
    <w:p w14:paraId="3A46FD2A" w14:textId="77777777" w:rsidR="007F3094" w:rsidRPr="005935EF" w:rsidRDefault="007F3094" w:rsidP="007F3094">
      <w:pPr>
        <w:spacing w:line="480" w:lineRule="auto"/>
        <w:rPr>
          <w:rFonts w:asciiTheme="majorHAnsi" w:hAnsiTheme="majorHAnsi" w:cstheme="majorHAnsi"/>
          <w:sz w:val="16"/>
        </w:rPr>
      </w:pPr>
      <w:r w:rsidRPr="005935EF">
        <w:rPr>
          <w:rFonts w:asciiTheme="majorHAnsi" w:hAnsiTheme="majorHAnsi" w:cstheme="majorHAnsi"/>
          <w:highlight w:val="green"/>
          <w:u w:val="single"/>
        </w:rPr>
        <w:t xml:space="preserve">A private entity can be a partnership, corporation, individual, nonprofit organization, company, </w:t>
      </w:r>
      <w:r w:rsidRPr="005935EF">
        <w:rPr>
          <w:rFonts w:asciiTheme="majorHAnsi" w:hAnsiTheme="majorHAnsi" w:cstheme="majorHAnsi"/>
          <w:u w:val="single"/>
        </w:rPr>
        <w:t xml:space="preserve">or any other organized group </w:t>
      </w:r>
      <w:r w:rsidRPr="005935EF">
        <w:rPr>
          <w:rFonts w:asciiTheme="majorHAnsi" w:hAnsiTheme="majorHAnsi" w:cstheme="majorHAnsi"/>
          <w:highlight w:val="green"/>
          <w:u w:val="single"/>
        </w:rPr>
        <w:t>that is not government-affiliated</w:t>
      </w:r>
      <w:r w:rsidRPr="005935EF">
        <w:rPr>
          <w:rFonts w:asciiTheme="majorHAnsi" w:hAnsiTheme="majorHAnsi" w:cstheme="majorHAnsi"/>
          <w:sz w:val="16"/>
        </w:rPr>
        <w:t xml:space="preserve"> Indian tribes and foreign public entities are not considered private entities. Unlike publicly traded companies, private companies do not have public stock offerings on Nasdaq, American Stock Exchange, or the New York Stock Exchange. </w:t>
      </w:r>
      <w:r w:rsidRPr="00301622">
        <w:rPr>
          <w:rFonts w:asciiTheme="majorHAnsi" w:hAnsiTheme="majorHAnsi" w:cstheme="majorHAnsi"/>
          <w:szCs w:val="22"/>
          <w:u w:val="single"/>
        </w:rPr>
        <w:t xml:space="preserve">Instead, </w:t>
      </w:r>
      <w:r w:rsidRPr="00301622">
        <w:rPr>
          <w:rFonts w:asciiTheme="majorHAnsi" w:hAnsiTheme="majorHAnsi" w:cstheme="majorHAnsi"/>
          <w:szCs w:val="22"/>
          <w:highlight w:val="green"/>
          <w:u w:val="single"/>
        </w:rPr>
        <w:t>they offer shares privately to interested investors</w:t>
      </w:r>
      <w:r w:rsidRPr="00301622">
        <w:rPr>
          <w:rFonts w:asciiTheme="majorHAnsi" w:hAnsiTheme="majorHAnsi" w:cstheme="majorHAnsi"/>
          <w:szCs w:val="22"/>
          <w:u w:val="single"/>
        </w:rPr>
        <w:t>, who may trade among themselves.</w:t>
      </w:r>
    </w:p>
    <w:p w14:paraId="506B0D59" w14:textId="77777777" w:rsidR="007F3094" w:rsidRDefault="007F3094" w:rsidP="007F3094">
      <w:pPr>
        <w:pStyle w:val="Heading4"/>
        <w:spacing w:line="480" w:lineRule="auto"/>
        <w:rPr>
          <w:rFonts w:asciiTheme="majorHAnsi" w:hAnsiTheme="majorHAnsi" w:cstheme="majorHAnsi"/>
        </w:rPr>
      </w:pPr>
      <w:r>
        <w:rPr>
          <w:rFonts w:asciiTheme="majorHAnsi" w:hAnsiTheme="majorHAnsi" w:cstheme="majorHAnsi"/>
        </w:rPr>
        <w:t>The private entities they talk about</w:t>
      </w:r>
      <w:r w:rsidRPr="005935EF">
        <w:rPr>
          <w:rFonts w:asciiTheme="majorHAnsi" w:hAnsiTheme="majorHAnsi" w:cstheme="majorHAnsi"/>
        </w:rPr>
        <w:t xml:space="preserve"> are government affiliated and get money from the </w:t>
      </w:r>
      <w:r>
        <w:rPr>
          <w:rFonts w:asciiTheme="majorHAnsi" w:hAnsiTheme="majorHAnsi" w:cstheme="majorHAnsi"/>
        </w:rPr>
        <w:t>government</w:t>
      </w:r>
    </w:p>
    <w:p w14:paraId="35EBE80C" w14:textId="77777777" w:rsidR="007F3094" w:rsidRPr="00517328" w:rsidRDefault="007F3094" w:rsidP="007F3094">
      <w:r>
        <w:t xml:space="preserve">In their </w:t>
      </w:r>
      <w:proofErr w:type="spellStart"/>
      <w:r>
        <w:t>patel</w:t>
      </w:r>
      <w:proofErr w:type="spellEnd"/>
      <w:r>
        <w:t xml:space="preserve"> 21 card: </w:t>
      </w:r>
    </w:p>
    <w:p w14:paraId="3631F099" w14:textId="77777777" w:rsidR="007F3094" w:rsidRPr="005935EF" w:rsidRDefault="007F3094" w:rsidP="007F3094">
      <w:pPr>
        <w:spacing w:line="480" w:lineRule="auto"/>
        <w:rPr>
          <w:rFonts w:asciiTheme="majorHAnsi" w:eastAsia="Calibri" w:hAnsiTheme="majorHAnsi" w:cstheme="majorHAnsi"/>
          <w:b/>
          <w:bCs/>
          <w:sz w:val="26"/>
          <w:szCs w:val="26"/>
        </w:rPr>
      </w:pPr>
      <w:r w:rsidRPr="009A2000">
        <w:rPr>
          <w:sz w:val="16"/>
        </w:rPr>
        <w:t xml:space="preserve">, </w:t>
      </w:r>
      <w:r w:rsidRPr="007B103E">
        <w:rPr>
          <w:rStyle w:val="StyleUnderline"/>
        </w:rPr>
        <w:t xml:space="preserve">the </w:t>
      </w:r>
      <w:r w:rsidRPr="00ED489D">
        <w:rPr>
          <w:rStyle w:val="StyleUnderline"/>
          <w:highlight w:val="yellow"/>
        </w:rPr>
        <w:t>Chinese government</w:t>
      </w:r>
      <w:r w:rsidRPr="007B103E">
        <w:rPr>
          <w:rStyle w:val="StyleUnderline"/>
        </w:rPr>
        <w:t xml:space="preserve"> decided to </w:t>
      </w:r>
      <w:r w:rsidRPr="008104EA">
        <w:rPr>
          <w:rStyle w:val="StyleUnderline"/>
          <w:highlight w:val="yellow"/>
        </w:rPr>
        <w:t xml:space="preserve">treat civil space development as a </w:t>
      </w:r>
      <w:r w:rsidRPr="008104EA">
        <w:rPr>
          <w:rStyle w:val="Emphasis"/>
          <w:highlight w:val="yellow"/>
        </w:rPr>
        <w:t>key area of innovation</w:t>
      </w:r>
      <w:r w:rsidRPr="009A2000">
        <w:rPr>
          <w:sz w:val="16"/>
        </w:rPr>
        <w:t xml:space="preserve">, as it had already begun doing with AI and solar power. </w:t>
      </w:r>
      <w:r w:rsidRPr="008104EA">
        <w:rPr>
          <w:rStyle w:val="StyleUnderline"/>
          <w:highlight w:val="yellow"/>
        </w:rPr>
        <w:t>It issued a policy directive</w:t>
      </w:r>
      <w:r w:rsidRPr="009A2000">
        <w:rPr>
          <w:sz w:val="16"/>
        </w:rPr>
        <w:t xml:space="preserve"> called Document 60 that year </w:t>
      </w:r>
      <w:r w:rsidRPr="008104EA">
        <w:rPr>
          <w:rStyle w:val="StyleUnderline"/>
          <w:highlight w:val="yellow"/>
        </w:rPr>
        <w:t>to enable large private investment in</w:t>
      </w:r>
      <w:r w:rsidRPr="009A2000">
        <w:rPr>
          <w:sz w:val="16"/>
        </w:rPr>
        <w:t xml:space="preserve"> companies interested in participating in </w:t>
      </w:r>
      <w:r w:rsidRPr="008104EA">
        <w:rPr>
          <w:rStyle w:val="StyleUnderline"/>
          <w:highlight w:val="yellow"/>
        </w:rPr>
        <w:t>the space industry</w:t>
      </w:r>
      <w:r w:rsidRPr="007B103E">
        <w:rPr>
          <w:rStyle w:val="StyleUnderline"/>
        </w:rPr>
        <w:t>.</w:t>
      </w:r>
    </w:p>
    <w:p w14:paraId="3FA36F63" w14:textId="77777777" w:rsidR="007F3094" w:rsidRPr="007F3094" w:rsidRDefault="007F3094" w:rsidP="007F3094"/>
    <w:p w14:paraId="6A4440C5" w14:textId="77777777" w:rsidR="007F3094" w:rsidRDefault="007F3094" w:rsidP="007F3094">
      <w:pPr>
        <w:pStyle w:val="Heading4"/>
        <w:spacing w:line="360" w:lineRule="auto"/>
      </w:pPr>
      <w:r>
        <w:t>China's "private" sector companies aren't private</w:t>
      </w:r>
    </w:p>
    <w:p w14:paraId="5775BE6D" w14:textId="77777777" w:rsidR="007F3094" w:rsidRPr="00E8068E" w:rsidRDefault="007F3094" w:rsidP="007F3094">
      <w:pPr>
        <w:spacing w:line="360" w:lineRule="auto"/>
      </w:pPr>
      <w:r w:rsidRPr="00E8068E">
        <w:rPr>
          <w:rStyle w:val="Style13ptBold"/>
        </w:rPr>
        <w:t>Olson 20</w:t>
      </w:r>
      <w:r>
        <w:t xml:space="preserve"> </w:t>
      </w:r>
      <w:r w:rsidRPr="00E8068E">
        <w:t>[Stephen Olson, research fellow at the Hinrich Foundation. "Are Private Chinese Companies Really Private?" The Diplomat, 9-30-2020, accessed 1-14-2022, https://thediplomat.com/2020/09/are-private-chinese-companies-really-private/] HWIC</w:t>
      </w:r>
    </w:p>
    <w:p w14:paraId="5B1734E9" w14:textId="77777777" w:rsidR="007F3094" w:rsidRDefault="007F3094" w:rsidP="007F3094">
      <w:pPr>
        <w:spacing w:line="360" w:lineRule="auto"/>
      </w:pPr>
      <w:r>
        <w:t xml:space="preserve">China has often been criticized for a lack of transparency, especially </w:t>
      </w:r>
      <w:proofErr w:type="gramStart"/>
      <w:r>
        <w:t>with regard to</w:t>
      </w:r>
      <w:proofErr w:type="gramEnd"/>
      <w:r>
        <w:t xml:space="preserve"> its economic and trade policies. While in many cases these criticisms are valid, it belies the fact that in other instances, China is remarkably open and transparent about its intentions and ambitions. </w:t>
      </w:r>
    </w:p>
    <w:p w14:paraId="2455BC44" w14:textId="77777777" w:rsidR="007F3094" w:rsidRDefault="007F3094" w:rsidP="007F3094">
      <w:pPr>
        <w:spacing w:line="360" w:lineRule="auto"/>
      </w:pPr>
      <w:r>
        <w:t xml:space="preserve">Such is the case with China’s “Opinion on Strengthening the United Front Work of the Private Economy in the New Era,” recently released by the Central Committee of the Chinese Communist Party (and further elaborated on by President Xi Jinping himself). This document tells us in no uncertain terms that </w:t>
      </w:r>
      <w:r w:rsidRPr="005C2EBD">
        <w:rPr>
          <w:rStyle w:val="StyleUnderline"/>
          <w:highlight w:val="green"/>
        </w:rPr>
        <w:t>Chinese private companies</w:t>
      </w:r>
      <w:r w:rsidRPr="005C2EBD">
        <w:rPr>
          <w:rStyle w:val="StyleUnderline"/>
        </w:rPr>
        <w:t xml:space="preserve"> </w:t>
      </w:r>
      <w:r w:rsidRPr="005C2EBD">
        <w:rPr>
          <w:rStyle w:val="StyleUnderline"/>
          <w:highlight w:val="green"/>
        </w:rPr>
        <w:t>will be</w:t>
      </w:r>
      <w:r w:rsidRPr="005C2EBD">
        <w:rPr>
          <w:rStyle w:val="StyleUnderline"/>
        </w:rPr>
        <w:t xml:space="preserve"> increasingly </w:t>
      </w:r>
      <w:r w:rsidRPr="005C2EBD">
        <w:rPr>
          <w:rStyle w:val="StyleUnderline"/>
          <w:highlight w:val="green"/>
        </w:rPr>
        <w:t>called upon to conduct</w:t>
      </w:r>
      <w:r w:rsidRPr="005C2EBD">
        <w:rPr>
          <w:rStyle w:val="StyleUnderline"/>
        </w:rPr>
        <w:t xml:space="preserve"> their </w:t>
      </w:r>
      <w:r w:rsidRPr="005C2EBD">
        <w:rPr>
          <w:rStyle w:val="StyleUnderline"/>
          <w:highlight w:val="green"/>
        </w:rPr>
        <w:t>operations in tight coordination with governmental policy</w:t>
      </w:r>
      <w:r w:rsidRPr="005C2EBD">
        <w:rPr>
          <w:rStyle w:val="StyleUnderline"/>
        </w:rPr>
        <w:t xml:space="preserve"> objectives and ideologies</w:t>
      </w:r>
      <w:r>
        <w:t>. The rest of the world should take note.</w:t>
      </w:r>
    </w:p>
    <w:p w14:paraId="08244C95" w14:textId="77777777" w:rsidR="007F3094" w:rsidRDefault="007F3094" w:rsidP="007F3094">
      <w:pPr>
        <w:spacing w:line="360" w:lineRule="auto"/>
      </w:pPr>
      <w:r>
        <w:t>A Different Vision of “Private” Business</w:t>
      </w:r>
    </w:p>
    <w:p w14:paraId="739A955E" w14:textId="77777777" w:rsidR="007F3094" w:rsidRDefault="007F3094" w:rsidP="007F3094">
      <w:pPr>
        <w:spacing w:line="360" w:lineRule="auto"/>
      </w:pPr>
      <w:r w:rsidRPr="005C2EBD">
        <w:rPr>
          <w:rStyle w:val="StyleUnderline"/>
        </w:rPr>
        <w:t xml:space="preserve">The 5,000 word “opinion” aims to ratchet-up the role and influence of the CCP within the private sector in order “to better focus the wisdom and strength of the private businesspeople on the goal and mission to realize the great rejuvenation of the Chinese nation.” </w:t>
      </w:r>
      <w:r w:rsidRPr="005C2EBD">
        <w:rPr>
          <w:rStyle w:val="StyleUnderline"/>
          <w:highlight w:val="green"/>
        </w:rPr>
        <w:t>The objective is to establish a “united front” between business and government</w:t>
      </w:r>
      <w:r>
        <w:t xml:space="preserve"> and facilitate the “enhancement of the party’s leadership over the private economy.” According to the plan, </w:t>
      </w:r>
      <w:r w:rsidRPr="005C2EBD">
        <w:rPr>
          <w:rStyle w:val="StyleUnderline"/>
        </w:rPr>
        <w:t>“</w:t>
      </w:r>
      <w:r w:rsidRPr="005C2EBD">
        <w:rPr>
          <w:rStyle w:val="StyleUnderline"/>
          <w:highlight w:val="green"/>
        </w:rPr>
        <w:t>private economic figures are to be more closely united around the party</w:t>
      </w:r>
      <w:r w:rsidRPr="005C2EBD">
        <w:rPr>
          <w:rStyle w:val="StyleUnderline"/>
        </w:rPr>
        <w:t>,” thereby achieving “a high degree of consistency with the Party Central Committee</w:t>
      </w:r>
      <w:r>
        <w:t xml:space="preserve"> on political stand, political direction, political principles, and political roads.”</w:t>
      </w:r>
    </w:p>
    <w:p w14:paraId="0C611B8E" w14:textId="77777777" w:rsidR="007F3094" w:rsidRDefault="007F3094" w:rsidP="007F3094">
      <w:pPr>
        <w:spacing w:line="360" w:lineRule="auto"/>
      </w:pPr>
      <w:r w:rsidRPr="005C2EBD">
        <w:rPr>
          <w:rStyle w:val="StyleUnderline"/>
        </w:rPr>
        <w:t xml:space="preserve">All of </w:t>
      </w:r>
      <w:r w:rsidRPr="005C2EBD">
        <w:rPr>
          <w:rStyle w:val="StyleUnderline"/>
          <w:highlight w:val="green"/>
        </w:rPr>
        <w:t>this stands in</w:t>
      </w:r>
      <w:r w:rsidRPr="005C2EBD">
        <w:rPr>
          <w:rStyle w:val="StyleUnderline"/>
        </w:rPr>
        <w:t xml:space="preserve"> stark </w:t>
      </w:r>
      <w:r w:rsidRPr="005C2EBD">
        <w:rPr>
          <w:rStyle w:val="StyleUnderline"/>
          <w:highlight w:val="green"/>
        </w:rPr>
        <w:t>contrast to</w:t>
      </w:r>
      <w:r w:rsidRPr="005C2EBD">
        <w:rPr>
          <w:rStyle w:val="StyleUnderline"/>
        </w:rPr>
        <w:t xml:space="preserve"> long-accepted concepts of </w:t>
      </w:r>
      <w:r w:rsidRPr="005C2EBD">
        <w:rPr>
          <w:rStyle w:val="StyleUnderline"/>
          <w:highlight w:val="green"/>
        </w:rPr>
        <w:t>how private companies function in a free market</w:t>
      </w:r>
      <w:r w:rsidRPr="005C2EBD">
        <w:rPr>
          <w:highlight w:val="green"/>
        </w:rPr>
        <w:t>.</w:t>
      </w:r>
      <w:r>
        <w:t xml:space="preserve"> The overriding purpose of business, according to these traditional precepts, is to earn profits through the provision of value-added products and services, in response to marketplace signals and under the constraint of basic economic realities. Government ideology plays no role in that equation. </w:t>
      </w:r>
    </w:p>
    <w:p w14:paraId="046AD95A" w14:textId="77777777" w:rsidR="007F3094" w:rsidRPr="005C2EBD" w:rsidRDefault="007F3094" w:rsidP="007F3094">
      <w:pPr>
        <w:spacing w:line="360" w:lineRule="auto"/>
        <w:rPr>
          <w:rStyle w:val="StyleUnderline"/>
        </w:rPr>
      </w:pPr>
      <w:r>
        <w:t xml:space="preserve">But </w:t>
      </w:r>
      <w:r w:rsidRPr="005C2EBD">
        <w:rPr>
          <w:rStyle w:val="StyleUnderline"/>
          <w:highlight w:val="green"/>
        </w:rPr>
        <w:t>China has a</w:t>
      </w:r>
      <w:r w:rsidRPr="005C2EBD">
        <w:rPr>
          <w:rStyle w:val="StyleUnderline"/>
        </w:rPr>
        <w:t xml:space="preserve"> very </w:t>
      </w:r>
      <w:r w:rsidRPr="005C2EBD">
        <w:rPr>
          <w:rStyle w:val="StyleUnderline"/>
          <w:highlight w:val="green"/>
        </w:rPr>
        <w:t>different vision. Government officials</w:t>
      </w:r>
      <w:r w:rsidRPr="005C2EBD">
        <w:rPr>
          <w:rStyle w:val="StyleUnderline"/>
        </w:rPr>
        <w:t xml:space="preserve"> and government ideologies </w:t>
      </w:r>
      <w:r w:rsidRPr="005C2EBD">
        <w:rPr>
          <w:rStyle w:val="StyleUnderline"/>
          <w:highlight w:val="green"/>
        </w:rPr>
        <w:t>are directly infused into business operations</w:t>
      </w:r>
      <w:r w:rsidRPr="005C2EBD">
        <w:rPr>
          <w:rStyle w:val="StyleUnderline"/>
        </w:rPr>
        <w:t>. Private sector employees are “educated” on government policies and ideologies</w:t>
      </w:r>
      <w:r>
        <w:t xml:space="preserve">, with the expectation that this “enlightenment” will help inform their business decisions. </w:t>
      </w:r>
      <w:r w:rsidRPr="005C2EBD">
        <w:rPr>
          <w:rStyle w:val="StyleUnderline"/>
        </w:rPr>
        <w:t xml:space="preserve">This </w:t>
      </w:r>
      <w:r w:rsidRPr="005C2EBD">
        <w:rPr>
          <w:rStyle w:val="StyleUnderline"/>
          <w:highlight w:val="green"/>
        </w:rPr>
        <w:t>government-business symbiosis is</w:t>
      </w:r>
      <w:r w:rsidRPr="005C2EBD">
        <w:rPr>
          <w:rStyle w:val="StyleUnderline"/>
        </w:rPr>
        <w:t xml:space="preserve"> further </w:t>
      </w:r>
      <w:r w:rsidRPr="005C2EBD">
        <w:rPr>
          <w:rStyle w:val="StyleUnderline"/>
          <w:highlight w:val="green"/>
        </w:rPr>
        <w:t>cemented by</w:t>
      </w:r>
      <w:r w:rsidRPr="005C2EBD">
        <w:rPr>
          <w:rStyle w:val="StyleUnderline"/>
        </w:rPr>
        <w:t xml:space="preserve"> the provision of </w:t>
      </w:r>
      <w:r w:rsidRPr="005C2EBD">
        <w:rPr>
          <w:rStyle w:val="StyleUnderline"/>
          <w:highlight w:val="green"/>
        </w:rPr>
        <w:t>massive government subsidies</w:t>
      </w:r>
      <w:r w:rsidRPr="005C2EBD">
        <w:rPr>
          <w:rStyle w:val="StyleUnderline"/>
        </w:rPr>
        <w:t xml:space="preserve"> (estimated to be about 3 percent of China’s GDP) to Chinese companies.</w:t>
      </w:r>
    </w:p>
    <w:p w14:paraId="1220FF1B" w14:textId="77777777" w:rsidR="007F3094" w:rsidRDefault="007F3094" w:rsidP="007F3094">
      <w:pPr>
        <w:spacing w:line="360" w:lineRule="auto"/>
      </w:pPr>
    </w:p>
    <w:p w14:paraId="16E76522" w14:textId="3413AC01" w:rsidR="007F3094" w:rsidRDefault="007F3094" w:rsidP="007F3094">
      <w:pPr>
        <w:pStyle w:val="Heading4"/>
        <w:spacing w:line="360" w:lineRule="auto"/>
      </w:pPr>
      <w:r>
        <w:t>1-- they skirt the core controversy of the topic which is national vs private space activities – kills stasis point and pre-round prep and means we lose access to generics that rely on the motives of private companies differing from national interest proven by the fact that their advantage is functionally China space good/bad</w:t>
      </w:r>
    </w:p>
    <w:p w14:paraId="461F9747" w14:textId="77777777" w:rsidR="007F3094" w:rsidRPr="005935EF" w:rsidRDefault="007F3094" w:rsidP="007F3094">
      <w:pPr>
        <w:spacing w:line="360" w:lineRule="auto"/>
        <w:textAlignment w:val="baseline"/>
        <w:rPr>
          <w:rFonts w:asciiTheme="majorHAnsi" w:hAnsiTheme="majorHAnsi" w:cs="Segoe UI"/>
          <w:b/>
          <w:bCs/>
          <w:sz w:val="18"/>
          <w:szCs w:val="18"/>
        </w:rPr>
      </w:pPr>
      <w:r w:rsidRPr="005935EF">
        <w:rPr>
          <w:rFonts w:asciiTheme="majorHAnsi" w:hAnsiTheme="majorHAnsi" w:cs="Calibri"/>
          <w:b/>
          <w:bCs/>
          <w:sz w:val="26"/>
          <w:szCs w:val="26"/>
        </w:rPr>
        <w:t>Standards  </w:t>
      </w:r>
    </w:p>
    <w:p w14:paraId="44FB5509" w14:textId="77777777" w:rsidR="007F3094" w:rsidRPr="005935EF" w:rsidRDefault="007F3094" w:rsidP="007F3094">
      <w:pPr>
        <w:spacing w:line="360" w:lineRule="auto"/>
        <w:textAlignment w:val="baseline"/>
        <w:rPr>
          <w:rFonts w:asciiTheme="majorHAnsi" w:hAnsiTheme="majorHAnsi" w:cs="Segoe UI"/>
          <w:b/>
          <w:bCs/>
          <w:sz w:val="18"/>
          <w:szCs w:val="18"/>
        </w:rPr>
      </w:pPr>
      <w:r w:rsidRPr="005935EF">
        <w:rPr>
          <w:rFonts w:asciiTheme="majorHAnsi" w:hAnsiTheme="majorHAnsi" w:cs="Calibri"/>
          <w:b/>
          <w:bCs/>
          <w:sz w:val="26"/>
          <w:szCs w:val="26"/>
        </w:rPr>
        <w:t xml:space="preserve">2 – clash – the </w:t>
      </w:r>
      <w:proofErr w:type="spellStart"/>
      <w:r w:rsidRPr="005935EF">
        <w:rPr>
          <w:rFonts w:asciiTheme="majorHAnsi" w:hAnsiTheme="majorHAnsi" w:cs="Calibri"/>
          <w:b/>
          <w:bCs/>
          <w:sz w:val="26"/>
          <w:szCs w:val="26"/>
        </w:rPr>
        <w:t>aff</w:t>
      </w:r>
      <w:proofErr w:type="spellEnd"/>
      <w:r w:rsidRPr="005935EF">
        <w:rPr>
          <w:rFonts w:asciiTheme="majorHAnsi" w:hAnsiTheme="majorHAnsi" w:cs="Calibri"/>
          <w:b/>
          <w:bCs/>
          <w:sz w:val="26"/>
          <w:szCs w:val="26"/>
        </w:rPr>
        <w:t xml:space="preserve"> leads to two ships passing in the night </w:t>
      </w:r>
      <w:proofErr w:type="spellStart"/>
      <w:r w:rsidRPr="005935EF">
        <w:rPr>
          <w:rFonts w:asciiTheme="majorHAnsi" w:hAnsiTheme="majorHAnsi" w:cs="Calibri"/>
          <w:b/>
          <w:bCs/>
          <w:sz w:val="26"/>
          <w:szCs w:val="26"/>
        </w:rPr>
        <w:t>bc</w:t>
      </w:r>
      <w:proofErr w:type="spellEnd"/>
      <w:r w:rsidRPr="005935EF">
        <w:rPr>
          <w:rFonts w:asciiTheme="majorHAnsi" w:hAnsiTheme="majorHAnsi" w:cs="Calibri"/>
          <w:b/>
          <w:bCs/>
          <w:sz w:val="26"/>
          <w:szCs w:val="26"/>
        </w:rPr>
        <w:t> the neg doesn’t have substantive, well-researched objections to the </w:t>
      </w:r>
      <w:proofErr w:type="spellStart"/>
      <w:r w:rsidRPr="005935EF">
        <w:rPr>
          <w:rFonts w:asciiTheme="majorHAnsi" w:hAnsiTheme="majorHAnsi" w:cs="Calibri"/>
          <w:b/>
          <w:bCs/>
          <w:sz w:val="26"/>
          <w:szCs w:val="26"/>
        </w:rPr>
        <w:t>aff</w:t>
      </w:r>
      <w:proofErr w:type="spellEnd"/>
      <w:r w:rsidRPr="005935EF">
        <w:rPr>
          <w:rFonts w:asciiTheme="majorHAnsi" w:hAnsiTheme="majorHAnsi" w:cs="Calibri"/>
          <w:b/>
          <w:bCs/>
          <w:sz w:val="26"/>
          <w:szCs w:val="26"/>
        </w:rPr>
        <w:t>. kills education </w:t>
      </w:r>
      <w:proofErr w:type="spellStart"/>
      <w:r w:rsidRPr="005935EF">
        <w:rPr>
          <w:rFonts w:asciiTheme="majorHAnsi" w:hAnsiTheme="majorHAnsi" w:cs="Calibri"/>
          <w:b/>
          <w:bCs/>
          <w:sz w:val="26"/>
          <w:szCs w:val="26"/>
        </w:rPr>
        <w:t>bc</w:t>
      </w:r>
      <w:proofErr w:type="spellEnd"/>
      <w:r w:rsidRPr="005935EF">
        <w:rPr>
          <w:rFonts w:asciiTheme="majorHAnsi" w:hAnsiTheme="majorHAnsi" w:cs="Calibri"/>
          <w:b/>
          <w:bCs/>
          <w:sz w:val="26"/>
          <w:szCs w:val="26"/>
        </w:rPr>
        <w:t> we never learn anything about both sides of the topic – </w:t>
      </w:r>
      <w:proofErr w:type="spellStart"/>
      <w:r w:rsidRPr="005935EF">
        <w:rPr>
          <w:rFonts w:asciiTheme="majorHAnsi" w:hAnsiTheme="majorHAnsi" w:cs="Calibri"/>
          <w:b/>
          <w:bCs/>
          <w:sz w:val="26"/>
          <w:szCs w:val="26"/>
        </w:rPr>
        <w:t>aff</w:t>
      </w:r>
      <w:proofErr w:type="spellEnd"/>
      <w:r w:rsidRPr="005935EF">
        <w:rPr>
          <w:rFonts w:asciiTheme="majorHAnsi" w:hAnsiTheme="majorHAnsi" w:cs="Calibri"/>
          <w:b/>
          <w:bCs/>
          <w:sz w:val="26"/>
          <w:szCs w:val="26"/>
        </w:rPr>
        <w:t> is more likely to win </w:t>
      </w:r>
      <w:proofErr w:type="spellStart"/>
      <w:r w:rsidRPr="005935EF">
        <w:rPr>
          <w:rFonts w:asciiTheme="majorHAnsi" w:hAnsiTheme="majorHAnsi" w:cs="Calibri"/>
          <w:b/>
          <w:bCs/>
          <w:sz w:val="26"/>
          <w:szCs w:val="26"/>
        </w:rPr>
        <w:t>bc</w:t>
      </w:r>
      <w:proofErr w:type="spellEnd"/>
      <w:r w:rsidRPr="005935EF">
        <w:rPr>
          <w:rFonts w:asciiTheme="majorHAnsi" w:hAnsiTheme="majorHAnsi" w:cs="Calibri"/>
          <w:b/>
          <w:bCs/>
          <w:sz w:val="26"/>
          <w:szCs w:val="26"/>
        </w:rPr>
        <w:t> they’re ahead on the research about their specific type of appropriation.  </w:t>
      </w:r>
    </w:p>
    <w:p w14:paraId="78FA16BA" w14:textId="77777777" w:rsidR="007F3094" w:rsidRPr="005935EF" w:rsidRDefault="007F3094" w:rsidP="007F3094">
      <w:pPr>
        <w:spacing w:line="360" w:lineRule="auto"/>
        <w:textAlignment w:val="baseline"/>
        <w:rPr>
          <w:rFonts w:asciiTheme="majorHAnsi" w:hAnsiTheme="majorHAnsi" w:cs="Segoe UI"/>
          <w:b/>
          <w:bCs/>
          <w:sz w:val="18"/>
          <w:szCs w:val="18"/>
        </w:rPr>
      </w:pPr>
      <w:r w:rsidRPr="005935EF">
        <w:rPr>
          <w:rFonts w:asciiTheme="majorHAnsi" w:hAnsiTheme="majorHAnsi" w:cs="Calibri"/>
          <w:b/>
          <w:bCs/>
          <w:sz w:val="26"/>
          <w:szCs w:val="26"/>
        </w:rPr>
        <w:t>Voters – </w:t>
      </w:r>
    </w:p>
    <w:p w14:paraId="2D46E352" w14:textId="57E1C5C1" w:rsidR="007F3094" w:rsidRPr="005935EF" w:rsidRDefault="007F3094" w:rsidP="007F3094">
      <w:pPr>
        <w:spacing w:line="360" w:lineRule="auto"/>
        <w:textAlignment w:val="baseline"/>
        <w:rPr>
          <w:rFonts w:asciiTheme="majorHAnsi" w:hAnsiTheme="majorHAnsi" w:cs="Segoe UI"/>
          <w:b/>
          <w:bCs/>
          <w:sz w:val="18"/>
          <w:szCs w:val="18"/>
        </w:rPr>
      </w:pPr>
      <w:r w:rsidRPr="005935EF">
        <w:rPr>
          <w:rFonts w:asciiTheme="majorHAnsi" w:hAnsiTheme="majorHAnsi" w:cs="Calibri"/>
          <w:b/>
          <w:bCs/>
          <w:sz w:val="26"/>
          <w:szCs w:val="26"/>
        </w:rPr>
        <w:t xml:space="preserve">1 -- Fairness – you need fairness to evaluate debate rounds – the judge needs to vote for the better debater not the better cheater. </w:t>
      </w:r>
    </w:p>
    <w:p w14:paraId="138B7D1C" w14:textId="77777777" w:rsidR="007F3094" w:rsidRPr="005935EF" w:rsidRDefault="007F3094" w:rsidP="007F3094">
      <w:pPr>
        <w:spacing w:line="360" w:lineRule="auto"/>
        <w:textAlignment w:val="baseline"/>
        <w:rPr>
          <w:rFonts w:asciiTheme="majorHAnsi" w:hAnsiTheme="majorHAnsi" w:cs="Segoe UI"/>
          <w:b/>
          <w:bCs/>
          <w:sz w:val="18"/>
          <w:szCs w:val="18"/>
        </w:rPr>
      </w:pPr>
      <w:r w:rsidRPr="005935EF">
        <w:rPr>
          <w:rFonts w:asciiTheme="majorHAnsi" w:hAnsiTheme="majorHAnsi" w:cs="Calibri"/>
          <w:b/>
          <w:bCs/>
          <w:sz w:val="26"/>
          <w:szCs w:val="26"/>
        </w:rPr>
        <w:t>2 – education – it’s a voter because it’s the reason schools fund debate and the only portable skills we gain from debate are a result of education – knowing how to discuss the merits of broad policy options has more </w:t>
      </w:r>
      <w:proofErr w:type="gramStart"/>
      <w:r w:rsidRPr="005935EF">
        <w:rPr>
          <w:rFonts w:asciiTheme="majorHAnsi" w:hAnsiTheme="majorHAnsi" w:cs="Calibri"/>
          <w:b/>
          <w:bCs/>
          <w:sz w:val="26"/>
          <w:szCs w:val="26"/>
        </w:rPr>
        <w:t>real world</w:t>
      </w:r>
      <w:proofErr w:type="gramEnd"/>
      <w:r w:rsidRPr="005935EF">
        <w:rPr>
          <w:rFonts w:asciiTheme="majorHAnsi" w:hAnsiTheme="majorHAnsi" w:cs="Calibri"/>
          <w:b/>
          <w:bCs/>
          <w:sz w:val="26"/>
          <w:szCs w:val="26"/>
        </w:rPr>
        <w:t> implications than knowing how to go for an </w:t>
      </w:r>
      <w:proofErr w:type="spellStart"/>
      <w:r w:rsidRPr="005935EF">
        <w:rPr>
          <w:rFonts w:asciiTheme="majorHAnsi" w:hAnsiTheme="majorHAnsi" w:cs="Calibri"/>
          <w:b/>
          <w:bCs/>
          <w:sz w:val="26"/>
          <w:szCs w:val="26"/>
        </w:rPr>
        <w:t>rvi</w:t>
      </w:r>
      <w:proofErr w:type="spellEnd"/>
      <w:r w:rsidRPr="005935EF">
        <w:rPr>
          <w:rFonts w:asciiTheme="majorHAnsi" w:hAnsiTheme="majorHAnsi" w:cs="Calibri"/>
          <w:b/>
          <w:bCs/>
          <w:sz w:val="26"/>
          <w:szCs w:val="26"/>
        </w:rPr>
        <w:t> or knowing how to defend policies that are so obscure they’d never be passed. </w:t>
      </w:r>
    </w:p>
    <w:p w14:paraId="694B571D" w14:textId="77777777" w:rsidR="007F3094" w:rsidRPr="005935EF" w:rsidRDefault="007F3094" w:rsidP="007F3094">
      <w:pPr>
        <w:spacing w:line="360" w:lineRule="auto"/>
        <w:textAlignment w:val="baseline"/>
        <w:rPr>
          <w:rFonts w:asciiTheme="majorHAnsi" w:hAnsiTheme="majorHAnsi" w:cs="Segoe UI"/>
          <w:b/>
          <w:bCs/>
          <w:sz w:val="18"/>
          <w:szCs w:val="18"/>
        </w:rPr>
      </w:pPr>
      <w:r w:rsidRPr="005935EF">
        <w:rPr>
          <w:rFonts w:asciiTheme="majorHAnsi" w:hAnsiTheme="majorHAnsi" w:cs="Calibri"/>
          <w:b/>
          <w:bCs/>
          <w:sz w:val="26"/>
          <w:szCs w:val="26"/>
        </w:rPr>
        <w:t>Paradigm issues –  </w:t>
      </w:r>
    </w:p>
    <w:p w14:paraId="0A59D95E" w14:textId="77777777" w:rsidR="007F3094" w:rsidRPr="005935EF" w:rsidRDefault="007F3094" w:rsidP="007F3094">
      <w:pPr>
        <w:spacing w:line="360" w:lineRule="auto"/>
        <w:textAlignment w:val="baseline"/>
        <w:rPr>
          <w:rFonts w:asciiTheme="majorHAnsi" w:hAnsiTheme="majorHAnsi" w:cs="Segoe UI"/>
          <w:b/>
          <w:bCs/>
          <w:sz w:val="18"/>
          <w:szCs w:val="18"/>
        </w:rPr>
      </w:pPr>
      <w:r w:rsidRPr="005935EF">
        <w:rPr>
          <w:rFonts w:asciiTheme="majorHAnsi" w:hAnsiTheme="majorHAnsi" w:cs="Calibri"/>
          <w:b/>
          <w:bCs/>
          <w:sz w:val="26"/>
          <w:szCs w:val="26"/>
        </w:rPr>
        <w:t>1 – No RVIs  </w:t>
      </w:r>
    </w:p>
    <w:p w14:paraId="33F498DB" w14:textId="77777777" w:rsidR="007F3094" w:rsidRPr="005935EF" w:rsidRDefault="007F3094" w:rsidP="007F3094">
      <w:pPr>
        <w:spacing w:line="360" w:lineRule="auto"/>
        <w:textAlignment w:val="baseline"/>
        <w:rPr>
          <w:rFonts w:asciiTheme="majorHAnsi" w:hAnsiTheme="majorHAnsi" w:cs="Segoe UI"/>
          <w:b/>
          <w:bCs/>
          <w:sz w:val="18"/>
          <w:szCs w:val="18"/>
        </w:rPr>
      </w:pPr>
      <w:r w:rsidRPr="005935EF">
        <w:rPr>
          <w:rFonts w:asciiTheme="majorHAnsi" w:hAnsiTheme="majorHAnsi" w:cs="Calibri"/>
          <w:b/>
          <w:bCs/>
          <w:sz w:val="26"/>
          <w:szCs w:val="26"/>
        </w:rPr>
        <w:t>a] logic – you don’t get to win just for proving you’re topical </w:t>
      </w:r>
    </w:p>
    <w:p w14:paraId="4998DBC1" w14:textId="77777777" w:rsidR="007F3094" w:rsidRPr="005935EF" w:rsidRDefault="007F3094" w:rsidP="007F3094">
      <w:pPr>
        <w:spacing w:line="360" w:lineRule="auto"/>
        <w:textAlignment w:val="baseline"/>
        <w:rPr>
          <w:rFonts w:asciiTheme="majorHAnsi" w:hAnsiTheme="majorHAnsi" w:cs="Segoe UI"/>
          <w:b/>
          <w:bCs/>
          <w:sz w:val="18"/>
          <w:szCs w:val="18"/>
        </w:rPr>
      </w:pPr>
      <w:r w:rsidRPr="005935EF">
        <w:rPr>
          <w:rFonts w:asciiTheme="majorHAnsi" w:hAnsiTheme="majorHAnsi" w:cs="Calibri"/>
          <w:b/>
          <w:bCs/>
          <w:sz w:val="26"/>
          <w:szCs w:val="26"/>
        </w:rPr>
        <w:t>b] chilling effect – </w:t>
      </w:r>
      <w:proofErr w:type="spellStart"/>
      <w:r w:rsidRPr="005935EF">
        <w:rPr>
          <w:rFonts w:asciiTheme="majorHAnsi" w:hAnsiTheme="majorHAnsi" w:cs="Calibri"/>
          <w:b/>
          <w:bCs/>
          <w:sz w:val="26"/>
          <w:szCs w:val="26"/>
        </w:rPr>
        <w:t>rvis</w:t>
      </w:r>
      <w:proofErr w:type="spellEnd"/>
      <w:r w:rsidRPr="005935EF">
        <w:rPr>
          <w:rFonts w:asciiTheme="majorHAnsi" w:hAnsiTheme="majorHAnsi" w:cs="Calibri"/>
          <w:b/>
          <w:bCs/>
          <w:sz w:val="26"/>
          <w:szCs w:val="26"/>
        </w:rPr>
        <w:t> disincentivize debaters from checking abuse  </w:t>
      </w:r>
    </w:p>
    <w:p w14:paraId="08335EEC" w14:textId="77777777" w:rsidR="007F3094" w:rsidRPr="005935EF" w:rsidRDefault="007F3094" w:rsidP="007F3094">
      <w:pPr>
        <w:spacing w:line="360" w:lineRule="auto"/>
        <w:textAlignment w:val="baseline"/>
        <w:rPr>
          <w:rFonts w:asciiTheme="majorHAnsi" w:hAnsiTheme="majorHAnsi" w:cs="Segoe UI"/>
          <w:b/>
          <w:bCs/>
          <w:sz w:val="18"/>
          <w:szCs w:val="18"/>
        </w:rPr>
      </w:pPr>
      <w:r w:rsidRPr="005935EF">
        <w:rPr>
          <w:rFonts w:asciiTheme="majorHAnsi" w:hAnsiTheme="majorHAnsi" w:cs="Calibri"/>
          <w:b/>
          <w:bCs/>
          <w:sz w:val="26"/>
          <w:szCs w:val="26"/>
        </w:rPr>
        <w:t>c] theory baiting – </w:t>
      </w:r>
      <w:proofErr w:type="spellStart"/>
      <w:r w:rsidRPr="005935EF">
        <w:rPr>
          <w:rFonts w:asciiTheme="majorHAnsi" w:hAnsiTheme="majorHAnsi" w:cs="Calibri"/>
          <w:b/>
          <w:bCs/>
          <w:sz w:val="26"/>
          <w:szCs w:val="26"/>
        </w:rPr>
        <w:t>rvis</w:t>
      </w:r>
      <w:proofErr w:type="spellEnd"/>
      <w:r w:rsidRPr="005935EF">
        <w:rPr>
          <w:rFonts w:asciiTheme="majorHAnsi" w:hAnsiTheme="majorHAnsi" w:cs="Calibri"/>
          <w:b/>
          <w:bCs/>
          <w:sz w:val="26"/>
          <w:szCs w:val="26"/>
        </w:rPr>
        <w:t> incentivize </w:t>
      </w:r>
      <w:proofErr w:type="spellStart"/>
      <w:r w:rsidRPr="005935EF">
        <w:rPr>
          <w:rFonts w:asciiTheme="majorHAnsi" w:hAnsiTheme="majorHAnsi" w:cs="Calibri"/>
          <w:b/>
          <w:bCs/>
          <w:sz w:val="26"/>
          <w:szCs w:val="26"/>
        </w:rPr>
        <w:t>affs</w:t>
      </w:r>
      <w:proofErr w:type="spellEnd"/>
      <w:r w:rsidRPr="005935EF">
        <w:rPr>
          <w:rFonts w:asciiTheme="majorHAnsi" w:hAnsiTheme="majorHAnsi" w:cs="Calibri"/>
          <w:b/>
          <w:bCs/>
          <w:sz w:val="26"/>
          <w:szCs w:val="26"/>
        </w:rPr>
        <w:t> to be as </w:t>
      </w:r>
      <w:proofErr w:type="spellStart"/>
      <w:r w:rsidRPr="005935EF">
        <w:rPr>
          <w:rFonts w:asciiTheme="majorHAnsi" w:hAnsiTheme="majorHAnsi" w:cs="Calibri"/>
          <w:b/>
          <w:bCs/>
          <w:sz w:val="26"/>
          <w:szCs w:val="26"/>
        </w:rPr>
        <w:t>unnegatable</w:t>
      </w:r>
      <w:proofErr w:type="spellEnd"/>
      <w:r w:rsidRPr="005935EF">
        <w:rPr>
          <w:rFonts w:asciiTheme="majorHAnsi" w:hAnsiTheme="majorHAnsi" w:cs="Calibri"/>
          <w:b/>
          <w:bCs/>
          <w:sz w:val="26"/>
          <w:szCs w:val="26"/>
        </w:rPr>
        <w:t> as possible so they can bait t or theory and win  </w:t>
      </w:r>
    </w:p>
    <w:p w14:paraId="35CD351D" w14:textId="77777777" w:rsidR="007F3094" w:rsidRPr="005935EF" w:rsidRDefault="007F3094" w:rsidP="007F3094">
      <w:pPr>
        <w:spacing w:line="360" w:lineRule="auto"/>
        <w:textAlignment w:val="baseline"/>
        <w:rPr>
          <w:rFonts w:asciiTheme="majorHAnsi" w:hAnsiTheme="majorHAnsi" w:cs="Segoe UI"/>
          <w:b/>
          <w:bCs/>
          <w:sz w:val="18"/>
          <w:szCs w:val="18"/>
        </w:rPr>
      </w:pPr>
      <w:r w:rsidRPr="005935EF">
        <w:rPr>
          <w:rFonts w:asciiTheme="majorHAnsi" w:hAnsiTheme="majorHAnsi" w:cs="Calibri"/>
          <w:b/>
          <w:bCs/>
          <w:sz w:val="26"/>
          <w:szCs w:val="26"/>
        </w:rPr>
        <w:t>2 – competing interpretations over reasonability </w:t>
      </w:r>
    </w:p>
    <w:p w14:paraId="1C7B67EA" w14:textId="77777777" w:rsidR="007F3094" w:rsidRPr="005935EF" w:rsidRDefault="007F3094" w:rsidP="007F3094">
      <w:pPr>
        <w:spacing w:line="360" w:lineRule="auto"/>
        <w:textAlignment w:val="baseline"/>
        <w:rPr>
          <w:rFonts w:asciiTheme="majorHAnsi" w:hAnsiTheme="majorHAnsi" w:cs="Segoe UI"/>
          <w:b/>
          <w:bCs/>
          <w:sz w:val="18"/>
          <w:szCs w:val="18"/>
        </w:rPr>
      </w:pPr>
      <w:r w:rsidRPr="005935EF">
        <w:rPr>
          <w:rFonts w:asciiTheme="majorHAnsi" w:hAnsiTheme="majorHAnsi" w:cs="Calibri"/>
          <w:b/>
          <w:bCs/>
          <w:sz w:val="26"/>
          <w:szCs w:val="26"/>
        </w:rPr>
        <w:t>a] arbitrariness – reasonability is arbitrary and invites judge intervention </w:t>
      </w:r>
    </w:p>
    <w:p w14:paraId="454E2F55" w14:textId="77777777" w:rsidR="007F3094" w:rsidRPr="005935EF" w:rsidRDefault="007F3094" w:rsidP="007F3094">
      <w:pPr>
        <w:spacing w:line="360" w:lineRule="auto"/>
        <w:textAlignment w:val="baseline"/>
        <w:rPr>
          <w:rFonts w:asciiTheme="majorHAnsi" w:hAnsiTheme="majorHAnsi" w:cs="Segoe UI"/>
          <w:b/>
          <w:bCs/>
          <w:sz w:val="18"/>
          <w:szCs w:val="18"/>
        </w:rPr>
      </w:pPr>
      <w:r w:rsidRPr="005935EF">
        <w:rPr>
          <w:rFonts w:asciiTheme="majorHAnsi" w:hAnsiTheme="majorHAnsi" w:cs="Calibri"/>
          <w:b/>
          <w:bCs/>
          <w:sz w:val="26"/>
          <w:szCs w:val="26"/>
        </w:rPr>
        <w:t>b] </w:t>
      </w:r>
      <w:proofErr w:type="spellStart"/>
      <w:r w:rsidRPr="005935EF">
        <w:rPr>
          <w:rFonts w:asciiTheme="majorHAnsi" w:hAnsiTheme="majorHAnsi" w:cs="Calibri"/>
          <w:b/>
          <w:bCs/>
          <w:sz w:val="26"/>
          <w:szCs w:val="26"/>
        </w:rPr>
        <w:t>brightlines</w:t>
      </w:r>
      <w:proofErr w:type="spellEnd"/>
      <w:r w:rsidRPr="005935EF">
        <w:rPr>
          <w:rFonts w:asciiTheme="majorHAnsi" w:hAnsiTheme="majorHAnsi" w:cs="Calibri"/>
          <w:b/>
          <w:bCs/>
          <w:sz w:val="26"/>
          <w:szCs w:val="26"/>
        </w:rPr>
        <w:t> mean competing </w:t>
      </w:r>
      <w:proofErr w:type="spellStart"/>
      <w:r w:rsidRPr="005935EF">
        <w:rPr>
          <w:rFonts w:asciiTheme="majorHAnsi" w:hAnsiTheme="majorHAnsi" w:cs="Calibri"/>
          <w:b/>
          <w:bCs/>
          <w:sz w:val="26"/>
          <w:szCs w:val="26"/>
        </w:rPr>
        <w:t>interps</w:t>
      </w:r>
      <w:proofErr w:type="spellEnd"/>
      <w:r w:rsidRPr="005935EF">
        <w:rPr>
          <w:rFonts w:asciiTheme="majorHAnsi" w:hAnsiTheme="majorHAnsi" w:cs="Calibri"/>
          <w:b/>
          <w:bCs/>
          <w:sz w:val="26"/>
          <w:szCs w:val="26"/>
        </w:rPr>
        <w:t> – it becomes a debate of whose </w:t>
      </w:r>
      <w:proofErr w:type="spellStart"/>
      <w:r w:rsidRPr="005935EF">
        <w:rPr>
          <w:rFonts w:asciiTheme="majorHAnsi" w:hAnsiTheme="majorHAnsi" w:cs="Calibri"/>
          <w:b/>
          <w:bCs/>
          <w:sz w:val="26"/>
          <w:szCs w:val="26"/>
        </w:rPr>
        <w:t>brightline</w:t>
      </w:r>
      <w:proofErr w:type="spellEnd"/>
      <w:r w:rsidRPr="005935EF">
        <w:rPr>
          <w:rFonts w:asciiTheme="majorHAnsi" w:hAnsiTheme="majorHAnsi" w:cs="Calibri"/>
          <w:b/>
          <w:bCs/>
          <w:sz w:val="26"/>
          <w:szCs w:val="26"/>
        </w:rPr>
        <w:t> is best which is the same thing as competing </w:t>
      </w:r>
      <w:proofErr w:type="spellStart"/>
      <w:r w:rsidRPr="005935EF">
        <w:rPr>
          <w:rFonts w:asciiTheme="majorHAnsi" w:hAnsiTheme="majorHAnsi" w:cs="Calibri"/>
          <w:b/>
          <w:bCs/>
          <w:sz w:val="26"/>
          <w:szCs w:val="26"/>
        </w:rPr>
        <w:t>interps</w:t>
      </w:r>
      <w:proofErr w:type="spellEnd"/>
      <w:r w:rsidRPr="005935EF">
        <w:rPr>
          <w:rFonts w:asciiTheme="majorHAnsi" w:hAnsiTheme="majorHAnsi" w:cs="Calibri"/>
          <w:b/>
          <w:bCs/>
          <w:sz w:val="26"/>
          <w:szCs w:val="26"/>
        </w:rPr>
        <w:t> – you’re debating about whose model is best  </w:t>
      </w:r>
    </w:p>
    <w:p w14:paraId="763D8D73" w14:textId="77777777" w:rsidR="007F3094" w:rsidRPr="005935EF" w:rsidRDefault="007F3094" w:rsidP="007F3094">
      <w:pPr>
        <w:spacing w:line="360" w:lineRule="auto"/>
        <w:textAlignment w:val="baseline"/>
        <w:rPr>
          <w:rFonts w:asciiTheme="majorHAnsi" w:hAnsiTheme="majorHAnsi" w:cs="Segoe UI"/>
          <w:b/>
          <w:bCs/>
          <w:sz w:val="18"/>
          <w:szCs w:val="18"/>
        </w:rPr>
      </w:pPr>
      <w:r w:rsidRPr="005935EF">
        <w:rPr>
          <w:rFonts w:asciiTheme="majorHAnsi" w:hAnsiTheme="majorHAnsi" w:cs="Calibri"/>
          <w:b/>
          <w:bCs/>
          <w:sz w:val="26"/>
          <w:szCs w:val="26"/>
        </w:rPr>
        <w:t>3 – drop the debater  </w:t>
      </w:r>
    </w:p>
    <w:p w14:paraId="3268689E" w14:textId="77777777" w:rsidR="007F3094" w:rsidRPr="005935EF" w:rsidRDefault="007F3094" w:rsidP="007F3094">
      <w:pPr>
        <w:spacing w:line="360" w:lineRule="auto"/>
        <w:textAlignment w:val="baseline"/>
        <w:rPr>
          <w:rFonts w:asciiTheme="majorHAnsi" w:hAnsiTheme="majorHAnsi" w:cs="Segoe UI"/>
          <w:b/>
          <w:bCs/>
          <w:sz w:val="18"/>
          <w:szCs w:val="18"/>
        </w:rPr>
      </w:pPr>
      <w:r w:rsidRPr="005935EF">
        <w:rPr>
          <w:rFonts w:asciiTheme="majorHAnsi" w:hAnsiTheme="majorHAnsi" w:cs="Calibri"/>
          <w:b/>
          <w:bCs/>
          <w:sz w:val="26"/>
          <w:szCs w:val="26"/>
        </w:rPr>
        <w:t>a] logic – drop the argument doesn’t make sense – the shell </w:t>
      </w:r>
      <w:proofErr w:type="spellStart"/>
      <w:r w:rsidRPr="005935EF">
        <w:rPr>
          <w:rFonts w:asciiTheme="majorHAnsi" w:hAnsiTheme="majorHAnsi" w:cs="Calibri"/>
          <w:b/>
          <w:bCs/>
          <w:sz w:val="26"/>
          <w:szCs w:val="26"/>
        </w:rPr>
        <w:t>indics</w:t>
      </w:r>
      <w:proofErr w:type="spellEnd"/>
      <w:r w:rsidRPr="005935EF">
        <w:rPr>
          <w:rFonts w:asciiTheme="majorHAnsi" w:hAnsiTheme="majorHAnsi" w:cs="Calibri"/>
          <w:b/>
          <w:bCs/>
          <w:sz w:val="26"/>
          <w:szCs w:val="26"/>
        </w:rPr>
        <w:t> their entire advocacy  </w:t>
      </w:r>
    </w:p>
    <w:p w14:paraId="6A824857" w14:textId="0B6C5109" w:rsidR="007F3094" w:rsidRPr="005935EF" w:rsidRDefault="007F3094" w:rsidP="007F3094">
      <w:pPr>
        <w:spacing w:line="360" w:lineRule="auto"/>
        <w:textAlignment w:val="baseline"/>
        <w:rPr>
          <w:rFonts w:asciiTheme="majorHAnsi" w:hAnsiTheme="majorHAnsi" w:cs="Segoe UI"/>
          <w:b/>
          <w:bCs/>
          <w:sz w:val="18"/>
          <w:szCs w:val="18"/>
        </w:rPr>
      </w:pPr>
      <w:r w:rsidRPr="005935EF">
        <w:rPr>
          <w:rFonts w:asciiTheme="majorHAnsi" w:hAnsiTheme="majorHAnsi" w:cs="Calibri"/>
          <w:b/>
          <w:bCs/>
          <w:sz w:val="26"/>
          <w:szCs w:val="26"/>
        </w:rPr>
        <w:t>b] severance – if they go for drop the argument it’s severance and an independent reason to negate – kicking out of the </w:t>
      </w:r>
      <w:proofErr w:type="spellStart"/>
      <w:r w:rsidRPr="005935EF">
        <w:rPr>
          <w:rFonts w:asciiTheme="majorHAnsi" w:hAnsiTheme="majorHAnsi" w:cs="Calibri"/>
          <w:b/>
          <w:bCs/>
          <w:sz w:val="26"/>
          <w:szCs w:val="26"/>
        </w:rPr>
        <w:t>aff</w:t>
      </w:r>
      <w:proofErr w:type="spellEnd"/>
      <w:r w:rsidRPr="005935EF">
        <w:rPr>
          <w:rFonts w:asciiTheme="majorHAnsi" w:hAnsiTheme="majorHAnsi" w:cs="Calibri"/>
          <w:b/>
          <w:bCs/>
          <w:sz w:val="26"/>
          <w:szCs w:val="26"/>
        </w:rPr>
        <w:t> no-links all neg offense and forces us to restart and finish the debate in the 2nr</w:t>
      </w:r>
    </w:p>
    <w:p w14:paraId="58D9BED3" w14:textId="5AC10D04" w:rsidR="007F3094" w:rsidRDefault="007F3094" w:rsidP="007F3094">
      <w:pPr>
        <w:spacing w:line="360" w:lineRule="auto"/>
      </w:pPr>
    </w:p>
    <w:p w14:paraId="50EA023A" w14:textId="77777777" w:rsidR="0033229B" w:rsidRDefault="0033229B" w:rsidP="0033229B">
      <w:pPr>
        <w:pStyle w:val="Heading2"/>
        <w:spacing w:line="360" w:lineRule="auto"/>
      </w:pPr>
      <w:proofErr w:type="spellStart"/>
      <w:r w:rsidRPr="0F2F71A1">
        <w:rPr>
          <w:rFonts w:eastAsia="Calibri" w:cs="Calibri"/>
          <w:u w:val="single"/>
        </w:rPr>
        <w:t>Ptd</w:t>
      </w:r>
      <w:proofErr w:type="spellEnd"/>
      <w:r w:rsidRPr="0F2F71A1">
        <w:rPr>
          <w:rFonts w:eastAsia="Calibri" w:cs="Calibri"/>
          <w:u w:val="single"/>
        </w:rPr>
        <w:t xml:space="preserve"> t</w:t>
      </w:r>
    </w:p>
    <w:p w14:paraId="3C64409A" w14:textId="77777777" w:rsidR="0033229B" w:rsidRDefault="0033229B" w:rsidP="0033229B">
      <w:pPr>
        <w:pStyle w:val="Heading4"/>
        <w:spacing w:line="360" w:lineRule="auto"/>
      </w:pPr>
      <w:r w:rsidRPr="0F2F71A1">
        <w:rPr>
          <w:rFonts w:eastAsia="Calibri" w:cs="Calibri"/>
        </w:rPr>
        <w:t xml:space="preserve">Interpretation: the affirmative must only garner offense from PTD </w:t>
      </w:r>
    </w:p>
    <w:p w14:paraId="6D0F27B6" w14:textId="26EF7E33" w:rsidR="0033229B" w:rsidRDefault="0033229B" w:rsidP="0033229B">
      <w:pPr>
        <w:pStyle w:val="Heading4"/>
        <w:spacing w:line="360" w:lineRule="auto"/>
      </w:pPr>
      <w:r w:rsidRPr="0F2F71A1">
        <w:rPr>
          <w:rFonts w:eastAsia="Calibri" w:cs="Calibri"/>
        </w:rPr>
        <w:t xml:space="preserve">Violation: they garner offense from </w:t>
      </w:r>
      <w:r>
        <w:rPr>
          <w:rFonts w:eastAsia="Calibri" w:cs="Calibri"/>
        </w:rPr>
        <w:t>___</w:t>
      </w:r>
    </w:p>
    <w:p w14:paraId="7973742A" w14:textId="77777777" w:rsidR="0033229B" w:rsidRDefault="0033229B" w:rsidP="0033229B">
      <w:pPr>
        <w:pStyle w:val="Heading4"/>
        <w:spacing w:line="360" w:lineRule="auto"/>
      </w:pPr>
      <w:r w:rsidRPr="0F2F71A1">
        <w:rPr>
          <w:rFonts w:eastAsia="Calibri" w:cs="Calibri"/>
        </w:rPr>
        <w:t xml:space="preserve">PTD is the simplest method + solves the majority of impacts  </w:t>
      </w:r>
    </w:p>
    <w:p w14:paraId="5D3C639F" w14:textId="77777777" w:rsidR="0033229B" w:rsidRDefault="0033229B" w:rsidP="0033229B">
      <w:pPr>
        <w:spacing w:line="360" w:lineRule="auto"/>
      </w:pPr>
      <w:r w:rsidRPr="0F2F71A1">
        <w:rPr>
          <w:rFonts w:eastAsia="Calibri" w:cs="Calibri"/>
          <w:b/>
          <w:bCs/>
          <w:sz w:val="24"/>
          <w:u w:val="single"/>
        </w:rPr>
        <w:t>Babcock 2019</w:t>
      </w:r>
      <w:r w:rsidRPr="0F2F71A1">
        <w:rPr>
          <w:rFonts w:eastAsia="Calibri" w:cs="Calibri"/>
          <w:sz w:val="24"/>
        </w:rPr>
        <w:t xml:space="preserve"> </w:t>
      </w:r>
      <w:r w:rsidRPr="0F2F71A1">
        <w:rPr>
          <w:rFonts w:eastAsia="Calibri" w:cs="Calibri"/>
          <w:sz w:val="16"/>
          <w:szCs w:val="16"/>
        </w:rPr>
        <w:t xml:space="preserve">(Hope M. Babcock, “The Public Trust Doctrine, Outer Space, and the Global Commons: Time to Call Home ET,” Syracuse Law Review, Vol. 69, No. 2, 2019, </w:t>
      </w:r>
      <w:hyperlink r:id="rId6">
        <w:r w:rsidRPr="0F2F71A1">
          <w:rPr>
            <w:rStyle w:val="Hyperlink"/>
            <w:rFonts w:eastAsia="Calibri" w:cs="Calibri"/>
            <w:sz w:val="16"/>
            <w:szCs w:val="16"/>
          </w:rPr>
          <w:t>https://scholarship.law.georgetown.edu/cgi/viewcontent.cgi?article=3219&amp;context=facpub</w:t>
        </w:r>
      </w:hyperlink>
      <w:r w:rsidRPr="0F2F71A1">
        <w:rPr>
          <w:rFonts w:eastAsia="Calibri" w:cs="Calibri"/>
          <w:sz w:val="16"/>
          <w:szCs w:val="16"/>
        </w:rPr>
        <w:t>) //</w:t>
      </w:r>
      <w:proofErr w:type="spellStart"/>
      <w:r w:rsidRPr="0F2F71A1">
        <w:rPr>
          <w:rFonts w:eastAsia="Calibri" w:cs="Calibri"/>
          <w:sz w:val="16"/>
          <w:szCs w:val="16"/>
        </w:rPr>
        <w:t>neth</w:t>
      </w:r>
      <w:proofErr w:type="spellEnd"/>
      <w:r w:rsidRPr="0F2F71A1">
        <w:rPr>
          <w:rFonts w:eastAsia="Calibri" w:cs="Calibri"/>
          <w:sz w:val="16"/>
          <w:szCs w:val="16"/>
        </w:rPr>
        <w:t xml:space="preserve">  </w:t>
      </w:r>
    </w:p>
    <w:p w14:paraId="70C6A80B" w14:textId="77777777" w:rsidR="0033229B" w:rsidRDefault="0033229B" w:rsidP="0033229B">
      <w:pPr>
        <w:spacing w:line="360" w:lineRule="auto"/>
      </w:pPr>
      <w:r w:rsidRPr="0F2F71A1">
        <w:rPr>
          <w:rFonts w:eastAsia="Calibri" w:cs="Calibri"/>
          <w:sz w:val="14"/>
          <w:szCs w:val="14"/>
        </w:rPr>
        <w:t xml:space="preserve">The doctrine also appears to be infinitely malleable.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Over time, the scope and application of the doctrine broadened to protect more public resources and different uses.522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w:t>
      </w:r>
      <w:r w:rsidRPr="0F2F71A1">
        <w:rPr>
          <w:rFonts w:eastAsia="Calibri" w:cs="Calibri"/>
          <w:szCs w:val="22"/>
          <w:u w:val="single"/>
        </w:rPr>
        <w:t xml:space="preserve">A </w:t>
      </w:r>
      <w:r w:rsidRPr="0F2F71A1">
        <w:rPr>
          <w:rFonts w:eastAsia="Calibri" w:cs="Calibri"/>
          <w:szCs w:val="22"/>
          <w:highlight w:val="yellow"/>
          <w:u w:val="single"/>
        </w:rPr>
        <w:t xml:space="preserve">doctrine that imposes a </w:t>
      </w:r>
      <w:r w:rsidRPr="0F2F71A1">
        <w:rPr>
          <w:rFonts w:eastAsia="Calibri" w:cs="Calibri"/>
          <w:szCs w:val="22"/>
          <w:u w:val="single"/>
        </w:rPr>
        <w:t>perpetual</w:t>
      </w:r>
      <w:r w:rsidRPr="0F2F71A1">
        <w:rPr>
          <w:rFonts w:eastAsia="Calibri" w:cs="Calibri"/>
          <w:szCs w:val="22"/>
          <w:highlight w:val="yellow"/>
          <w:u w:val="single"/>
        </w:rPr>
        <w:t xml:space="preserve"> duty </w:t>
      </w:r>
      <w:r w:rsidRPr="0F2F71A1">
        <w:rPr>
          <w:rFonts w:eastAsia="Calibri" w:cs="Calibri"/>
          <w:szCs w:val="22"/>
          <w:u w:val="single"/>
        </w:rPr>
        <w:t>on the sovereign</w:t>
      </w:r>
      <w:r w:rsidRPr="0F2F71A1">
        <w:rPr>
          <w:rFonts w:eastAsia="Calibri" w:cs="Calibri"/>
          <w:szCs w:val="22"/>
          <w:highlight w:val="yellow"/>
          <w:u w:val="single"/>
        </w:rPr>
        <w:t xml:space="preserve"> to preserve trust resources</w:t>
      </w:r>
      <w:r w:rsidRPr="0F2F71A1">
        <w:rPr>
          <w:rFonts w:eastAsia="Calibri" w:cs="Calibri"/>
          <w:szCs w:val="22"/>
          <w:u w:val="single"/>
        </w:rPr>
        <w:t xml:space="preserve">, prevents their alienation for private benefit, </w:t>
      </w:r>
      <w:r w:rsidRPr="0F2F71A1">
        <w:rPr>
          <w:rFonts w:eastAsia="Calibri" w:cs="Calibri"/>
          <w:szCs w:val="22"/>
          <w:highlight w:val="yellow"/>
          <w:u w:val="single"/>
        </w:rPr>
        <w:t>assures public access to them</w:t>
      </w:r>
      <w:r w:rsidRPr="0033229B">
        <w:rPr>
          <w:rFonts w:eastAsia="Calibri" w:cs="Calibri"/>
          <w:szCs w:val="22"/>
          <w:u w:val="single"/>
        </w:rPr>
        <w:t>, and can be invoked by anyone seems particularly useful as a management tool in outer space</w:t>
      </w:r>
      <w:r w:rsidRPr="0033229B">
        <w:rPr>
          <w:rFonts w:eastAsia="Calibri" w:cs="Calibri"/>
          <w:sz w:val="14"/>
          <w:szCs w:val="14"/>
        </w:rPr>
        <w:t>.528 The</w:t>
      </w:r>
      <w:r w:rsidRPr="0F2F71A1">
        <w:rPr>
          <w:rFonts w:eastAsia="Calibri" w:cs="Calibri"/>
          <w:sz w:val="14"/>
          <w:szCs w:val="14"/>
        </w:rPr>
        <w:t xml:space="preserve"> fact that public access to trust resources is so central to the doctrine makes it reflective, not contradictory, of international space law’s bar against appropriation of outer space and of the principle of space being the “province of all mankind.”529 </w:t>
      </w:r>
      <w:r w:rsidRPr="0F2F71A1">
        <w:rPr>
          <w:rFonts w:eastAsia="Calibri" w:cs="Calibri"/>
          <w:szCs w:val="22"/>
          <w:highlight w:val="yellow"/>
          <w:u w:val="single"/>
        </w:rPr>
        <w:t>It avoids the problems of alienation and exclusion associated with</w:t>
      </w:r>
      <w:r w:rsidRPr="0F2F71A1">
        <w:rPr>
          <w:rFonts w:eastAsia="Calibri" w:cs="Calibri"/>
          <w:szCs w:val="22"/>
          <w:u w:val="single"/>
        </w:rPr>
        <w:t xml:space="preserve"> any of the management approaches associated with </w:t>
      </w:r>
      <w:r w:rsidRPr="0F2F71A1">
        <w:rPr>
          <w:rFonts w:eastAsia="Calibri" w:cs="Calibri"/>
          <w:szCs w:val="22"/>
          <w:highlight w:val="yellow"/>
          <w:u w:val="single"/>
        </w:rPr>
        <w:t>some form of private property</w:t>
      </w:r>
      <w:r w:rsidRPr="0F2F71A1">
        <w:rPr>
          <w:rFonts w:eastAsia="Calibri" w:cs="Calibri"/>
          <w:szCs w:val="22"/>
          <w:u w:val="single"/>
        </w:rPr>
        <w:t xml:space="preserve"> </w:t>
      </w:r>
      <w:r w:rsidRPr="0F2F71A1">
        <w:rPr>
          <w:rFonts w:eastAsia="Calibri" w:cs="Calibri"/>
          <w:szCs w:val="22"/>
          <w:highlight w:val="yellow"/>
          <w:u w:val="single"/>
        </w:rPr>
        <w:t>and requires neither the creation of a new administrative authority nor the presence of a close-knit group of like-minded people.</w:t>
      </w:r>
      <w:r w:rsidRPr="0F2F71A1">
        <w:rPr>
          <w:rFonts w:eastAsia="Calibri" w:cs="Calibri"/>
          <w:sz w:val="14"/>
          <w:szCs w:val="14"/>
        </w:rPr>
        <w:t xml:space="preserve">530 Members of the public, both rich and poor, can invoke and enforce the doctrine as easily as the sovereign.531 It is cost effective to the extent that no separate apparatus is required to implement it, and the doctrine has shown itself to be highly adaptable and innovative as different needs arise.532 </w:t>
      </w:r>
      <w:r w:rsidRPr="0F2F71A1">
        <w:rPr>
          <w:rFonts w:eastAsia="Calibri" w:cs="Calibri"/>
          <w:szCs w:val="22"/>
          <w:highlight w:val="yellow"/>
          <w:u w:val="single"/>
        </w:rPr>
        <w:t>It could also fill the gap in international law with respect to managing celestial property</w:t>
      </w:r>
      <w:r w:rsidRPr="0F2F71A1">
        <w:rPr>
          <w:rFonts w:eastAsia="Calibri" w:cs="Calibri"/>
          <w:sz w:val="14"/>
          <w:szCs w:val="14"/>
        </w:rPr>
        <w:t xml:space="preserve">. Therefore, of all the management approaches studied here, the PTD seems the most suited to keep order in space until a regulatory regime is imposed. 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CONCLUSION “Only a legal system that accommodates both the human need for resources and the necessary preservation of mankind’s common heritage can fulfill these criteria.”534 The future is now </w:t>
      </w:r>
      <w:proofErr w:type="gramStart"/>
      <w:r w:rsidRPr="0F2F71A1">
        <w:rPr>
          <w:rFonts w:eastAsia="Calibri" w:cs="Calibri"/>
          <w:sz w:val="14"/>
          <w:szCs w:val="14"/>
        </w:rPr>
        <w:t>with regard to</w:t>
      </w:r>
      <w:proofErr w:type="gramEnd"/>
      <w:r w:rsidRPr="0F2F71A1">
        <w:rPr>
          <w:rFonts w:eastAsia="Calibri" w:cs="Calibri"/>
          <w:sz w:val="14"/>
          <w:szCs w:val="14"/>
        </w:rPr>
        <w:t xml:space="preserve"> the development of outer space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w:t>
      </w:r>
      <w:r w:rsidRPr="0F2F71A1">
        <w:rPr>
          <w:rFonts w:eastAsia="Calibri" w:cs="Calibri"/>
          <w:szCs w:val="22"/>
          <w:u w:val="single"/>
        </w:rPr>
        <w:t xml:space="preserve">If it changes, </w:t>
      </w:r>
      <w:r w:rsidRPr="0F2F71A1">
        <w:rPr>
          <w:rFonts w:eastAsia="Calibri" w:cs="Calibri"/>
          <w:szCs w:val="22"/>
          <w:highlight w:val="yellow"/>
          <w:u w:val="single"/>
        </w:rPr>
        <w:t>strong management controls will be necessary to prevent destruction or over-consumption of celestial resources</w:t>
      </w:r>
      <w:r w:rsidRPr="0F2F71A1">
        <w:rPr>
          <w:rFonts w:eastAsia="Calibri" w:cs="Calibri"/>
          <w:szCs w:val="22"/>
          <w:u w:val="single"/>
        </w:rPr>
        <w:t>, as well as monopolization and competitive behavior by participants, which could lead to hostilities and inequities</w:t>
      </w:r>
      <w:r w:rsidRPr="0F2F71A1">
        <w:rPr>
          <w:rFonts w:eastAsia="Calibri" w:cs="Calibri"/>
          <w:sz w:val="14"/>
          <w:szCs w:val="14"/>
        </w:rPr>
        <w:t xml:space="preserve">.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F2F71A1">
        <w:rPr>
          <w:rFonts w:eastAsia="Calibri" w:cs="Calibri"/>
          <w:sz w:val="14"/>
          <w:szCs w:val="14"/>
        </w:rPr>
        <w:t>exclude</w:t>
      </w:r>
      <w:proofErr w:type="gramEnd"/>
      <w:r w:rsidRPr="0F2F71A1">
        <w:rPr>
          <w:rFonts w:eastAsia="Calibri" w:cs="Calibri"/>
          <w:sz w:val="14"/>
          <w:szCs w:val="14"/>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F2F71A1">
        <w:rPr>
          <w:rFonts w:eastAsia="Calibri" w:cs="Calibri"/>
          <w:sz w:val="14"/>
          <w:szCs w:val="14"/>
        </w:rPr>
        <w:t>monopolization</w:t>
      </w:r>
      <w:proofErr w:type="gramEnd"/>
      <w:r w:rsidRPr="0F2F71A1">
        <w:rPr>
          <w:rFonts w:eastAsia="Calibri" w:cs="Calibri"/>
          <w:sz w:val="14"/>
          <w:szCs w:val="14"/>
        </w:rPr>
        <w:t xml:space="preserve"> or the slide into rivalrous behavior. The Article concludes that each comes up short in some respect. 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the PTD to allow the application of private property management tools, like tradable development rights, will not only allow development, but also will assure that when it happens, it will not be just profitable for a few, but will also be sustainable and equitable. </w:t>
      </w:r>
    </w:p>
    <w:p w14:paraId="719932A3" w14:textId="77777777" w:rsidR="0033229B" w:rsidRDefault="0033229B" w:rsidP="0033229B">
      <w:pPr>
        <w:pStyle w:val="Heading4"/>
        <w:spacing w:line="360" w:lineRule="auto"/>
        <w:rPr>
          <w:rFonts w:eastAsia="Calibri" w:cs="Calibri"/>
          <w:b w:val="0"/>
          <w:bCs w:val="0"/>
        </w:rPr>
      </w:pPr>
      <w:r w:rsidRPr="0F2F71A1">
        <w:rPr>
          <w:rFonts w:eastAsia="Calibri" w:cs="Calibri"/>
        </w:rPr>
        <w:t xml:space="preserve">Standards  </w:t>
      </w:r>
    </w:p>
    <w:p w14:paraId="354B2BF0" w14:textId="5B8AA999" w:rsidR="0033229B" w:rsidRDefault="0033229B" w:rsidP="0033229B">
      <w:pPr>
        <w:pStyle w:val="Heading4"/>
        <w:spacing w:line="360" w:lineRule="auto"/>
      </w:pPr>
      <w:r w:rsidRPr="0F2F71A1">
        <w:rPr>
          <w:rFonts w:eastAsia="Calibri" w:cs="Calibri"/>
          <w:b w:val="0"/>
          <w:bCs w:val="0"/>
        </w:rPr>
        <w:t xml:space="preserve"> </w:t>
      </w:r>
      <w:r w:rsidRPr="0F2F71A1">
        <w:rPr>
          <w:rFonts w:eastAsia="Calibri" w:cs="Calibri"/>
        </w:rPr>
        <w:t>predictability</w:t>
      </w:r>
      <w:r w:rsidRPr="0F2F71A1">
        <w:rPr>
          <w:rFonts w:eastAsia="Calibri" w:cs="Calibri"/>
          <w:b w:val="0"/>
          <w:bCs w:val="0"/>
        </w:rPr>
        <w:t xml:space="preserve"> – PTD was a core </w:t>
      </w:r>
      <w:proofErr w:type="spellStart"/>
      <w:r w:rsidRPr="0F2F71A1">
        <w:rPr>
          <w:rFonts w:eastAsia="Calibri" w:cs="Calibri"/>
          <w:b w:val="0"/>
          <w:bCs w:val="0"/>
        </w:rPr>
        <w:t>aff</w:t>
      </w:r>
      <w:proofErr w:type="spellEnd"/>
      <w:r w:rsidRPr="0F2F71A1">
        <w:rPr>
          <w:rFonts w:eastAsia="Calibri" w:cs="Calibri"/>
          <w:b w:val="0"/>
          <w:bCs w:val="0"/>
        </w:rPr>
        <w:t xml:space="preserve"> when college policy debated a similar topic – proves that it’s at the core of the topic AND it’s what most debaters will prep against – teams use past instances of similar topics as a starting point for prep. And our model is better for small schools </w:t>
      </w:r>
      <w:proofErr w:type="spellStart"/>
      <w:r w:rsidRPr="0F2F71A1">
        <w:rPr>
          <w:rFonts w:eastAsia="Calibri" w:cs="Calibri"/>
          <w:b w:val="0"/>
          <w:bCs w:val="0"/>
        </w:rPr>
        <w:t>bc</w:t>
      </w:r>
      <w:proofErr w:type="spellEnd"/>
      <w:r w:rsidRPr="0F2F71A1">
        <w:rPr>
          <w:rFonts w:eastAsia="Calibri" w:cs="Calibri"/>
          <w:b w:val="0"/>
          <w:bCs w:val="0"/>
        </w:rPr>
        <w:t xml:space="preserve"> it means there’s already answers to the </w:t>
      </w:r>
      <w:proofErr w:type="spellStart"/>
      <w:r w:rsidRPr="0F2F71A1">
        <w:rPr>
          <w:rFonts w:eastAsia="Calibri" w:cs="Calibri"/>
          <w:b w:val="0"/>
          <w:bCs w:val="0"/>
        </w:rPr>
        <w:t>aff</w:t>
      </w:r>
      <w:proofErr w:type="spellEnd"/>
      <w:r w:rsidRPr="0F2F71A1">
        <w:rPr>
          <w:rFonts w:eastAsia="Calibri" w:cs="Calibri"/>
          <w:b w:val="0"/>
          <w:bCs w:val="0"/>
        </w:rPr>
        <w:t xml:space="preserve"> disclosed on the college policy wiki  </w:t>
      </w:r>
    </w:p>
    <w:p w14:paraId="05CE06DA" w14:textId="0FEC2AFD" w:rsidR="0033229B" w:rsidRDefault="0033229B" w:rsidP="0033229B">
      <w:pPr>
        <w:pStyle w:val="Heading4"/>
        <w:spacing w:line="360" w:lineRule="auto"/>
      </w:pPr>
      <w:r>
        <w:rPr>
          <w:rFonts w:eastAsia="Calibri" w:cs="Calibri"/>
        </w:rPr>
        <w:t>Ca paradigm issues</w:t>
      </w:r>
    </w:p>
    <w:p w14:paraId="3B1D3788" w14:textId="77777777" w:rsidR="0033229B" w:rsidRPr="0058132B" w:rsidRDefault="0033229B" w:rsidP="007F3094">
      <w:pPr>
        <w:spacing w:line="360" w:lineRule="auto"/>
      </w:pPr>
    </w:p>
    <w:p w14:paraId="1041A5EF" w14:textId="3C15C82B" w:rsidR="00A92214" w:rsidRDefault="00A92214" w:rsidP="00A92214">
      <w:pPr>
        <w:pStyle w:val="Heading2"/>
      </w:pPr>
      <w:proofErr w:type="spellStart"/>
      <w:r>
        <w:t>disad</w:t>
      </w:r>
      <w:proofErr w:type="spellEnd"/>
    </w:p>
    <w:p w14:paraId="41878D94" w14:textId="77777777" w:rsidR="00A92214" w:rsidRDefault="00A92214" w:rsidP="00A92214">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084F32BF" w14:textId="77777777" w:rsidR="00A92214" w:rsidRPr="00F82E63" w:rsidRDefault="00A92214" w:rsidP="00A92214">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7" w:history="1">
        <w:r w:rsidRPr="008E3DAC">
          <w:rPr>
            <w:rStyle w:val="Hyperlink"/>
          </w:rPr>
          <w:t>https://www.thehindu.com/news/international/xi-tightened-control-over-the-pla/article37549460.ece</w:t>
        </w:r>
      </w:hyperlink>
      <w:r>
        <w:t>] Justin</w:t>
      </w:r>
    </w:p>
    <w:p w14:paraId="615A83E7" w14:textId="77777777" w:rsidR="00A92214" w:rsidRPr="00F82E63" w:rsidRDefault="00A92214" w:rsidP="00A92214">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68832FCC" w14:textId="77777777" w:rsidR="00A92214" w:rsidRPr="00F82E63" w:rsidRDefault="00A92214" w:rsidP="00A92214">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0BCDA11F" w14:textId="77777777" w:rsidR="00A92214" w:rsidRPr="00F82E63" w:rsidRDefault="00A92214" w:rsidP="00A92214">
      <w:pPr>
        <w:rPr>
          <w:sz w:val="6"/>
          <w:szCs w:val="6"/>
        </w:rPr>
      </w:pPr>
      <w:r w:rsidRPr="00F82E63">
        <w:rPr>
          <w:sz w:val="6"/>
          <w:szCs w:val="6"/>
        </w:rPr>
        <w:t>No specifics</w:t>
      </w:r>
    </w:p>
    <w:p w14:paraId="6AAAC6F9" w14:textId="77777777" w:rsidR="00A92214" w:rsidRPr="00F82E63" w:rsidRDefault="00A92214" w:rsidP="00A92214">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34A03ECF" w14:textId="77777777" w:rsidR="00A92214" w:rsidRPr="00F82E63" w:rsidRDefault="00A92214" w:rsidP="00A92214">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02966AD0" w14:textId="77777777" w:rsidR="00A92214" w:rsidRPr="00F82E63" w:rsidRDefault="00A92214" w:rsidP="00A92214">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5F8C5858" w14:textId="77777777" w:rsidR="00A92214" w:rsidRPr="00F82E63" w:rsidRDefault="00A92214" w:rsidP="00A92214">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26261D50" w14:textId="77777777" w:rsidR="00A92214" w:rsidRPr="00F82E63" w:rsidRDefault="00A92214" w:rsidP="00A92214">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1F3F3B6A" w14:textId="77777777" w:rsidR="00A92214" w:rsidRPr="00F82E63" w:rsidRDefault="00A92214" w:rsidP="00A92214">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57D71192" w14:textId="77777777" w:rsidR="00A92214" w:rsidRPr="00F82E63" w:rsidRDefault="00A92214" w:rsidP="00A92214">
      <w:pPr>
        <w:rPr>
          <w:sz w:val="6"/>
          <w:szCs w:val="6"/>
        </w:rPr>
      </w:pPr>
      <w:r w:rsidRPr="00F82E63">
        <w:rPr>
          <w:sz w:val="6"/>
          <w:szCs w:val="6"/>
        </w:rPr>
        <w:t>Criticism of predecessors</w:t>
      </w:r>
    </w:p>
    <w:p w14:paraId="70C9F37D" w14:textId="77777777" w:rsidR="00A92214" w:rsidRPr="00F82E63" w:rsidRDefault="00A92214" w:rsidP="00A92214">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0E8F005E" w14:textId="77777777" w:rsidR="00A92214" w:rsidRPr="00F82E63" w:rsidRDefault="00A92214" w:rsidP="00A92214">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1F0DD6AA" w14:textId="77777777" w:rsidR="00A92214" w:rsidRPr="00DB568A" w:rsidRDefault="00A92214" w:rsidP="00A92214">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70F0FA4B" w14:textId="77777777" w:rsidR="00A92214" w:rsidRPr="00F82E63" w:rsidRDefault="00A92214" w:rsidP="00A92214">
      <w:pPr>
        <w:rPr>
          <w:sz w:val="16"/>
        </w:rPr>
      </w:pPr>
      <w:r w:rsidRPr="00F82E63">
        <w:rPr>
          <w:sz w:val="16"/>
        </w:rPr>
        <w:t>‘Working vigorously’</w:t>
      </w:r>
    </w:p>
    <w:p w14:paraId="67BEF479" w14:textId="77777777" w:rsidR="00A92214" w:rsidRPr="00F82E63" w:rsidRDefault="00A92214" w:rsidP="00A92214">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23B5AF15" w14:textId="77777777" w:rsidR="00A92214" w:rsidRPr="00DA193B" w:rsidRDefault="00A92214" w:rsidP="00A92214"/>
    <w:p w14:paraId="0C0A8C67" w14:textId="77777777" w:rsidR="00A92214" w:rsidRDefault="00A92214" w:rsidP="00A92214">
      <w:pPr>
        <w:pStyle w:val="Heading4"/>
      </w:pPr>
      <w:r>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 xml:space="preserve"> and circumvents.</w:t>
      </w:r>
    </w:p>
    <w:p w14:paraId="0BB901BF" w14:textId="77777777" w:rsidR="00A92214" w:rsidRPr="00DC1444" w:rsidRDefault="00A92214" w:rsidP="00A92214">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8" w:history="1">
        <w:r w:rsidRPr="008E3DAC">
          <w:rPr>
            <w:rStyle w:val="Hyperlink"/>
          </w:rPr>
          <w:t>https://www.uscc.gov/sites/default/files/transcripts/April%2025%2C%202019%20Hearing%20Transcript%20%282%29.pdf</w:t>
        </w:r>
      </w:hyperlink>
      <w:r>
        <w:t>] Justin</w:t>
      </w:r>
    </w:p>
    <w:p w14:paraId="5384A3F3" w14:textId="77777777" w:rsidR="00A92214" w:rsidRPr="00DC1444" w:rsidRDefault="00A92214" w:rsidP="00A92214">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22927786" w14:textId="77777777" w:rsidR="00A92214" w:rsidRPr="00DC1444" w:rsidRDefault="00A92214" w:rsidP="00A92214">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680005C7" w14:textId="77777777" w:rsidR="00A92214" w:rsidRDefault="00A92214" w:rsidP="00A92214">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63EA82AD" w14:textId="77777777" w:rsidR="00A92214" w:rsidRDefault="00A92214" w:rsidP="00A92214">
      <w:pPr>
        <w:rPr>
          <w:sz w:val="16"/>
        </w:rPr>
      </w:pPr>
    </w:p>
    <w:p w14:paraId="36A40974" w14:textId="77777777" w:rsidR="00A92214" w:rsidRDefault="00A92214" w:rsidP="00A92214">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4E0B827A" w14:textId="77777777" w:rsidR="00A92214" w:rsidRPr="00DB1082" w:rsidRDefault="00A92214" w:rsidP="00A92214">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2A996C45" w14:textId="77777777" w:rsidR="00A92214" w:rsidRPr="00F82E63" w:rsidRDefault="00A92214" w:rsidP="00A92214">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5ADB66C3" w14:textId="77777777" w:rsidR="00A92214" w:rsidRDefault="00A92214" w:rsidP="00A92214">
      <w:pPr>
        <w:rPr>
          <w:sz w:val="16"/>
        </w:rPr>
      </w:pPr>
    </w:p>
    <w:p w14:paraId="2E021C8F" w14:textId="77777777" w:rsidR="00A92214" w:rsidRPr="00E07E9B" w:rsidRDefault="00A92214" w:rsidP="00A92214">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220E6BFF" w14:textId="77777777" w:rsidR="00A92214" w:rsidRPr="00E07E9B" w:rsidRDefault="00A92214" w:rsidP="00A92214">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1E51EB82" w14:textId="77777777" w:rsidR="00A92214" w:rsidRPr="00DE2EF7" w:rsidRDefault="00A92214" w:rsidP="00A92214">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47C493D9" w14:textId="77777777" w:rsidR="00A92214" w:rsidRDefault="00A92214" w:rsidP="00A92214">
      <w:pPr>
        <w:rPr>
          <w:sz w:val="16"/>
        </w:rPr>
      </w:pPr>
    </w:p>
    <w:p w14:paraId="5B68B975" w14:textId="77777777" w:rsidR="00A92214" w:rsidRPr="007A531D" w:rsidRDefault="00A92214" w:rsidP="00A92214">
      <w:pPr>
        <w:pStyle w:val="Heading4"/>
      </w:pPr>
      <w:r>
        <w:t>Extinction.</w:t>
      </w:r>
    </w:p>
    <w:p w14:paraId="5B9F9E3C" w14:textId="77777777" w:rsidR="00A92214" w:rsidRPr="007A531D" w:rsidRDefault="00A92214" w:rsidP="00A92214">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158650BF" w14:textId="77777777" w:rsidR="00A92214" w:rsidRPr="00DE2EF7" w:rsidRDefault="00A92214" w:rsidP="00A92214">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5CD466E8" w14:textId="77777777" w:rsidR="00A92214" w:rsidRPr="00352C7A" w:rsidRDefault="00A92214" w:rsidP="00A92214"/>
    <w:p w14:paraId="28A69237" w14:textId="27F7E263" w:rsidR="00835E7E" w:rsidRPr="005935EF" w:rsidRDefault="00835E7E" w:rsidP="00835E7E">
      <w:pPr>
        <w:pStyle w:val="Heading2"/>
        <w:spacing w:line="480" w:lineRule="auto"/>
        <w:rPr>
          <w:rFonts w:asciiTheme="majorHAnsi" w:hAnsiTheme="majorHAnsi"/>
        </w:rPr>
      </w:pPr>
      <w:r w:rsidRPr="005935EF">
        <w:rPr>
          <w:rFonts w:asciiTheme="majorHAnsi" w:eastAsia="Calibri" w:hAnsiTheme="majorHAnsi" w:cs="Calibri"/>
          <w:u w:val="single"/>
        </w:rPr>
        <w:t>collaboration cp</w:t>
      </w:r>
    </w:p>
    <w:p w14:paraId="19442186" w14:textId="77777777" w:rsidR="00835E7E" w:rsidRPr="005935EF" w:rsidRDefault="00835E7E" w:rsidP="00835E7E">
      <w:pPr>
        <w:pStyle w:val="Heading4"/>
        <w:spacing w:line="480" w:lineRule="auto"/>
        <w:rPr>
          <w:rFonts w:asciiTheme="majorHAnsi" w:hAnsiTheme="majorHAnsi"/>
          <w:sz w:val="18"/>
          <w:szCs w:val="18"/>
        </w:rPr>
      </w:pPr>
      <w:r w:rsidRPr="005935EF">
        <w:rPr>
          <w:rFonts w:asciiTheme="majorHAnsi" w:hAnsiTheme="majorHAnsi"/>
        </w:rPr>
        <w:t>CP text: we advocate for public-private partnerships in space in line with the ISS model or a sponsored program model  </w:t>
      </w:r>
    </w:p>
    <w:p w14:paraId="65C6C77A" w14:textId="77777777" w:rsidR="00835E7E" w:rsidRPr="005935EF" w:rsidRDefault="00835E7E" w:rsidP="00835E7E">
      <w:pPr>
        <w:spacing w:line="480" w:lineRule="auto"/>
        <w:textAlignment w:val="baseline"/>
        <w:rPr>
          <w:rFonts w:asciiTheme="majorHAnsi" w:hAnsiTheme="majorHAnsi" w:cs="Segoe UI"/>
          <w:sz w:val="18"/>
          <w:szCs w:val="18"/>
        </w:rPr>
      </w:pPr>
      <w:r w:rsidRPr="005935EF">
        <w:rPr>
          <w:rFonts w:asciiTheme="majorHAnsi" w:hAnsiTheme="majorHAnsi" w:cs="Segoe UI"/>
          <w:b/>
          <w:bCs/>
        </w:rPr>
        <w:t>ISS National Lab</w:t>
      </w:r>
      <w:r w:rsidRPr="005935EF">
        <w:rPr>
          <w:rFonts w:asciiTheme="majorHAnsi" w:hAnsiTheme="majorHAnsi" w:cs="Segoe UI"/>
        </w:rPr>
        <w:t> </w:t>
      </w:r>
      <w:r w:rsidRPr="005935EF">
        <w:rPr>
          <w:rFonts w:asciiTheme="majorHAnsi" w:hAnsiTheme="majorHAnsi" w:cs="Segoe UI"/>
          <w:szCs w:val="22"/>
        </w:rPr>
        <w:t>[International Space Station National Laboratory – Center for the Advancement of Science in Space, “Research on the ISS, No Date, </w:t>
      </w:r>
      <w:hyperlink r:id="rId9" w:tgtFrame="_blank" w:history="1">
        <w:r w:rsidRPr="005935EF">
          <w:rPr>
            <w:rFonts w:asciiTheme="majorHAnsi" w:hAnsiTheme="majorHAnsi" w:cs="Segoe UI"/>
            <w:szCs w:val="22"/>
          </w:rPr>
          <w:t>https://www.issnationallab.org/research-on-the-iss/public-private-partnerships-in-space/</w:t>
        </w:r>
      </w:hyperlink>
      <w:r w:rsidRPr="005935EF">
        <w:rPr>
          <w:rFonts w:asciiTheme="majorHAnsi" w:hAnsiTheme="majorHAnsi" w:cs="Segoe UI"/>
          <w:szCs w:val="22"/>
        </w:rPr>
        <w:t>] //</w:t>
      </w:r>
      <w:proofErr w:type="spellStart"/>
      <w:r w:rsidRPr="005935EF">
        <w:rPr>
          <w:rFonts w:asciiTheme="majorHAnsi" w:hAnsiTheme="majorHAnsi" w:cs="Segoe UI"/>
          <w:szCs w:val="22"/>
        </w:rPr>
        <w:t>neth</w:t>
      </w:r>
      <w:proofErr w:type="spellEnd"/>
      <w:r w:rsidRPr="005935EF">
        <w:rPr>
          <w:rFonts w:asciiTheme="majorHAnsi" w:hAnsiTheme="majorHAnsi" w:cs="Segoe UI"/>
          <w:szCs w:val="22"/>
        </w:rPr>
        <w:t>  </w:t>
      </w:r>
    </w:p>
    <w:p w14:paraId="15DF7D32" w14:textId="77777777" w:rsidR="00835E7E" w:rsidRPr="005935EF" w:rsidRDefault="00835E7E" w:rsidP="00835E7E">
      <w:pPr>
        <w:spacing w:line="480" w:lineRule="auto"/>
        <w:textAlignment w:val="baseline"/>
        <w:rPr>
          <w:rFonts w:asciiTheme="majorHAnsi" w:hAnsiTheme="majorHAnsi" w:cs="Segoe UI"/>
          <w:sz w:val="16"/>
          <w:szCs w:val="16"/>
        </w:rPr>
      </w:pPr>
      <w:r w:rsidRPr="005935EF">
        <w:rPr>
          <w:rFonts w:asciiTheme="majorHAnsi" w:hAnsiTheme="majorHAnsi" w:cs="Segoe UI"/>
          <w:szCs w:val="22"/>
          <w:u w:val="single"/>
          <w:shd w:val="clear" w:color="auto" w:fill="00FF00"/>
        </w:rPr>
        <w:t>Public-private partnerships are a key component to driving innovation and national leadership</w:t>
      </w:r>
      <w:r w:rsidRPr="005935EF">
        <w:rPr>
          <w:rFonts w:asciiTheme="majorHAnsi" w:hAnsiTheme="majorHAnsi" w:cs="Segoe UI"/>
          <w:sz w:val="16"/>
          <w:szCs w:val="16"/>
        </w:rPr>
        <w:t>. With the potential to address a wide array of modern challenges from technology development to infrastructure modernization, and from education to the economic development of space, public-private partnerships unlock new possibilities unavailable when we rely solely on public or private investment. </w:t>
      </w:r>
      <w:r w:rsidRPr="005935EF">
        <w:rPr>
          <w:rFonts w:asciiTheme="majorHAnsi" w:hAnsiTheme="majorHAnsi" w:cs="Segoe UI"/>
          <w:szCs w:val="22"/>
          <w:u w:val="single"/>
          <w:shd w:val="clear" w:color="auto" w:fill="00FF00"/>
        </w:rPr>
        <w:t>The International Space Station (ISS) National laboratory is a great example of a public-private partnership model that is working in space</w:t>
      </w:r>
      <w:r w:rsidRPr="005935EF">
        <w:rPr>
          <w:rFonts w:asciiTheme="majorHAnsi" w:hAnsiTheme="majorHAnsi" w:cs="Segoe UI"/>
          <w:sz w:val="16"/>
          <w:szCs w:val="16"/>
        </w:rPr>
        <w:t>. The ISS National Lab </w:t>
      </w:r>
      <w:proofErr w:type="gramStart"/>
      <w:r w:rsidRPr="005935EF">
        <w:rPr>
          <w:rFonts w:asciiTheme="majorHAnsi" w:hAnsiTheme="majorHAnsi" w:cs="Segoe UI"/>
          <w:sz w:val="16"/>
          <w:szCs w:val="16"/>
        </w:rPr>
        <w:t>opens up</w:t>
      </w:r>
      <w:proofErr w:type="gramEnd"/>
      <w:r w:rsidRPr="005935EF">
        <w:rPr>
          <w:rFonts w:asciiTheme="majorHAnsi" w:hAnsiTheme="majorHAnsi" w:cs="Segoe UI"/>
          <w:sz w:val="16"/>
          <w:szCs w:val="16"/>
        </w:rPr>
        <w:t> the incredible possibilities of the space station research environment to a diverse range of researchers, entrepreneurs, and innovators that could create entirely new markets in space. The ISS National Laboratory – Accelerating Utilization of the ISS </w:t>
      </w:r>
      <w:r w:rsidRPr="005935EF">
        <w:rPr>
          <w:rFonts w:asciiTheme="majorHAnsi" w:hAnsiTheme="majorHAnsi" w:cs="Segoe UI"/>
          <w:szCs w:val="22"/>
          <w:u w:val="single"/>
          <w:shd w:val="clear" w:color="auto" w:fill="00FF00"/>
        </w:rPr>
        <w:t>The ISS offers a unique research and development platform</w:t>
      </w:r>
      <w:r w:rsidRPr="005935EF">
        <w:rPr>
          <w:rFonts w:asciiTheme="majorHAnsi" w:hAnsiTheme="majorHAnsi" w:cs="Segoe UI"/>
          <w:szCs w:val="22"/>
          <w:u w:val="single"/>
        </w:rPr>
        <w:t>, unlike any on Earth, enabling research that benefits both exploration and life on Earth</w:t>
      </w:r>
      <w:r w:rsidRPr="005935EF">
        <w:rPr>
          <w:rFonts w:asciiTheme="majorHAnsi" w:hAnsiTheme="majorHAnsi" w:cs="Segoe UI"/>
          <w:sz w:val="16"/>
          <w:szCs w:val="16"/>
        </w:rPr>
        <w:t>. </w:t>
      </w:r>
      <w:proofErr w:type="gramStart"/>
      <w:r w:rsidRPr="005935EF">
        <w:rPr>
          <w:rFonts w:asciiTheme="majorHAnsi" w:hAnsiTheme="majorHAnsi" w:cs="Segoe UI"/>
          <w:sz w:val="16"/>
          <w:szCs w:val="16"/>
        </w:rPr>
        <w:t>In an effort to</w:t>
      </w:r>
      <w:proofErr w:type="gramEnd"/>
      <w:r w:rsidRPr="005935EF">
        <w:rPr>
          <w:rFonts w:asciiTheme="majorHAnsi" w:hAnsiTheme="majorHAnsi" w:cs="Segoe UI"/>
          <w:sz w:val="16"/>
          <w:szCs w:val="16"/>
        </w:rPr>
        <w:t> expand the research opportunities this unparalleled platform provides to the nation, the ISS United States Orbital Segment, through bipartisan legislation, was designated as a U.S. National Laboratory in 2005, enabling research and development access to a broad range of commercial, academic, and government users. After final assembly of the ISS in 2011, the Center for the Advancement of Science in Space, a (</w:t>
      </w:r>
      <w:proofErr w:type="gramStart"/>
      <w:r w:rsidRPr="005935EF">
        <w:rPr>
          <w:rFonts w:asciiTheme="majorHAnsi" w:hAnsiTheme="majorHAnsi" w:cs="Segoe UI"/>
          <w:sz w:val="16"/>
          <w:szCs w:val="16"/>
        </w:rPr>
        <w:t>501)(</w:t>
      </w:r>
      <w:proofErr w:type="gramEnd"/>
      <w:r w:rsidRPr="005935EF">
        <w:rPr>
          <w:rFonts w:asciiTheme="majorHAnsi" w:hAnsiTheme="majorHAnsi" w:cs="Segoe UI"/>
          <w:sz w:val="16"/>
          <w:szCs w:val="16"/>
        </w:rPr>
        <w:t>c)(3) organization, was selected by NASA to manage the ISS U.S. National Laboratory. </w:t>
      </w:r>
      <w:r w:rsidRPr="005935EF">
        <w:rPr>
          <w:rFonts w:asciiTheme="majorHAnsi" w:hAnsiTheme="majorHAnsi" w:cs="Segoe UI"/>
          <w:szCs w:val="22"/>
          <w:u w:val="single"/>
          <w:shd w:val="clear" w:color="auto" w:fill="00FF00"/>
        </w:rPr>
        <w:t>The ISS National Lab fulfills its mission to accelerate space-based research by engaging a variety of nontraditional space users, operating in the fields of life science, physical science, technology development, and remote sensing</w:t>
      </w:r>
      <w:r w:rsidRPr="005935EF">
        <w:rPr>
          <w:rFonts w:asciiTheme="majorHAnsi" w:hAnsiTheme="majorHAnsi" w:cs="Segoe UI"/>
          <w:sz w:val="16"/>
          <w:szCs w:val="16"/>
        </w:rPr>
        <w:t>. The ISS National Lab engages primarily with organizations that pay toward the value obtained on the ISS, as well as with other organizations addressing national science and research priorities. This research serves commercial and entrepreneurial needs and other important goals such as the pursuit of new knowledge and education. Since 2011, the ISS National Lab has stewarded more than 200 ISS research projects, ranging from developing new drug therapies, to monitoring tropical cyclones, to improving equipment for </w:t>
      </w:r>
      <w:proofErr w:type="gramStart"/>
      <w:r w:rsidRPr="005935EF">
        <w:rPr>
          <w:rFonts w:asciiTheme="majorHAnsi" w:hAnsiTheme="majorHAnsi" w:cs="Segoe UI"/>
          <w:sz w:val="16"/>
          <w:szCs w:val="16"/>
        </w:rPr>
        <w:t>first-responders</w:t>
      </w:r>
      <w:proofErr w:type="gramEnd"/>
      <w:r w:rsidRPr="005935EF">
        <w:rPr>
          <w:rFonts w:asciiTheme="majorHAnsi" w:hAnsiTheme="majorHAnsi" w:cs="Segoe UI"/>
          <w:sz w:val="16"/>
          <w:szCs w:val="16"/>
        </w:rPr>
        <w:t>, to producing unique fiber-optics materials in space. </w:t>
      </w:r>
      <w:r w:rsidRPr="005935EF">
        <w:rPr>
          <w:rFonts w:asciiTheme="majorHAnsi" w:hAnsiTheme="majorHAnsi" w:cs="Segoe UI"/>
          <w:szCs w:val="22"/>
          <w:u w:val="single"/>
          <w:shd w:val="clear" w:color="auto" w:fill="00FF00"/>
        </w:rPr>
        <w:t>Working together with NASA, the ISS National Lab aims to advance the nation’s leadership in commercial space</w:t>
      </w:r>
      <w:r w:rsidRPr="005935EF">
        <w:rPr>
          <w:rFonts w:asciiTheme="majorHAnsi" w:hAnsiTheme="majorHAnsi" w:cs="Segoe UI"/>
          <w:szCs w:val="22"/>
          <w:u w:val="single"/>
        </w:rPr>
        <w:t>, pursue groundbreaking science not possible on Earth, and leverage the space station to inspire the next generation. </w:t>
      </w:r>
      <w:r w:rsidRPr="005935EF">
        <w:rPr>
          <w:rFonts w:asciiTheme="majorHAnsi" w:hAnsiTheme="majorHAnsi" w:cs="Segoe UI"/>
          <w:sz w:val="16"/>
          <w:szCs w:val="16"/>
        </w:rPr>
        <w:t>Prior to the ISS National Lab model, NASA traditionally funded all aspects of ISS research, whether it was research needed to further exploration, or discovery-based space research that expanded upon its scientific agenda. </w:t>
      </w:r>
      <w:r w:rsidRPr="005935EF">
        <w:rPr>
          <w:rFonts w:asciiTheme="majorHAnsi" w:hAnsiTheme="majorHAnsi" w:cs="Segoe UI"/>
          <w:szCs w:val="22"/>
          <w:u w:val="single"/>
          <w:shd w:val="clear" w:color="auto" w:fill="00FF00"/>
        </w:rPr>
        <w:t>As the ISS evolved into a National Laboratory, the ISS National Lab has increased the diversity of users by accelerating utilization of the ISS</w:t>
      </w:r>
      <w:r w:rsidRPr="005935EF">
        <w:rPr>
          <w:rFonts w:asciiTheme="majorHAnsi" w:hAnsiTheme="majorHAnsi" w:cs="Segoe UI"/>
          <w:szCs w:val="22"/>
          <w:u w:val="single"/>
        </w:rPr>
        <w:t> as an innovation platform for a wide variety of partners. </w:t>
      </w:r>
      <w:r w:rsidRPr="005935EF">
        <w:rPr>
          <w:rFonts w:asciiTheme="majorHAnsi" w:hAnsiTheme="majorHAnsi" w:cs="Segoe UI"/>
          <w:szCs w:val="22"/>
          <w:u w:val="single"/>
          <w:shd w:val="clear" w:color="auto" w:fill="00FF00"/>
        </w:rPr>
        <w:t>These include Fortune 500 organizations, small businesses, educational institutions, philanthropic and research foundations</w:t>
      </w:r>
      <w:r w:rsidRPr="005935EF">
        <w:rPr>
          <w:rFonts w:asciiTheme="majorHAnsi" w:hAnsiTheme="majorHAnsi" w:cs="Segoe UI"/>
          <w:szCs w:val="22"/>
          <w:u w:val="single"/>
        </w:rPr>
        <w:t>, federal and state government agencies, and other thought leaders in pursuit of groundbreaking technology and innovation who are interested in leveraging microgravity to solve complex research problems on Earth</w:t>
      </w:r>
      <w:r w:rsidRPr="005935EF">
        <w:rPr>
          <w:rFonts w:asciiTheme="majorHAnsi" w:hAnsiTheme="majorHAnsi" w:cs="Segoe UI"/>
          <w:sz w:val="16"/>
          <w:szCs w:val="16"/>
        </w:rPr>
        <w:t>. The ISS National Lab plays a role in not only attracting a diverse set of users, including private companies, to utilize the ISS, but also in engaging the private sector through various research and cost-sharing arrangements. Sponsored Programs – Accelerating Third-Party Funding for Space Research </w:t>
      </w:r>
      <w:proofErr w:type="gramStart"/>
      <w:r w:rsidRPr="005935EF">
        <w:rPr>
          <w:rFonts w:asciiTheme="majorHAnsi" w:hAnsiTheme="majorHAnsi" w:cs="Segoe UI"/>
          <w:szCs w:val="22"/>
          <w:u w:val="single"/>
          <w:shd w:val="clear" w:color="auto" w:fill="00FF00"/>
        </w:rPr>
        <w:t>The</w:t>
      </w:r>
      <w:proofErr w:type="gramEnd"/>
      <w:r w:rsidRPr="005935EF">
        <w:rPr>
          <w:rFonts w:asciiTheme="majorHAnsi" w:hAnsiTheme="majorHAnsi" w:cs="Segoe UI"/>
          <w:szCs w:val="22"/>
          <w:u w:val="single"/>
          <w:shd w:val="clear" w:color="auto" w:fill="00FF00"/>
        </w:rPr>
        <w:t> ISS National Lab has developed a successful Sponsored Program model that attracts third-party funding from private industry and other government agencies</w:t>
      </w:r>
      <w:r w:rsidRPr="005935EF">
        <w:rPr>
          <w:rFonts w:asciiTheme="majorHAnsi" w:hAnsiTheme="majorHAnsi" w:cs="Segoe UI"/>
          <w:szCs w:val="22"/>
          <w:u w:val="single"/>
        </w:rPr>
        <w:t> to solve big problems or address target challenges</w:t>
      </w:r>
      <w:r w:rsidRPr="005935EF">
        <w:rPr>
          <w:rFonts w:asciiTheme="majorHAnsi" w:hAnsiTheme="majorHAnsi" w:cs="Segoe UI"/>
          <w:sz w:val="16"/>
          <w:szCs w:val="16"/>
        </w:rPr>
        <w:t>. These programs translate into projects on the ISS National Lab. The Sponsored Program model enables an organization to ask new questions and explore key variables, using the ISS National Lab environment as a tool in their innovation portfolio. In return, the organization creates opportunities for targeted research and development projects and STEM education projects or fosters novel ideas of startup companies. Fortune 500 companies, government agencies, and regional incubators have successfully used the ISS National Lab Sponsored Program model. This unique research and development model is flexible to meet the needs and budget of a partnering organization. Successful Sponsored Programs include Boeing Mass Challenge, Massachusetts Life Sciences Center, National Science Foundation (NSF) fluid dynamics and combustion Sponsored Program, and the National Institutes of Health (NIH) National Center for Advancing Translational Sciences (NCATS) organ-on-chip technologies Sponsored Program, totaling more than $20 million in third-party funding over the last two years. Additional Sponsored Programs totaling close to $5 million in 2017 with Fortune 500 organizations are imminent and will target major challenges to humankind as well as STEM education initiatives.  </w:t>
      </w:r>
    </w:p>
    <w:p w14:paraId="39D2B3E4" w14:textId="77777777" w:rsidR="00835E7E" w:rsidRPr="005935EF" w:rsidRDefault="00835E7E" w:rsidP="00835E7E">
      <w:pPr>
        <w:spacing w:line="480" w:lineRule="auto"/>
        <w:textAlignment w:val="baseline"/>
        <w:rPr>
          <w:rFonts w:asciiTheme="majorHAnsi" w:hAnsiTheme="majorHAnsi" w:cs="Segoe UI"/>
          <w:sz w:val="18"/>
          <w:szCs w:val="18"/>
        </w:rPr>
      </w:pPr>
    </w:p>
    <w:p w14:paraId="634C0BAA" w14:textId="77777777" w:rsidR="00835E7E" w:rsidRPr="005935EF" w:rsidRDefault="00835E7E" w:rsidP="00835E7E">
      <w:pPr>
        <w:pStyle w:val="Heading4"/>
        <w:spacing w:line="480" w:lineRule="auto"/>
        <w:rPr>
          <w:rFonts w:asciiTheme="majorHAnsi" w:hAnsiTheme="majorHAnsi"/>
          <w:sz w:val="18"/>
          <w:szCs w:val="18"/>
        </w:rPr>
      </w:pPr>
      <w:r w:rsidRPr="005935EF">
        <w:rPr>
          <w:rFonts w:asciiTheme="majorHAnsi" w:hAnsiTheme="majorHAnsi"/>
        </w:rPr>
        <w:t>Creates competitive markets and has the net benefit of increasing the amount of research we can do  </w:t>
      </w:r>
    </w:p>
    <w:p w14:paraId="776870CA" w14:textId="77777777" w:rsidR="00835E7E" w:rsidRPr="005935EF" w:rsidRDefault="00835E7E" w:rsidP="00835E7E">
      <w:pPr>
        <w:spacing w:line="480" w:lineRule="auto"/>
        <w:textAlignment w:val="baseline"/>
        <w:rPr>
          <w:rFonts w:asciiTheme="majorHAnsi" w:hAnsiTheme="majorHAnsi" w:cs="Segoe UI"/>
          <w:sz w:val="18"/>
          <w:szCs w:val="18"/>
        </w:rPr>
      </w:pPr>
      <w:r w:rsidRPr="005935EF">
        <w:rPr>
          <w:rFonts w:asciiTheme="majorHAnsi" w:hAnsiTheme="majorHAnsi" w:cs="Segoe UI"/>
          <w:b/>
          <w:bCs/>
        </w:rPr>
        <w:t>ISS National Lab</w:t>
      </w:r>
      <w:r w:rsidRPr="005935EF">
        <w:rPr>
          <w:rFonts w:asciiTheme="majorHAnsi" w:hAnsiTheme="majorHAnsi" w:cs="Segoe UI"/>
        </w:rPr>
        <w:t> </w:t>
      </w:r>
      <w:r w:rsidRPr="005935EF">
        <w:rPr>
          <w:rFonts w:asciiTheme="majorHAnsi" w:hAnsiTheme="majorHAnsi" w:cs="Segoe UI"/>
          <w:szCs w:val="22"/>
        </w:rPr>
        <w:t>[International Space Station National Laboratory – Center for the Advancement of Science in Space, “Research on the ISS, No Date, </w:t>
      </w:r>
      <w:hyperlink r:id="rId10" w:tgtFrame="_blank" w:history="1">
        <w:r w:rsidRPr="005935EF">
          <w:rPr>
            <w:rFonts w:asciiTheme="majorHAnsi" w:hAnsiTheme="majorHAnsi" w:cs="Segoe UI"/>
            <w:szCs w:val="22"/>
          </w:rPr>
          <w:t>https://www.issnationallab.org/research-on-the-iss/public-private-partnerships-in-space/</w:t>
        </w:r>
      </w:hyperlink>
      <w:r w:rsidRPr="005935EF">
        <w:rPr>
          <w:rFonts w:asciiTheme="majorHAnsi" w:hAnsiTheme="majorHAnsi" w:cs="Segoe UI"/>
          <w:szCs w:val="22"/>
        </w:rPr>
        <w:t>] //</w:t>
      </w:r>
      <w:proofErr w:type="spellStart"/>
      <w:r w:rsidRPr="005935EF">
        <w:rPr>
          <w:rFonts w:asciiTheme="majorHAnsi" w:hAnsiTheme="majorHAnsi" w:cs="Segoe UI"/>
          <w:szCs w:val="22"/>
        </w:rPr>
        <w:t>neth</w:t>
      </w:r>
      <w:proofErr w:type="spellEnd"/>
      <w:r w:rsidRPr="005935EF">
        <w:rPr>
          <w:rFonts w:asciiTheme="majorHAnsi" w:hAnsiTheme="majorHAnsi" w:cs="Segoe UI"/>
          <w:szCs w:val="22"/>
        </w:rPr>
        <w:t>  </w:t>
      </w:r>
    </w:p>
    <w:p w14:paraId="38AA3AC2" w14:textId="07608CA5" w:rsidR="006D77ED" w:rsidRDefault="00835E7E" w:rsidP="00835E7E">
      <w:pPr>
        <w:spacing w:line="480" w:lineRule="auto"/>
        <w:textAlignment w:val="baseline"/>
        <w:rPr>
          <w:rFonts w:asciiTheme="majorHAnsi" w:hAnsiTheme="majorHAnsi" w:cs="Segoe UI"/>
          <w:szCs w:val="22"/>
        </w:rPr>
      </w:pPr>
      <w:r w:rsidRPr="005935EF">
        <w:rPr>
          <w:rFonts w:asciiTheme="majorHAnsi" w:hAnsiTheme="majorHAnsi" w:cs="Segoe UI"/>
          <w:sz w:val="16"/>
          <w:szCs w:val="16"/>
        </w:rPr>
        <w:t>Commercial Services Providers – A Competitive Marketplace for Space Services As the demand for space research and development projects increases, the supply of access to space and research and development facilities will need to be augmented. </w:t>
      </w:r>
      <w:r w:rsidRPr="005935EF">
        <w:rPr>
          <w:rFonts w:asciiTheme="majorHAnsi" w:hAnsiTheme="majorHAnsi" w:cs="Segoe UI"/>
          <w:szCs w:val="22"/>
          <w:u w:val="single"/>
        </w:rPr>
        <w:t>In space, </w:t>
      </w:r>
      <w:r w:rsidRPr="005935EF">
        <w:rPr>
          <w:rFonts w:asciiTheme="majorHAnsi" w:hAnsiTheme="majorHAnsi" w:cs="Segoe UI"/>
          <w:szCs w:val="22"/>
          <w:u w:val="single"/>
          <w:shd w:val="clear" w:color="auto" w:fill="00FF00"/>
        </w:rPr>
        <w:t>private-sector commercial research and development facility operators are on the forefront of a new era of space research</w:t>
      </w:r>
      <w:r w:rsidRPr="005935EF">
        <w:rPr>
          <w:rFonts w:asciiTheme="majorHAnsi" w:hAnsiTheme="majorHAnsi" w:cs="Segoe UI"/>
          <w:szCs w:val="22"/>
          <w:u w:val="single"/>
        </w:rPr>
        <w:t> on the ISS and future space platforms</w:t>
      </w:r>
      <w:r w:rsidRPr="005935EF">
        <w:rPr>
          <w:rFonts w:asciiTheme="majorHAnsi" w:hAnsiTheme="majorHAnsi" w:cs="Segoe UI"/>
          <w:sz w:val="16"/>
          <w:szCs w:val="16"/>
        </w:rPr>
        <w:t>. These organizations operate their facilities internally and externally on the ISS. </w:t>
      </w:r>
      <w:r w:rsidRPr="005935EF">
        <w:rPr>
          <w:rFonts w:asciiTheme="majorHAnsi" w:hAnsiTheme="majorHAnsi" w:cs="Segoe UI"/>
          <w:szCs w:val="22"/>
          <w:u w:val="single"/>
          <w:shd w:val="clear" w:color="auto" w:fill="00FF00"/>
        </w:rPr>
        <w:t>They provide users with more choices to address unique research needs and are the pathfinders for a marketplace in low Earth orbit</w:t>
      </w:r>
      <w:r w:rsidRPr="005935EF">
        <w:rPr>
          <w:rFonts w:asciiTheme="majorHAnsi" w:hAnsiTheme="majorHAnsi" w:cs="Segoe UI"/>
          <w:szCs w:val="22"/>
          <w:u w:val="single"/>
        </w:rPr>
        <w:t>. </w:t>
      </w:r>
      <w:r w:rsidRPr="005935EF">
        <w:rPr>
          <w:rFonts w:asciiTheme="majorHAnsi" w:hAnsiTheme="majorHAnsi" w:cs="Segoe UI"/>
          <w:szCs w:val="22"/>
          <w:u w:val="single"/>
          <w:shd w:val="clear" w:color="auto" w:fill="00FF00"/>
        </w:rPr>
        <w:t>Many of these companies have used their own resources to invest in in-orbit research and development facilities, reducing the risk for the federal sector</w:t>
      </w:r>
      <w:r w:rsidRPr="005935EF">
        <w:rPr>
          <w:rFonts w:asciiTheme="majorHAnsi" w:hAnsiTheme="majorHAnsi" w:cs="Segoe UI"/>
          <w:szCs w:val="22"/>
          <w:u w:val="single"/>
        </w:rPr>
        <w:t> to develop these facilities and services</w:t>
      </w:r>
      <w:r w:rsidRPr="005935EF">
        <w:rPr>
          <w:rFonts w:asciiTheme="majorHAnsi" w:hAnsiTheme="majorHAnsi" w:cs="Segoe UI"/>
          <w:sz w:val="16"/>
          <w:szCs w:val="16"/>
        </w:rPr>
        <w:t>. In its first five years, the ISS National Lab has supported growth in the number of these research and development facility operators from one in FY12 to five in FY16—with four additional facilities expected to begin in-orbit operations by FY18. </w:t>
      </w:r>
      <w:r w:rsidRPr="005935EF">
        <w:rPr>
          <w:rFonts w:asciiTheme="majorHAnsi" w:hAnsiTheme="majorHAnsi" w:cs="Segoe UI"/>
          <w:szCs w:val="22"/>
          <w:u w:val="single"/>
          <w:shd w:val="clear" w:color="auto" w:fill="00FF00"/>
        </w:rPr>
        <w:t>The ISS National Lab fosters healthy competition between these supply partners by allowing them to bid on each commercial customer project, seeking the best solution for the customer</w:t>
      </w:r>
      <w:r w:rsidRPr="005935EF">
        <w:rPr>
          <w:rFonts w:asciiTheme="majorHAnsi" w:hAnsiTheme="majorHAnsi" w:cs="Segoe UI"/>
          <w:sz w:val="16"/>
          <w:szCs w:val="16"/>
        </w:rPr>
        <w:t>. The current commercial facility operators are: </w:t>
      </w:r>
      <w:proofErr w:type="spellStart"/>
      <w:r w:rsidRPr="005935EF">
        <w:rPr>
          <w:rFonts w:asciiTheme="majorHAnsi" w:hAnsiTheme="majorHAnsi" w:cs="Segoe UI"/>
          <w:sz w:val="16"/>
          <w:szCs w:val="16"/>
        </w:rPr>
        <w:t>NanoRacks</w:t>
      </w:r>
      <w:proofErr w:type="spellEnd"/>
      <w:r w:rsidRPr="005935EF">
        <w:rPr>
          <w:rFonts w:asciiTheme="majorHAnsi" w:hAnsiTheme="majorHAnsi" w:cs="Segoe UI"/>
          <w:sz w:val="16"/>
          <w:szCs w:val="16"/>
        </w:rPr>
        <w:t> – Since 2009, </w:t>
      </w:r>
      <w:proofErr w:type="spellStart"/>
      <w:r w:rsidRPr="005935EF">
        <w:rPr>
          <w:rFonts w:asciiTheme="majorHAnsi" w:hAnsiTheme="majorHAnsi" w:cs="Segoe UI"/>
          <w:sz w:val="16"/>
          <w:szCs w:val="16"/>
        </w:rPr>
        <w:t>NanoRacks</w:t>
      </w:r>
      <w:proofErr w:type="spellEnd"/>
      <w:r w:rsidRPr="005935EF">
        <w:rPr>
          <w:rFonts w:asciiTheme="majorHAnsi" w:hAnsiTheme="majorHAnsi" w:cs="Segoe UI"/>
          <w:sz w:val="16"/>
          <w:szCs w:val="16"/>
        </w:rPr>
        <w:t> has provided hardware and services for the International Space Station National Laboratory. Three internal research platforms can house plug-and-play </w:t>
      </w:r>
      <w:proofErr w:type="spellStart"/>
      <w:r w:rsidRPr="005935EF">
        <w:rPr>
          <w:rFonts w:asciiTheme="majorHAnsi" w:hAnsiTheme="majorHAnsi" w:cs="Segoe UI"/>
          <w:sz w:val="16"/>
          <w:szCs w:val="16"/>
        </w:rPr>
        <w:t>NanoLabs</w:t>
      </w:r>
      <w:proofErr w:type="spellEnd"/>
      <w:r w:rsidRPr="005935EF">
        <w:rPr>
          <w:rFonts w:asciiTheme="majorHAnsi" w:hAnsiTheme="majorHAnsi" w:cs="Segoe UI"/>
          <w:sz w:val="16"/>
          <w:szCs w:val="16"/>
        </w:rPr>
        <w:t> and provide critical capabilities such as centrifugation and microscopy. Additionally, the </w:t>
      </w:r>
      <w:proofErr w:type="spellStart"/>
      <w:r w:rsidRPr="005935EF">
        <w:rPr>
          <w:rFonts w:asciiTheme="majorHAnsi" w:hAnsiTheme="majorHAnsi" w:cs="Segoe UI"/>
          <w:sz w:val="16"/>
          <w:szCs w:val="16"/>
        </w:rPr>
        <w:t>NanoRacks</w:t>
      </w:r>
      <w:proofErr w:type="spellEnd"/>
      <w:r w:rsidRPr="005935EF">
        <w:rPr>
          <w:rFonts w:asciiTheme="majorHAnsi" w:hAnsiTheme="majorHAnsi" w:cs="Segoe UI"/>
          <w:sz w:val="16"/>
          <w:szCs w:val="16"/>
        </w:rPr>
        <w:t> External Platform was launched in FY15 and provides capabilities for Earth and deep space observation, sensor development, and testing for advanced electronics and materials. </w:t>
      </w:r>
      <w:proofErr w:type="spellStart"/>
      <w:r w:rsidRPr="005935EF">
        <w:rPr>
          <w:rFonts w:asciiTheme="majorHAnsi" w:hAnsiTheme="majorHAnsi" w:cs="Segoe UI"/>
          <w:sz w:val="16"/>
          <w:szCs w:val="16"/>
        </w:rPr>
        <w:t>BioServe</w:t>
      </w:r>
      <w:proofErr w:type="spellEnd"/>
      <w:r w:rsidRPr="005935EF">
        <w:rPr>
          <w:rFonts w:asciiTheme="majorHAnsi" w:hAnsiTheme="majorHAnsi" w:cs="Segoe UI"/>
          <w:sz w:val="16"/>
          <w:szCs w:val="16"/>
        </w:rPr>
        <w:t> – In-orbit offerings from </w:t>
      </w:r>
      <w:proofErr w:type="spellStart"/>
      <w:r w:rsidRPr="005935EF">
        <w:rPr>
          <w:rFonts w:asciiTheme="majorHAnsi" w:hAnsiTheme="majorHAnsi" w:cs="Segoe UI"/>
          <w:sz w:val="16"/>
          <w:szCs w:val="16"/>
        </w:rPr>
        <w:t>BioServe</w:t>
      </w:r>
      <w:proofErr w:type="spellEnd"/>
      <w:r w:rsidRPr="005935EF">
        <w:rPr>
          <w:rFonts w:asciiTheme="majorHAnsi" w:hAnsiTheme="majorHAnsi" w:cs="Segoe UI"/>
          <w:sz w:val="16"/>
          <w:szCs w:val="16"/>
        </w:rPr>
        <w:t> include multiple life sciences facilities and kits, including the multi-purpose Space Automated Bioproduct Laboratory (SABL), launched in FY15. SABL supports myriad initiatives for commercial life sciences research as well as physical and material science experiments. </w:t>
      </w:r>
      <w:proofErr w:type="spellStart"/>
      <w:r w:rsidRPr="005935EF">
        <w:rPr>
          <w:rFonts w:asciiTheme="majorHAnsi" w:hAnsiTheme="majorHAnsi" w:cs="Segoe UI"/>
          <w:sz w:val="16"/>
          <w:szCs w:val="16"/>
        </w:rPr>
        <w:t>TechShot</w:t>
      </w:r>
      <w:proofErr w:type="spellEnd"/>
      <w:r w:rsidRPr="005935EF">
        <w:rPr>
          <w:rFonts w:asciiTheme="majorHAnsi" w:hAnsiTheme="majorHAnsi" w:cs="Segoe UI"/>
          <w:sz w:val="16"/>
          <w:szCs w:val="16"/>
        </w:rPr>
        <w:t> – Launched in FY15, the </w:t>
      </w:r>
      <w:proofErr w:type="spellStart"/>
      <w:r w:rsidRPr="005935EF">
        <w:rPr>
          <w:rFonts w:asciiTheme="majorHAnsi" w:hAnsiTheme="majorHAnsi" w:cs="Segoe UI"/>
          <w:sz w:val="16"/>
          <w:szCs w:val="16"/>
        </w:rPr>
        <w:t>TechShot</w:t>
      </w:r>
      <w:proofErr w:type="spellEnd"/>
      <w:r w:rsidRPr="005935EF">
        <w:rPr>
          <w:rFonts w:asciiTheme="majorHAnsi" w:hAnsiTheme="majorHAnsi" w:cs="Segoe UI"/>
          <w:sz w:val="16"/>
          <w:szCs w:val="16"/>
        </w:rPr>
        <w:t> Bone Densitometer is a commercial bone-density scanner for use in spaceflight rodent research. In just one year, the successful operation of this facility has already demonstrated its utility as a catalyst for disease modeling research and commercial biomedical initiatives in space. Made In Space – In FY16, the Additive Manufacturing Facility developed by Made </w:t>
      </w:r>
      <w:proofErr w:type="gramStart"/>
      <w:r w:rsidRPr="005935EF">
        <w:rPr>
          <w:rFonts w:asciiTheme="majorHAnsi" w:hAnsiTheme="majorHAnsi" w:cs="Segoe UI"/>
          <w:sz w:val="16"/>
          <w:szCs w:val="16"/>
        </w:rPr>
        <w:t>In</w:t>
      </w:r>
      <w:proofErr w:type="gramEnd"/>
      <w:r w:rsidRPr="005935EF">
        <w:rPr>
          <w:rFonts w:asciiTheme="majorHAnsi" w:hAnsiTheme="majorHAnsi" w:cs="Segoe UI"/>
          <w:sz w:val="16"/>
          <w:szCs w:val="16"/>
        </w:rPr>
        <w:t> Space launched to the International Space Station, enabling 3D printing projects from commercial, educational, and government entities interested in the development of objects for experiments and technology demonstrations. These objects will be produced onboard the International Space Station in a fraction of the time currently required to have such objects manifested and delivered to the station using traditional ground preparation and launch. Space Tango – TangoLab-1 is a general research platform launched in FY16. This facility from Space Tango allows multiple automated experiments in the life and physical sciences to run simultaneously. This architecture minimizes crew member interaction and reduces complexity while increasing scalability, enabling improved throughput for users. </w:t>
      </w:r>
      <w:r w:rsidRPr="005935EF">
        <w:rPr>
          <w:rFonts w:asciiTheme="majorHAnsi" w:hAnsiTheme="majorHAnsi" w:cs="Segoe UI"/>
          <w:szCs w:val="22"/>
          <w:u w:val="single"/>
          <w:shd w:val="clear" w:color="auto" w:fill="00FF00"/>
        </w:rPr>
        <w:t>In addition to currently available capabilities, a growing pipeline of commercial ISS National Lab facilities in preparation</w:t>
      </w:r>
      <w:r w:rsidRPr="005935EF">
        <w:rPr>
          <w:rFonts w:asciiTheme="majorHAnsi" w:hAnsiTheme="majorHAnsi" w:cs="Segoe UI"/>
          <w:szCs w:val="22"/>
          <w:u w:val="single"/>
        </w:rPr>
        <w:t> (from Teledyne Brown, </w:t>
      </w:r>
      <w:proofErr w:type="spellStart"/>
      <w:r w:rsidRPr="005935EF">
        <w:rPr>
          <w:rFonts w:asciiTheme="majorHAnsi" w:hAnsiTheme="majorHAnsi" w:cs="Segoe UI"/>
          <w:szCs w:val="22"/>
          <w:u w:val="single"/>
        </w:rPr>
        <w:t>AlphaSpace</w:t>
      </w:r>
      <w:proofErr w:type="spellEnd"/>
      <w:r w:rsidRPr="005935EF">
        <w:rPr>
          <w:rFonts w:asciiTheme="majorHAnsi" w:hAnsiTheme="majorHAnsi" w:cs="Segoe UI"/>
          <w:szCs w:val="22"/>
          <w:u w:val="single"/>
        </w:rPr>
        <w:t>, </w:t>
      </w:r>
      <w:proofErr w:type="spellStart"/>
      <w:r w:rsidRPr="005935EF">
        <w:rPr>
          <w:rFonts w:asciiTheme="majorHAnsi" w:hAnsiTheme="majorHAnsi" w:cs="Segoe UI"/>
          <w:szCs w:val="22"/>
          <w:u w:val="single"/>
        </w:rPr>
        <w:t>STaArS</w:t>
      </w:r>
      <w:proofErr w:type="spellEnd"/>
      <w:r w:rsidRPr="005935EF">
        <w:rPr>
          <w:rFonts w:asciiTheme="majorHAnsi" w:hAnsiTheme="majorHAnsi" w:cs="Segoe UI"/>
          <w:szCs w:val="22"/>
          <w:u w:val="single"/>
        </w:rPr>
        <w:t>, and </w:t>
      </w:r>
      <w:proofErr w:type="spellStart"/>
      <w:r w:rsidRPr="005935EF">
        <w:rPr>
          <w:rFonts w:asciiTheme="majorHAnsi" w:hAnsiTheme="majorHAnsi" w:cs="Segoe UI"/>
          <w:szCs w:val="22"/>
          <w:u w:val="single"/>
        </w:rPr>
        <w:t>HNu</w:t>
      </w:r>
      <w:proofErr w:type="spellEnd"/>
      <w:r w:rsidRPr="005935EF">
        <w:rPr>
          <w:rFonts w:asciiTheme="majorHAnsi" w:hAnsiTheme="majorHAnsi" w:cs="Segoe UI"/>
          <w:szCs w:val="22"/>
          <w:u w:val="single"/>
        </w:rPr>
        <w:t> Photonics) </w:t>
      </w:r>
      <w:r w:rsidRPr="005935EF">
        <w:rPr>
          <w:rFonts w:asciiTheme="majorHAnsi" w:hAnsiTheme="majorHAnsi" w:cs="Segoe UI"/>
          <w:szCs w:val="22"/>
          <w:u w:val="single"/>
          <w:shd w:val="clear" w:color="auto" w:fill="00FF00"/>
        </w:rPr>
        <w:t>will advance research</w:t>
      </w:r>
      <w:r w:rsidRPr="005935EF">
        <w:rPr>
          <w:rFonts w:asciiTheme="majorHAnsi" w:hAnsiTheme="majorHAnsi" w:cs="Segoe UI"/>
          <w:szCs w:val="22"/>
          <w:u w:val="single"/>
        </w:rPr>
        <w:t> in remote sensing, materials testing, molecular biology, and tissue culture.</w:t>
      </w:r>
      <w:r w:rsidRPr="005935EF">
        <w:rPr>
          <w:rFonts w:asciiTheme="majorHAnsi" w:hAnsiTheme="majorHAnsi" w:cs="Segoe UI"/>
          <w:sz w:val="16"/>
          <w:szCs w:val="16"/>
        </w:rPr>
        <w:t> Companies are exploring how these capabilities might transition onto future low Earth orbit platforms, from free-flying spacecraft to expandable modules. </w:t>
      </w:r>
      <w:r w:rsidRPr="005935EF">
        <w:rPr>
          <w:rFonts w:asciiTheme="majorHAnsi" w:hAnsiTheme="majorHAnsi" w:cs="Segoe UI"/>
          <w:szCs w:val="22"/>
          <w:u w:val="single"/>
          <w:shd w:val="clear" w:color="auto" w:fill="00FF00"/>
        </w:rPr>
        <w:t>Through support of such companies, the ISS National Lab and NASA are </w:t>
      </w:r>
      <w:r w:rsidRPr="005935EF">
        <w:rPr>
          <w:rFonts w:asciiTheme="majorHAnsi" w:hAnsiTheme="majorHAnsi" w:cs="Segoe UI"/>
          <w:szCs w:val="22"/>
          <w:u w:val="single"/>
        </w:rPr>
        <w:t>enabling the International Space Station National Laboratory to serve as an incubator for the low Earth orbit market and U.S. private sector spaceflight </w:t>
      </w:r>
      <w:proofErr w:type="gramStart"/>
      <w:r w:rsidRPr="005935EF">
        <w:rPr>
          <w:rFonts w:asciiTheme="majorHAnsi" w:hAnsiTheme="majorHAnsi" w:cs="Segoe UI"/>
          <w:szCs w:val="22"/>
          <w:u w:val="single"/>
        </w:rPr>
        <w:t>interests, and</w:t>
      </w:r>
      <w:proofErr w:type="gramEnd"/>
      <w:r w:rsidRPr="005935EF">
        <w:rPr>
          <w:rFonts w:asciiTheme="majorHAnsi" w:hAnsiTheme="majorHAnsi" w:cs="Segoe UI"/>
          <w:szCs w:val="22"/>
          <w:u w:val="single"/>
        </w:rPr>
        <w:t> are </w:t>
      </w:r>
      <w:r w:rsidRPr="005935EF">
        <w:rPr>
          <w:rFonts w:asciiTheme="majorHAnsi" w:hAnsiTheme="majorHAnsi" w:cs="Segoe UI"/>
          <w:szCs w:val="22"/>
          <w:u w:val="single"/>
          <w:shd w:val="clear" w:color="auto" w:fill="00FF00"/>
        </w:rPr>
        <w:t>using public-private partnership</w:t>
      </w:r>
      <w:r w:rsidRPr="005935EF">
        <w:rPr>
          <w:rFonts w:asciiTheme="majorHAnsi" w:hAnsiTheme="majorHAnsi" w:cs="Segoe UI"/>
          <w:szCs w:val="22"/>
          <w:u w:val="single"/>
        </w:rPr>
        <w:t> funding models </w:t>
      </w:r>
      <w:r w:rsidRPr="005935EF">
        <w:rPr>
          <w:rFonts w:asciiTheme="majorHAnsi" w:hAnsiTheme="majorHAnsi" w:cs="Segoe UI"/>
          <w:szCs w:val="22"/>
          <w:u w:val="single"/>
          <w:shd w:val="clear" w:color="auto" w:fill="00FF00"/>
        </w:rPr>
        <w:t>to</w:t>
      </w:r>
      <w:r w:rsidRPr="005935EF">
        <w:rPr>
          <w:rFonts w:asciiTheme="majorHAnsi" w:hAnsiTheme="majorHAnsi" w:cs="Segoe UI"/>
          <w:szCs w:val="22"/>
          <w:u w:val="single"/>
        </w:rPr>
        <w:t> </w:t>
      </w:r>
      <w:r w:rsidRPr="005935EF">
        <w:rPr>
          <w:rFonts w:asciiTheme="majorHAnsi" w:hAnsiTheme="majorHAnsi" w:cs="Segoe UI"/>
          <w:szCs w:val="22"/>
          <w:u w:val="single"/>
          <w:shd w:val="clear" w:color="auto" w:fill="00FF00"/>
        </w:rPr>
        <w:t>share the risk and benefits of these emerging human space flight activities.</w:t>
      </w:r>
      <w:r w:rsidRPr="005935EF">
        <w:rPr>
          <w:rFonts w:asciiTheme="majorHAnsi" w:hAnsiTheme="majorHAnsi" w:cs="Segoe UI"/>
          <w:szCs w:val="22"/>
          <w:u w:val="single"/>
        </w:rPr>
        <w:t> </w:t>
      </w:r>
      <w:r w:rsidRPr="005935EF">
        <w:rPr>
          <w:rFonts w:asciiTheme="majorHAnsi" w:hAnsiTheme="majorHAnsi" w:cs="Segoe UI"/>
          <w:szCs w:val="22"/>
        </w:rPr>
        <w:t> </w:t>
      </w:r>
    </w:p>
    <w:p w14:paraId="0CA5B8B1" w14:textId="77777777" w:rsidR="004E5076" w:rsidRDefault="004E5076" w:rsidP="004E5076">
      <w:pPr>
        <w:pStyle w:val="Heading4"/>
      </w:pPr>
      <w:r>
        <w:t>No perms</w:t>
      </w:r>
    </w:p>
    <w:p w14:paraId="4CAB1D17" w14:textId="77777777" w:rsidR="004E5076" w:rsidRDefault="004E5076" w:rsidP="004E5076">
      <w:pPr>
        <w:pStyle w:val="Heading4"/>
      </w:pPr>
      <w:r>
        <w:t xml:space="preserve">1—the cp is about expanding private appropriation of outer space—so any perm is severance from the </w:t>
      </w:r>
      <w:proofErr w:type="spellStart"/>
      <w:r>
        <w:t>aff</w:t>
      </w:r>
      <w:proofErr w:type="spellEnd"/>
    </w:p>
    <w:p w14:paraId="1E004D64" w14:textId="0646E29D" w:rsidR="004E5076" w:rsidRPr="004E5076" w:rsidRDefault="004E5076" w:rsidP="004E5076">
      <w:pPr>
        <w:pStyle w:val="Heading4"/>
      </w:pPr>
      <w:r>
        <w:t xml:space="preserve">2—perms increase neg burden by reducing the </w:t>
      </w:r>
      <w:proofErr w:type="spellStart"/>
      <w:r>
        <w:t>neg’s</w:t>
      </w:r>
      <w:proofErr w:type="spellEnd"/>
      <w:r>
        <w:t xml:space="preserve"> possible offense—results in </w:t>
      </w:r>
      <w:proofErr w:type="spellStart"/>
      <w:r>
        <w:t>unnegatability</w:t>
      </w:r>
      <w:proofErr w:type="spellEnd"/>
    </w:p>
    <w:p w14:paraId="52894CB2" w14:textId="00FC7C12" w:rsidR="002A3618" w:rsidRDefault="002A3618" w:rsidP="002A3618">
      <w:pPr>
        <w:pStyle w:val="Heading2"/>
        <w:rPr>
          <w:rFonts w:eastAsia="Times New Roman"/>
        </w:rPr>
      </w:pPr>
      <w:r>
        <w:rPr>
          <w:rFonts w:eastAsia="Times New Roman"/>
        </w:rPr>
        <w:t>Case</w:t>
      </w:r>
    </w:p>
    <w:p w14:paraId="0CBE90E1" w14:textId="420A17EE" w:rsidR="002A3618" w:rsidRDefault="002A3618" w:rsidP="002A3618">
      <w:pPr>
        <w:pStyle w:val="Heading3"/>
      </w:pPr>
      <w:r>
        <w:t>Adv 1</w:t>
      </w:r>
    </w:p>
    <w:p w14:paraId="0B234FCC" w14:textId="77777777" w:rsidR="007B3ECD" w:rsidRPr="0039370B" w:rsidRDefault="007B3ECD" w:rsidP="007B3ECD">
      <w:pPr>
        <w:pStyle w:val="Heading4"/>
      </w:pPr>
      <w:r w:rsidRPr="0039370B">
        <w:t>US-China war unlikely—both countries want to prevent escalation </w:t>
      </w:r>
    </w:p>
    <w:p w14:paraId="64B8F07E" w14:textId="77777777" w:rsidR="007B3ECD" w:rsidRDefault="007B3ECD" w:rsidP="007B3EC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Cs w:val="26"/>
        </w:rPr>
        <w:t>Health &amp; Thompson 17</w:t>
      </w:r>
      <w:r>
        <w:rPr>
          <w:rStyle w:val="normaltextrun"/>
          <w:rFonts w:ascii="Calibri" w:hAnsi="Calibri" w:cs="Calibri"/>
          <w:sz w:val="22"/>
          <w:szCs w:val="22"/>
        </w:rPr>
        <w:t> (</w:t>
      </w:r>
      <w:hyperlink r:id="rId11" w:tgtFrame="_blank" w:history="1">
        <w:r>
          <w:rPr>
            <w:rStyle w:val="normaltextrun"/>
            <w:rFonts w:ascii="Calibri" w:hAnsi="Calibri" w:cs="Calibri"/>
            <w:color w:val="0563C1"/>
            <w:sz w:val="22"/>
            <w:szCs w:val="22"/>
            <w:u w:val="single"/>
          </w:rPr>
          <w:t>Timothy R. Heath</w:t>
        </w:r>
      </w:hyperlink>
      <w:r>
        <w:rPr>
          <w:rStyle w:val="normaltextrun"/>
          <w:rFonts w:ascii="Calibri" w:hAnsi="Calibri" w:cs="Calibri"/>
          <w:sz w:val="22"/>
          <w:szCs w:val="22"/>
        </w:rPr>
        <w:t> and William R. Thompson, Health has a Ph.D. in political science </w:t>
      </w:r>
      <w:proofErr w:type="spellStart"/>
      <w:r>
        <w:rPr>
          <w:rStyle w:val="contextualspellingandgrammarerror"/>
          <w:rFonts w:ascii="Calibri" w:hAnsi="Calibri" w:cs="Calibri"/>
          <w:sz w:val="22"/>
          <w:szCs w:val="22"/>
        </w:rPr>
        <w:t>form</w:t>
      </w:r>
      <w:proofErr w:type="spellEnd"/>
      <w:r>
        <w:rPr>
          <w:rStyle w:val="normaltextrun"/>
          <w:rFonts w:ascii="Calibri" w:hAnsi="Calibri" w:cs="Calibri"/>
          <w:sz w:val="22"/>
          <w:szCs w:val="22"/>
        </w:rPr>
        <w:t>  George Mason University a M.A. in Asian Studies from George Washington University and a B.A. in philosophy from College of William and Mary, May 1st, 2017, U.S.-China Tensions Are Unlikely to Lead to War, </w:t>
      </w:r>
      <w:hyperlink r:id="rId12" w:tgtFrame="_blank" w:history="1">
        <w:r>
          <w:rPr>
            <w:rStyle w:val="normaltextrun"/>
            <w:rFonts w:ascii="Calibri" w:hAnsi="Calibri" w:cs="Calibri"/>
            <w:color w:val="0563C1"/>
            <w:sz w:val="22"/>
            <w:szCs w:val="22"/>
            <w:u w:val="single"/>
          </w:rPr>
          <w:t>https://www.rand.org/blog/2017/05/us-china-tensions-are-unlikely-to-lead-to-war.html</w:t>
        </w:r>
      </w:hyperlink>
      <w:r>
        <w:rPr>
          <w:rStyle w:val="normaltextrun"/>
          <w:rFonts w:ascii="Calibri" w:hAnsi="Calibri" w:cs="Calibri"/>
          <w:sz w:val="22"/>
          <w:szCs w:val="22"/>
        </w:rPr>
        <w:t>) SJ</w:t>
      </w:r>
      <w:r>
        <w:rPr>
          <w:rStyle w:val="eop"/>
          <w:rFonts w:ascii="Calibri" w:hAnsi="Calibri" w:cs="Calibri"/>
          <w:szCs w:val="22"/>
        </w:rPr>
        <w:t> </w:t>
      </w:r>
    </w:p>
    <w:p w14:paraId="25EEF222" w14:textId="73F8CC37" w:rsidR="007B3ECD" w:rsidRDefault="007B3ECD" w:rsidP="007B3ECD">
      <w:pPr>
        <w:pStyle w:val="paragraph"/>
        <w:spacing w:before="0" w:beforeAutospacing="0" w:after="0" w:afterAutospacing="0"/>
        <w:textAlignment w:val="baseline"/>
        <w:rPr>
          <w:rStyle w:val="eop"/>
          <w:rFonts w:ascii="Calibri" w:hAnsi="Calibri" w:cs="Calibri"/>
          <w:sz w:val="16"/>
          <w:szCs w:val="16"/>
        </w:rPr>
      </w:pPr>
      <w:r>
        <w:rPr>
          <w:rStyle w:val="normaltextrun"/>
          <w:rFonts w:ascii="Calibri" w:hAnsi="Calibri" w:cs="Calibri"/>
          <w:sz w:val="22"/>
          <w:szCs w:val="22"/>
          <w:u w:val="single"/>
        </w:rPr>
        <w:t>By contrast, the </w:t>
      </w:r>
      <w:r>
        <w:rPr>
          <w:rStyle w:val="normaltextrun"/>
          <w:rFonts w:ascii="Calibri" w:hAnsi="Calibri" w:cs="Calibri"/>
          <w:sz w:val="22"/>
          <w:szCs w:val="22"/>
          <w:u w:val="single"/>
          <w:shd w:val="clear" w:color="auto" w:fill="00FF00"/>
        </w:rPr>
        <w:t>U.S.-China relationship</w:t>
      </w:r>
      <w:r>
        <w:rPr>
          <w:rStyle w:val="normaltextrun"/>
          <w:rFonts w:ascii="Calibri" w:hAnsi="Calibri" w:cs="Calibri"/>
          <w:sz w:val="22"/>
          <w:szCs w:val="22"/>
          <w:u w:val="single"/>
        </w:rPr>
        <w:t> today </w:t>
      </w:r>
      <w:r>
        <w:rPr>
          <w:rStyle w:val="normaltextrun"/>
          <w:rFonts w:ascii="Calibri" w:hAnsi="Calibri" w:cs="Calibri"/>
          <w:sz w:val="22"/>
          <w:szCs w:val="22"/>
          <w:u w:val="single"/>
          <w:shd w:val="clear" w:color="auto" w:fill="00FF00"/>
        </w:rPr>
        <w:t>operates at</w:t>
      </w:r>
      <w:r>
        <w:rPr>
          <w:rStyle w:val="normaltextrun"/>
          <w:rFonts w:ascii="Calibri" w:hAnsi="Calibri" w:cs="Calibri"/>
          <w:sz w:val="22"/>
          <w:szCs w:val="22"/>
          <w:u w:val="single"/>
        </w:rPr>
        <w:t> a much </w:t>
      </w:r>
      <w:r>
        <w:rPr>
          <w:rStyle w:val="normaltextrun"/>
          <w:rFonts w:ascii="Calibri" w:hAnsi="Calibri" w:cs="Calibri"/>
          <w:sz w:val="22"/>
          <w:szCs w:val="22"/>
          <w:u w:val="single"/>
          <w:shd w:val="clear" w:color="auto" w:fill="00FF00"/>
        </w:rPr>
        <w:t>low</w:t>
      </w:r>
      <w:r>
        <w:rPr>
          <w:rStyle w:val="normaltextrun"/>
          <w:rFonts w:ascii="Calibri" w:hAnsi="Calibri" w:cs="Calibri"/>
          <w:sz w:val="22"/>
          <w:szCs w:val="22"/>
          <w:u w:val="single"/>
        </w:rPr>
        <w:t>er </w:t>
      </w:r>
      <w:r>
        <w:rPr>
          <w:rStyle w:val="normaltextrun"/>
          <w:rFonts w:ascii="Calibri" w:hAnsi="Calibri" w:cs="Calibri"/>
          <w:sz w:val="22"/>
          <w:szCs w:val="22"/>
          <w:u w:val="single"/>
          <w:shd w:val="clear" w:color="auto" w:fill="00FF00"/>
        </w:rPr>
        <w:t>level of hostility and threat</w:t>
      </w:r>
      <w:r>
        <w:rPr>
          <w:rStyle w:val="normaltextrun"/>
          <w:rFonts w:ascii="Calibri" w:hAnsi="Calibri" w:cs="Calibri"/>
          <w:sz w:val="22"/>
          <w:szCs w:val="22"/>
          <w:u w:val="single"/>
        </w:rPr>
        <w:t>.</w:t>
      </w:r>
      <w:r>
        <w:rPr>
          <w:rStyle w:val="normaltextrun"/>
          <w:rFonts w:ascii="Calibri" w:hAnsi="Calibri" w:cs="Calibri"/>
          <w:sz w:val="16"/>
          <w:szCs w:val="16"/>
        </w:rPr>
        <w:t> China and the United States may be experiencing an increase in tensions, but the two countries remain far from the bitter, acrimonious rivalry that defined the U.S.-Soviet relationship in the early 1960s. Neither Washington nor Beijing regards the other as its principal enemy</w:t>
      </w:r>
      <w:r>
        <w:rPr>
          <w:rStyle w:val="normaltextrun"/>
          <w:rFonts w:ascii="Calibri" w:hAnsi="Calibri" w:cs="Calibri"/>
          <w:sz w:val="22"/>
          <w:szCs w:val="22"/>
          <w:u w:val="single"/>
        </w:rPr>
        <w:t>. Today's rivals </w:t>
      </w:r>
      <w:r>
        <w:rPr>
          <w:rStyle w:val="normaltextrun"/>
          <w:rFonts w:ascii="Calibri" w:hAnsi="Calibri" w:cs="Calibri"/>
          <w:sz w:val="22"/>
          <w:szCs w:val="22"/>
          <w:u w:val="single"/>
          <w:shd w:val="clear" w:color="auto" w:fill="00FF00"/>
        </w:rPr>
        <w:t>may view each other warily as competitors and threats on some issues</w:t>
      </w:r>
      <w:r>
        <w:rPr>
          <w:rStyle w:val="normaltextrun"/>
          <w:rFonts w:ascii="Calibri" w:hAnsi="Calibri" w:cs="Calibri"/>
          <w:sz w:val="22"/>
          <w:szCs w:val="22"/>
          <w:u w:val="single"/>
        </w:rPr>
        <w:t>, but they also </w:t>
      </w:r>
      <w:r>
        <w:rPr>
          <w:rStyle w:val="normaltextrun"/>
          <w:rFonts w:ascii="Calibri" w:hAnsi="Calibri" w:cs="Calibri"/>
          <w:sz w:val="22"/>
          <w:szCs w:val="22"/>
          <w:u w:val="single"/>
          <w:shd w:val="clear" w:color="auto" w:fill="00FF00"/>
        </w:rPr>
        <w:t>view each other as important trade partners and partners on some shared concerns</w:t>
      </w:r>
      <w:r>
        <w:rPr>
          <w:rStyle w:val="normaltextrun"/>
          <w:rFonts w:ascii="Calibri" w:hAnsi="Calibri" w:cs="Calibri"/>
          <w:sz w:val="22"/>
          <w:szCs w:val="22"/>
          <w:u w:val="single"/>
        </w:rPr>
        <w:t>, such as North Korea, as </w:t>
      </w:r>
      <w:hyperlink r:id="rId13" w:tgtFrame="_blank" w:history="1">
        <w:r>
          <w:rPr>
            <w:rStyle w:val="normaltextrun"/>
            <w:rFonts w:ascii="Calibri" w:hAnsi="Calibri" w:cs="Calibri"/>
            <w:color w:val="0563C1"/>
            <w:sz w:val="22"/>
            <w:szCs w:val="22"/>
            <w:u w:val="single"/>
          </w:rPr>
          <w:t>the recent summit</w:t>
        </w:r>
      </w:hyperlink>
      <w:r>
        <w:rPr>
          <w:rStyle w:val="normaltextrun"/>
          <w:rFonts w:ascii="Calibri" w:hAnsi="Calibri" w:cs="Calibri"/>
          <w:sz w:val="22"/>
          <w:szCs w:val="22"/>
          <w:u w:val="single"/>
        </w:rPr>
        <w:t> between President Donald Trump and Chinese president Xi Jinping illustrated</w:t>
      </w:r>
      <w:r>
        <w:rPr>
          <w:rStyle w:val="normaltextrun"/>
          <w:rFonts w:ascii="Calibri" w:hAnsi="Calibri" w:cs="Calibri"/>
          <w:sz w:val="16"/>
          <w:szCs w:val="16"/>
        </w:rPr>
        <w:t>. The behavior of their respective militaries underscores the relatively restrained rivalry. The military competition between China and the United States may be growing, but it operates at a far lower level of intensity than the relentless arms racing that typified the U.S.-Soviet standoff. And unlike their Cold War counterparts, U.S. and Chinese militaries are not postured to fight each other in major wars. Moreover, polls show that the people of the two countries regard each other with </w:t>
      </w:r>
      <w:hyperlink r:id="rId14" w:tgtFrame="_blank" w:history="1">
        <w:r>
          <w:rPr>
            <w:rStyle w:val="normaltextrun"/>
            <w:rFonts w:ascii="Calibri" w:hAnsi="Calibri" w:cs="Calibri"/>
            <w:color w:val="0563C1"/>
            <w:sz w:val="16"/>
            <w:szCs w:val="16"/>
            <w:u w:val="single"/>
          </w:rPr>
          <w:t>mixed views</w:t>
        </w:r>
      </w:hyperlink>
      <w:r>
        <w:rPr>
          <w:rStyle w:val="normaltextrun"/>
          <w:rFonts w:ascii="Calibri" w:hAnsi="Calibri" w:cs="Calibri"/>
          <w:sz w:val="16"/>
          <w:szCs w:val="16"/>
        </w:rPr>
        <w:t>—a considerable contrast from the hostile sentiment expressed by the U.S. and Soviet publics for each other</w:t>
      </w:r>
      <w:r>
        <w:rPr>
          <w:rStyle w:val="normaltextrun"/>
          <w:rFonts w:ascii="Calibri" w:hAnsi="Calibri" w:cs="Calibri"/>
          <w:sz w:val="22"/>
          <w:szCs w:val="22"/>
          <w:u w:val="single"/>
        </w:rPr>
        <w:t>. </w:t>
      </w:r>
      <w:r>
        <w:rPr>
          <w:rStyle w:val="normaltextrun"/>
          <w:rFonts w:ascii="Calibri" w:hAnsi="Calibri" w:cs="Calibri"/>
          <w:sz w:val="22"/>
          <w:szCs w:val="22"/>
          <w:u w:val="single"/>
          <w:shd w:val="clear" w:color="auto" w:fill="00FF00"/>
        </w:rPr>
        <w:t>Lacking both preparations for major war and a constituency for conflict,</w:t>
      </w:r>
      <w:r>
        <w:rPr>
          <w:rStyle w:val="normaltextrun"/>
          <w:rFonts w:ascii="Calibri" w:hAnsi="Calibri" w:cs="Calibri"/>
          <w:sz w:val="22"/>
          <w:szCs w:val="22"/>
          <w:u w:val="single"/>
        </w:rPr>
        <w:t> leaders and bureaucracies in both countries have </w:t>
      </w:r>
      <w:r>
        <w:rPr>
          <w:rStyle w:val="normaltextrun"/>
          <w:rFonts w:ascii="Calibri" w:hAnsi="Calibri" w:cs="Calibri"/>
          <w:sz w:val="22"/>
          <w:szCs w:val="22"/>
          <w:u w:val="single"/>
          <w:shd w:val="clear" w:color="auto" w:fill="00FF00"/>
        </w:rPr>
        <w:t>less incentive to misjudge crisis situations in favor of unwarranted escalation</w:t>
      </w:r>
      <w:r>
        <w:rPr>
          <w:rStyle w:val="normaltextrun"/>
          <w:rFonts w:ascii="Calibri" w:hAnsi="Calibri" w:cs="Calibri"/>
          <w:sz w:val="22"/>
          <w:szCs w:val="22"/>
          <w:u w:val="single"/>
        </w:rPr>
        <w:t>. To the contrary, political </w:t>
      </w:r>
      <w:r>
        <w:rPr>
          <w:rStyle w:val="normaltextrun"/>
          <w:rFonts w:ascii="Calibri" w:hAnsi="Calibri" w:cs="Calibri"/>
          <w:sz w:val="22"/>
          <w:szCs w:val="22"/>
          <w:u w:val="single"/>
          <w:shd w:val="clear" w:color="auto" w:fill="00FF00"/>
        </w:rPr>
        <w:t>leaders</w:t>
      </w:r>
      <w:r>
        <w:rPr>
          <w:rStyle w:val="normaltextrun"/>
          <w:rFonts w:ascii="Calibri" w:hAnsi="Calibri" w:cs="Calibri"/>
          <w:sz w:val="22"/>
          <w:szCs w:val="22"/>
          <w:u w:val="single"/>
        </w:rPr>
        <w:t> and bureaucracies currently face a strong incentive to </w:t>
      </w:r>
      <w:r>
        <w:rPr>
          <w:rStyle w:val="normaltextrun"/>
          <w:rFonts w:ascii="Calibri" w:hAnsi="Calibri" w:cs="Calibri"/>
          <w:sz w:val="22"/>
          <w:szCs w:val="22"/>
          <w:u w:val="single"/>
          <w:shd w:val="clear" w:color="auto" w:fill="00FF00"/>
        </w:rPr>
        <w:t>find ways of defusing crises in a manner that avoids unwanted escalation</w:t>
      </w:r>
      <w:r>
        <w:rPr>
          <w:rStyle w:val="normaltextrun"/>
          <w:rFonts w:ascii="Calibri" w:hAnsi="Calibri" w:cs="Calibri"/>
          <w:sz w:val="22"/>
          <w:szCs w:val="22"/>
          <w:u w:val="single"/>
        </w:rPr>
        <w:t>. This inclination manifested itself in </w:t>
      </w:r>
      <w:hyperlink r:id="rId15" w:tgtFrame="_blank" w:history="1">
        <w:r>
          <w:rPr>
            <w:rStyle w:val="normaltextrun"/>
            <w:rFonts w:ascii="Calibri" w:hAnsi="Calibri" w:cs="Calibri"/>
            <w:color w:val="0563C1"/>
            <w:sz w:val="22"/>
            <w:szCs w:val="22"/>
            <w:u w:val="single"/>
          </w:rPr>
          <w:t>the EP-3 airplane collision off Hainan Island</w:t>
        </w:r>
      </w:hyperlink>
      <w:r>
        <w:rPr>
          <w:rStyle w:val="normaltextrun"/>
          <w:rFonts w:ascii="Calibri" w:hAnsi="Calibri" w:cs="Calibri"/>
          <w:sz w:val="22"/>
          <w:szCs w:val="22"/>
          <w:u w:val="single"/>
        </w:rPr>
        <w:t> in 2001, and in subsequent incidents involving U.S. and Chinese ships and aircraft, such as the harassment of the USNS Impeccable in 2009</w:t>
      </w:r>
      <w:r>
        <w:rPr>
          <w:rStyle w:val="normaltextrun"/>
          <w:rFonts w:ascii="Calibri" w:hAnsi="Calibri" w:cs="Calibri"/>
          <w:sz w:val="16"/>
          <w:szCs w:val="16"/>
        </w:rPr>
        <w:t>. This does not mean that there is no risk, however. Indeed, the potential for a dangerous militarized crisis may be growing. Moreover, key political and geostrategic developments could shift the incentives for leaders in favor of more escalatory options in a crisis and thereby make Allison's scenarios more plausible. Past precedents offer some insight into the types of developments that would most likely propel the U.S.-China relationship into a hostile, competitive one featuring an elevated risk of conflict....</w:t>
      </w:r>
      <w:r>
        <w:rPr>
          <w:rStyle w:val="eop"/>
          <w:rFonts w:ascii="Calibri" w:hAnsi="Calibri" w:cs="Calibri"/>
          <w:sz w:val="16"/>
          <w:szCs w:val="16"/>
        </w:rPr>
        <w:t> </w:t>
      </w:r>
    </w:p>
    <w:p w14:paraId="2ABF3E03" w14:textId="77777777" w:rsidR="00B65390" w:rsidRDefault="00B65390" w:rsidP="007B3ECD">
      <w:pPr>
        <w:pStyle w:val="paragraph"/>
        <w:spacing w:before="0" w:beforeAutospacing="0" w:after="0" w:afterAutospacing="0"/>
        <w:textAlignment w:val="baseline"/>
        <w:rPr>
          <w:rStyle w:val="eop"/>
          <w:rFonts w:ascii="Calibri" w:hAnsi="Calibri" w:cs="Calibri"/>
          <w:sz w:val="16"/>
          <w:szCs w:val="16"/>
        </w:rPr>
      </w:pPr>
    </w:p>
    <w:p w14:paraId="6723CCEA" w14:textId="77777777" w:rsidR="00B65390" w:rsidRDefault="00B65390" w:rsidP="007B3ECD">
      <w:pPr>
        <w:pStyle w:val="paragraph"/>
        <w:spacing w:before="0" w:beforeAutospacing="0" w:after="0" w:afterAutospacing="0"/>
        <w:textAlignment w:val="baseline"/>
        <w:rPr>
          <w:rFonts w:ascii="Segoe UI" w:hAnsi="Segoe UI" w:cs="Segoe UI"/>
          <w:sz w:val="18"/>
          <w:szCs w:val="18"/>
        </w:rPr>
      </w:pPr>
    </w:p>
    <w:p w14:paraId="67DD3B1A" w14:textId="2D313628" w:rsidR="003D2386" w:rsidRDefault="003D2386" w:rsidP="004B1045">
      <w:pPr>
        <w:pStyle w:val="paragraph"/>
        <w:spacing w:before="0" w:beforeAutospacing="0" w:after="0" w:afterAutospacing="0"/>
        <w:textAlignment w:val="baseline"/>
        <w:rPr>
          <w:rStyle w:val="eop"/>
          <w:rFonts w:ascii="Calibri" w:hAnsi="Calibri" w:cs="Calibri"/>
          <w:szCs w:val="22"/>
        </w:rPr>
      </w:pPr>
    </w:p>
    <w:p w14:paraId="52AE03EC" w14:textId="30999F65" w:rsidR="003D2386" w:rsidRPr="004A02F9" w:rsidRDefault="003D2386" w:rsidP="003D2386">
      <w:pPr>
        <w:pStyle w:val="Heading4"/>
        <w:rPr>
          <w:rFonts w:asciiTheme="minorHAnsi" w:hAnsiTheme="minorHAnsi" w:cstheme="minorHAnsi"/>
        </w:rPr>
      </w:pPr>
      <w:r w:rsidRPr="004A02F9">
        <w:rPr>
          <w:rFonts w:asciiTheme="minorHAnsi" w:hAnsiTheme="minorHAnsi" w:cstheme="minorHAnsi"/>
        </w:rPr>
        <w:t>Private ownership rights are key to effective space development that sustains multinational coalitions</w:t>
      </w:r>
    </w:p>
    <w:p w14:paraId="78D95996" w14:textId="77777777" w:rsidR="003D2386" w:rsidRPr="004A02F9" w:rsidRDefault="003D2386" w:rsidP="003D2386">
      <w:pPr>
        <w:rPr>
          <w:rFonts w:asciiTheme="minorHAnsi" w:hAnsiTheme="minorHAnsi" w:cstheme="minorHAnsi"/>
        </w:rPr>
      </w:pPr>
      <w:r w:rsidRPr="00B565C4">
        <w:rPr>
          <w:rStyle w:val="Style13ptBold"/>
        </w:rPr>
        <w:t>Brooks 20</w:t>
      </w:r>
      <w:r>
        <w:rPr>
          <w:rFonts w:asciiTheme="minorHAnsi" w:hAnsiTheme="minorHAnsi" w:cstheme="minorHAnsi"/>
        </w:rPr>
        <w:t xml:space="preserve"> (</w:t>
      </w:r>
      <w:r w:rsidRPr="004A02F9">
        <w:rPr>
          <w:rFonts w:asciiTheme="minorHAnsi" w:hAnsiTheme="minorHAnsi" w:cstheme="minorHAnsi"/>
        </w:rPr>
        <w:t xml:space="preserve">Brooks, Andrew. “The Artemis Accords: The Necessary Incentive </w:t>
      </w:r>
      <w:proofErr w:type="gramStart"/>
      <w:r w:rsidRPr="004A02F9">
        <w:rPr>
          <w:rFonts w:asciiTheme="minorHAnsi" w:hAnsiTheme="minorHAnsi" w:cstheme="minorHAnsi"/>
        </w:rPr>
        <w:t>Of</w:t>
      </w:r>
      <w:proofErr w:type="gramEnd"/>
      <w:r w:rsidRPr="004A02F9">
        <w:rPr>
          <w:rFonts w:asciiTheme="minorHAnsi" w:hAnsiTheme="minorHAnsi" w:cstheme="minorHAnsi"/>
        </w:rPr>
        <w:t xml:space="preserve"> Space Extraction Rights.”</w:t>
      </w:r>
      <w:r>
        <w:rPr>
          <w:rFonts w:asciiTheme="minorHAnsi" w:hAnsiTheme="minorHAnsi" w:cstheme="minorHAnsi"/>
        </w:rPr>
        <w:t xml:space="preserve"> </w:t>
      </w:r>
      <w:r w:rsidRPr="004A02F9">
        <w:rPr>
          <w:rFonts w:asciiTheme="minorHAnsi" w:hAnsiTheme="minorHAnsi" w:cstheme="minorHAnsi"/>
        </w:rPr>
        <w:t>Columbia Journal of Transnational Law. November 09, 2020. Web. December 11, 2021.</w:t>
      </w:r>
      <w:r>
        <w:rPr>
          <w:rFonts w:asciiTheme="minorHAnsi" w:hAnsiTheme="minorHAnsi" w:cstheme="minorHAnsi"/>
        </w:rPr>
        <w:t xml:space="preserve"> </w:t>
      </w:r>
      <w:r w:rsidRPr="004A02F9">
        <w:rPr>
          <w:rFonts w:asciiTheme="minorHAnsi" w:hAnsiTheme="minorHAnsi" w:cstheme="minorHAnsi"/>
        </w:rPr>
        <w:t>&lt;https://www.jtl.columbia.edu/bulletin-blog/the-artemis-accords-the-necessary-incentive-of-space-extraction-rights&gt;.</w:t>
      </w:r>
      <w:r>
        <w:rPr>
          <w:rFonts w:asciiTheme="minorHAnsi" w:hAnsiTheme="minorHAnsi" w:cstheme="minorHAnsi"/>
        </w:rPr>
        <w:t>) SJ</w:t>
      </w:r>
    </w:p>
    <w:p w14:paraId="454EBC10" w14:textId="77777777" w:rsidR="003D2386" w:rsidRPr="00E6404F" w:rsidRDefault="003D2386" w:rsidP="003D2386">
      <w:pPr>
        <w:rPr>
          <w:rFonts w:asciiTheme="minorHAnsi" w:hAnsiTheme="minorHAnsi" w:cstheme="minorHAnsi"/>
          <w:sz w:val="16"/>
        </w:rPr>
      </w:pPr>
      <w:r w:rsidRPr="00E6404F">
        <w:rPr>
          <w:rFonts w:asciiTheme="minorHAnsi" w:hAnsiTheme="minorHAnsi" w:cstheme="minorHAnsi"/>
          <w:sz w:val="16"/>
        </w:rPr>
        <w:t xml:space="preserve">The history of innovation is replete with government incentives for private development. Some incentives took the form of cash prizes, </w:t>
      </w:r>
      <w:proofErr w:type="gramStart"/>
      <w:r w:rsidRPr="00E6404F">
        <w:rPr>
          <w:rFonts w:asciiTheme="minorHAnsi" w:hAnsiTheme="minorHAnsi" w:cstheme="minorHAnsi"/>
          <w:sz w:val="16"/>
        </w:rPr>
        <w:t>similar to</w:t>
      </w:r>
      <w:proofErr w:type="gramEnd"/>
      <w:r w:rsidRPr="00E6404F">
        <w:rPr>
          <w:rFonts w:asciiTheme="minorHAnsi" w:hAnsiTheme="minorHAnsi" w:cstheme="minorHAnsi"/>
          <w:sz w:val="16"/>
        </w:rPr>
        <w:t xml:space="preserve"> the above-mentioned programs operated by the U.S. government. For example, the British famously offered a cash prize to the first person who would develop a method for determining the longitude of ships at sea, and Napoleon offered a prize for food preservation which led to the invention of canning. </w:t>
      </w:r>
      <w:r w:rsidRPr="00E6404F">
        <w:rPr>
          <w:rFonts w:asciiTheme="minorHAnsi" w:hAnsiTheme="minorHAnsi" w:cstheme="minorHAnsi"/>
          <w:u w:val="single"/>
        </w:rPr>
        <w:t xml:space="preserve">The other type of incentive, which </w:t>
      </w:r>
      <w:r w:rsidRPr="00E6404F">
        <w:rPr>
          <w:rFonts w:asciiTheme="minorHAnsi" w:hAnsiTheme="minorHAnsi" w:cstheme="minorHAnsi"/>
          <w:highlight w:val="green"/>
          <w:u w:val="single"/>
        </w:rPr>
        <w:t>the Artemis Accords recognize and create in the space field</w:t>
      </w:r>
      <w:r w:rsidRPr="00E6404F">
        <w:rPr>
          <w:rFonts w:asciiTheme="minorHAnsi" w:hAnsiTheme="minorHAnsi" w:cstheme="minorHAnsi"/>
          <w:u w:val="single"/>
        </w:rPr>
        <w:t xml:space="preserve"> for the first time</w:t>
      </w:r>
      <w:r w:rsidRPr="00E6404F">
        <w:rPr>
          <w:rFonts w:asciiTheme="minorHAnsi" w:hAnsiTheme="minorHAnsi" w:cstheme="minorHAnsi"/>
          <w:highlight w:val="green"/>
          <w:u w:val="single"/>
        </w:rPr>
        <w:t>, is</w:t>
      </w:r>
      <w:r w:rsidRPr="00E6404F">
        <w:rPr>
          <w:rFonts w:asciiTheme="minorHAnsi" w:hAnsiTheme="minorHAnsi" w:cstheme="minorHAnsi"/>
          <w:u w:val="single"/>
        </w:rPr>
        <w:t xml:space="preserve"> </w:t>
      </w:r>
      <w:r w:rsidRPr="00E6404F">
        <w:rPr>
          <w:rFonts w:asciiTheme="minorHAnsi" w:hAnsiTheme="minorHAnsi" w:cstheme="minorHAnsi"/>
          <w:highlight w:val="green"/>
          <w:u w:val="single"/>
        </w:rPr>
        <w:t>ownership rights</w:t>
      </w:r>
      <w:r w:rsidRPr="00E6404F">
        <w:rPr>
          <w:rFonts w:asciiTheme="minorHAnsi" w:hAnsiTheme="minorHAnsi" w:cstheme="minorHAnsi"/>
          <w:u w:val="single"/>
        </w:rPr>
        <w:t>.</w:t>
      </w:r>
      <w:r w:rsidRPr="00E6404F">
        <w:rPr>
          <w:rFonts w:asciiTheme="minorHAnsi" w:hAnsiTheme="minorHAnsi" w:cstheme="minorHAnsi"/>
          <w:sz w:val="16"/>
        </w:rPr>
        <w:t xml:space="preserve"> As Alan Wasser—one of the foremost theorists of space property rights— phrases it: the “right to claim newly settled property has always provided the economic incentive for human expansion.” This held true historically during the Age of Discovery, when joint-stock chartered companies raised massive amounts of capital, funding European exploration and settlement. </w:t>
      </w:r>
      <w:r w:rsidRPr="00E6404F">
        <w:rPr>
          <w:rFonts w:asciiTheme="minorHAnsi" w:hAnsiTheme="minorHAnsi" w:cstheme="minorHAnsi"/>
          <w:u w:val="single"/>
        </w:rPr>
        <w:t xml:space="preserve">It also holds true in the modern age, with the patent and copyright systems protecting the owner’s ability to profit from their investment. There is no reason </w:t>
      </w:r>
      <w:proofErr w:type="spellStart"/>
      <w:r w:rsidRPr="00E6404F">
        <w:rPr>
          <w:rFonts w:asciiTheme="minorHAnsi" w:hAnsiTheme="minorHAnsi" w:cstheme="minorHAnsi"/>
          <w:u w:val="single"/>
        </w:rPr>
        <w:t>then</w:t>
      </w:r>
      <w:proofErr w:type="spellEnd"/>
      <w:r w:rsidRPr="00E6404F">
        <w:rPr>
          <w:rFonts w:asciiTheme="minorHAnsi" w:hAnsiTheme="minorHAnsi" w:cstheme="minorHAnsi"/>
          <w:u w:val="single"/>
        </w:rPr>
        <w:t xml:space="preserve"> to assume that ownership rights will provide any lesser incentive for future space development.</w:t>
      </w:r>
      <w:r w:rsidRPr="00E6404F">
        <w:rPr>
          <w:rFonts w:asciiTheme="minorHAnsi" w:hAnsiTheme="minorHAnsi" w:cstheme="minorHAnsi"/>
          <w:sz w:val="16"/>
        </w:rPr>
        <w:t xml:space="preserve"> Despite what critics claim, ownership rights are not a proxy for “national dominance.” Such rights do not displace “multilateral international cooperation.” </w:t>
      </w:r>
      <w:r w:rsidRPr="00E6404F">
        <w:rPr>
          <w:rFonts w:asciiTheme="minorHAnsi" w:hAnsiTheme="minorHAnsi" w:cstheme="minorHAnsi"/>
          <w:u w:val="single"/>
        </w:rPr>
        <w:t>To the contrary</w:t>
      </w:r>
      <w:r w:rsidRPr="00E6404F">
        <w:rPr>
          <w:rFonts w:asciiTheme="minorHAnsi" w:hAnsiTheme="minorHAnsi" w:cstheme="minorHAnsi"/>
          <w:highlight w:val="green"/>
          <w:u w:val="single"/>
        </w:rPr>
        <w:t>, the emergence of private ownership in space will invariably benefit the sort of multinational coalitions best able to fund the enormous amounts of investment needed to reap any benefit.</w:t>
      </w:r>
      <w:r w:rsidRPr="00E6404F">
        <w:rPr>
          <w:rFonts w:asciiTheme="minorHAnsi" w:hAnsiTheme="minorHAnsi" w:cstheme="minorHAnsi"/>
          <w:sz w:val="16"/>
        </w:rPr>
        <w:t xml:space="preserve"> It is true that there will invariably be competition between private enterprises and partnerships; this is unavoidable given the economic stakes. But this competition is unlikely to be violent. The nation-state signatories of the Accords not only agreed to remain compliant with past agreements and their prohibitions on the militarization of space, but further agreed to “make the scientific results obtained from cooperative activities under these Accords available to the public and the international scientific community.” The Artemis Accords recognize the economic benefits that will flow from space exploration and development. However, unlike the ill-fated 1979 Moon Treaty, they also harness human nature and the incentives that history has shown lead to results. Through recognizing the existence of property rights in space, the Accords provide the framework to protect investment in the space field and give investors the hope that perhaps they themselves will be the world’s first trillionaires.</w:t>
      </w:r>
    </w:p>
    <w:p w14:paraId="7891934B" w14:textId="77777777" w:rsidR="003D2386" w:rsidRPr="004A02F9" w:rsidRDefault="003D2386" w:rsidP="003D2386">
      <w:pPr>
        <w:rPr>
          <w:rFonts w:asciiTheme="minorHAnsi" w:hAnsiTheme="minorHAnsi" w:cstheme="minorHAnsi"/>
        </w:rPr>
      </w:pPr>
    </w:p>
    <w:p w14:paraId="53F75613" w14:textId="77777777" w:rsidR="003D2386" w:rsidRDefault="003D2386" w:rsidP="004B1045">
      <w:pPr>
        <w:pStyle w:val="paragraph"/>
        <w:spacing w:before="0" w:beforeAutospacing="0" w:after="0" w:afterAutospacing="0"/>
        <w:textAlignment w:val="baseline"/>
        <w:rPr>
          <w:rFonts w:ascii="Segoe UI" w:hAnsi="Segoe UI" w:cs="Segoe UI"/>
          <w:sz w:val="18"/>
          <w:szCs w:val="18"/>
        </w:rPr>
      </w:pPr>
    </w:p>
    <w:p w14:paraId="5ACBCC74" w14:textId="6C86773D" w:rsidR="007B3ECD" w:rsidRDefault="007B3ECD" w:rsidP="007B3ECD">
      <w:pPr>
        <w:pStyle w:val="paragraph"/>
        <w:spacing w:before="0" w:beforeAutospacing="0" w:after="0" w:afterAutospacing="0"/>
        <w:textAlignment w:val="baseline"/>
        <w:rPr>
          <w:rFonts w:ascii="Segoe UI" w:hAnsi="Segoe UI" w:cs="Segoe UI"/>
          <w:sz w:val="18"/>
          <w:szCs w:val="18"/>
        </w:rPr>
      </w:pPr>
    </w:p>
    <w:p w14:paraId="1844D1BE" w14:textId="2928E206" w:rsidR="002A3618" w:rsidRDefault="00F70D0A" w:rsidP="00F70D0A">
      <w:pPr>
        <w:pStyle w:val="Heading3"/>
      </w:pPr>
      <w:r>
        <w:t>Adv 2</w:t>
      </w:r>
    </w:p>
    <w:p w14:paraId="3629561A" w14:textId="5A6D2B74" w:rsidR="00A76799" w:rsidRPr="00BB060D" w:rsidRDefault="00A76799" w:rsidP="00A76799">
      <w:pPr>
        <w:pStyle w:val="Heading4"/>
        <w:rPr>
          <w:rFonts w:asciiTheme="minorHAnsi" w:hAnsiTheme="minorHAnsi" w:cstheme="minorHAnsi"/>
        </w:rPr>
      </w:pPr>
      <w:r w:rsidRPr="00BB060D">
        <w:rPr>
          <w:rFonts w:asciiTheme="minorHAnsi" w:hAnsiTheme="minorHAnsi" w:cstheme="minorHAnsi"/>
        </w:rPr>
        <w:t>Space based mining is not likely to be cost effective due to costs involved in the process</w:t>
      </w:r>
      <w:r>
        <w:rPr>
          <w:rFonts w:asciiTheme="minorHAnsi" w:hAnsiTheme="minorHAnsi" w:cstheme="minorHAnsi"/>
        </w:rPr>
        <w:t xml:space="preserve"> </w:t>
      </w:r>
    </w:p>
    <w:p w14:paraId="6AD8E36F" w14:textId="77777777" w:rsidR="00A76799" w:rsidRDefault="00A76799" w:rsidP="00A76799">
      <w:pPr>
        <w:rPr>
          <w:rFonts w:asciiTheme="minorHAnsi" w:hAnsiTheme="minorHAnsi" w:cstheme="minorHAnsi"/>
        </w:rPr>
      </w:pPr>
      <w:proofErr w:type="spellStart"/>
      <w:r w:rsidRPr="00BB060D">
        <w:rPr>
          <w:rStyle w:val="Style13ptBold"/>
          <w:rFonts w:asciiTheme="minorHAnsi" w:hAnsiTheme="minorHAnsi" w:cstheme="minorHAnsi"/>
        </w:rPr>
        <w:t>Dorminev</w:t>
      </w:r>
      <w:proofErr w:type="spellEnd"/>
      <w:r w:rsidRPr="00BB060D">
        <w:rPr>
          <w:rStyle w:val="Style13ptBold"/>
          <w:rFonts w:asciiTheme="minorHAnsi" w:hAnsiTheme="minorHAnsi" w:cstheme="minorHAnsi"/>
        </w:rPr>
        <w:t xml:space="preserve"> 21</w:t>
      </w:r>
      <w:r w:rsidRPr="00BB060D">
        <w:rPr>
          <w:rFonts w:asciiTheme="minorHAnsi" w:hAnsiTheme="minorHAnsi" w:cstheme="minorHAnsi"/>
        </w:rPr>
        <w:t xml:space="preserve"> (</w:t>
      </w:r>
      <w:proofErr w:type="spellStart"/>
      <w:r w:rsidRPr="00BB060D">
        <w:rPr>
          <w:rFonts w:asciiTheme="minorHAnsi" w:hAnsiTheme="minorHAnsi" w:cstheme="minorHAnsi"/>
        </w:rPr>
        <w:t>Dorminev</w:t>
      </w:r>
      <w:proofErr w:type="spellEnd"/>
      <w:r w:rsidRPr="00BB060D">
        <w:rPr>
          <w:rFonts w:asciiTheme="minorHAnsi" w:hAnsiTheme="minorHAnsi" w:cstheme="minorHAnsi"/>
        </w:rPr>
        <w:t xml:space="preserve">, Bruce. “Does Commercial Asteroid Mining Still Have A </w:t>
      </w:r>
      <w:proofErr w:type="gramStart"/>
      <w:r w:rsidRPr="00BB060D">
        <w:rPr>
          <w:rFonts w:asciiTheme="minorHAnsi" w:hAnsiTheme="minorHAnsi" w:cstheme="minorHAnsi"/>
        </w:rPr>
        <w:t>Future?.</w:t>
      </w:r>
      <w:proofErr w:type="gramEnd"/>
      <w:r w:rsidRPr="00BB060D">
        <w:rPr>
          <w:rFonts w:asciiTheme="minorHAnsi" w:hAnsiTheme="minorHAnsi" w:cstheme="minorHAnsi"/>
        </w:rPr>
        <w:t>” Forbes. August 31, 2021. Web. December 13, 2021. &lt;https://www.forbes.com/sites/brucedorminey/2021/08/31/does-commercial-asteroid-mining-still-have-a-future/?sh=17c18fef1a93&gt;.)</w:t>
      </w:r>
      <w:r>
        <w:rPr>
          <w:rFonts w:asciiTheme="minorHAnsi" w:hAnsiTheme="minorHAnsi" w:cstheme="minorHAnsi"/>
        </w:rPr>
        <w:t xml:space="preserve"> SJ</w:t>
      </w:r>
    </w:p>
    <w:p w14:paraId="1D99F7D0" w14:textId="77777777" w:rsidR="00A76799" w:rsidRPr="007D72D5" w:rsidRDefault="00A76799" w:rsidP="00A76799">
      <w:pPr>
        <w:rPr>
          <w:u w:val="single"/>
        </w:rPr>
      </w:pPr>
      <w:proofErr w:type="spellStart"/>
      <w:r w:rsidRPr="007D72D5">
        <w:rPr>
          <w:u w:val="single"/>
        </w:rPr>
        <w:t>Kargel</w:t>
      </w:r>
      <w:proofErr w:type="spellEnd"/>
      <w:r w:rsidRPr="007D72D5">
        <w:rPr>
          <w:u w:val="single"/>
        </w:rPr>
        <w:t xml:space="preserve"> says note only will </w:t>
      </w:r>
      <w:r w:rsidRPr="007D72D5">
        <w:rPr>
          <w:highlight w:val="green"/>
          <w:u w:val="single"/>
        </w:rPr>
        <w:t>asteroid mining require additional new advances in both spacecraft technology and launch capability,</w:t>
      </w:r>
      <w:r w:rsidRPr="007D72D5">
        <w:rPr>
          <w:u w:val="single"/>
        </w:rPr>
        <w:t xml:space="preserve"> it will need someone with deep pockets to fund serious space-mining development in a way that enables them to absorb losses of billions of dollars year after year until the technology and mining operations can be scaled up to be profitable.</w:t>
      </w:r>
      <w:r>
        <w:rPr>
          <w:u w:val="single"/>
        </w:rPr>
        <w:t xml:space="preserve"> </w:t>
      </w:r>
      <w:r w:rsidRPr="00E4434A">
        <w:t xml:space="preserve">Then unless the metals mined from the asteroids are only used for </w:t>
      </w:r>
      <w:proofErr w:type="spellStart"/>
      <w:r w:rsidRPr="00E4434A">
        <w:t>offworld</w:t>
      </w:r>
      <w:proofErr w:type="spellEnd"/>
      <w:r w:rsidRPr="00E4434A">
        <w:t xml:space="preserve"> construction and resources, there’s a potential problem with the economics of importing innumerable quantities of PGMs back to Earth.</w:t>
      </w:r>
      <w:r>
        <w:rPr>
          <w:u w:val="single"/>
        </w:rPr>
        <w:t xml:space="preserve"> </w:t>
      </w:r>
      <w:r w:rsidRPr="00E4434A">
        <w:t>Paradoxically, what was extraordinarily precious may become extraordinarily cheap. While that may lead to new ingenious and more economical uses of PGMs on earth, it would probably make a space-mining operation’s balance sheet insolvent.</w:t>
      </w:r>
      <w:r>
        <w:rPr>
          <w:u w:val="single"/>
        </w:rPr>
        <w:t xml:space="preserve"> </w:t>
      </w:r>
      <w:r w:rsidRPr="00BB060D">
        <w:rPr>
          <w:rFonts w:asciiTheme="minorHAnsi" w:hAnsiTheme="minorHAnsi" w:cstheme="minorHAnsi"/>
          <w:sz w:val="16"/>
        </w:rPr>
        <w:t xml:space="preserve">Paradoxically, what was extraordinarily precious may become extraordinarily cheap. </w:t>
      </w:r>
      <w:r w:rsidRPr="00BB060D">
        <w:rPr>
          <w:rFonts w:asciiTheme="minorHAnsi" w:hAnsiTheme="minorHAnsi" w:cstheme="minorHAnsi"/>
          <w:u w:val="single"/>
        </w:rPr>
        <w:t xml:space="preserve">While that may lead to new ingenious and more economical uses of PGMs on earth, it would probably make a space-mining operation’s balance sheet insolvent. If the PGM price per troy ounce is driven down on earth due to this new cornucopia of asteroid metals, says </w:t>
      </w:r>
      <w:proofErr w:type="spellStart"/>
      <w:r w:rsidRPr="00BB060D">
        <w:rPr>
          <w:rFonts w:asciiTheme="minorHAnsi" w:hAnsiTheme="minorHAnsi" w:cstheme="minorHAnsi"/>
          <w:u w:val="single"/>
        </w:rPr>
        <w:t>Kargel</w:t>
      </w:r>
      <w:proofErr w:type="spellEnd"/>
      <w:r w:rsidRPr="00BB060D">
        <w:rPr>
          <w:rFonts w:asciiTheme="minorHAnsi" w:hAnsiTheme="minorHAnsi" w:cstheme="minorHAnsi"/>
          <w:u w:val="single"/>
        </w:rPr>
        <w:t xml:space="preserve">, </w:t>
      </w:r>
      <w:r w:rsidRPr="00BB060D">
        <w:rPr>
          <w:rFonts w:asciiTheme="minorHAnsi" w:hAnsiTheme="minorHAnsi" w:cstheme="minorHAnsi"/>
          <w:highlight w:val="green"/>
          <w:u w:val="single"/>
        </w:rPr>
        <w:t>prices for space metals would be driven down to such an extent that launch and space operational costs would again make space-mining untenable.</w:t>
      </w:r>
      <w:r w:rsidRPr="00BB060D">
        <w:rPr>
          <w:rFonts w:asciiTheme="minorHAnsi" w:hAnsiTheme="minorHAnsi" w:cstheme="minorHAnsi"/>
          <w:u w:val="single"/>
        </w:rPr>
        <w:t xml:space="preserve"> </w:t>
      </w:r>
      <w:r w:rsidRPr="00BB060D">
        <w:rPr>
          <w:rFonts w:asciiTheme="minorHAnsi" w:hAnsiTheme="minorHAnsi" w:cstheme="minorHAnsi"/>
          <w:sz w:val="16"/>
        </w:rPr>
        <w:t xml:space="preserve">“That to me is a conundrum,” said </w:t>
      </w:r>
      <w:proofErr w:type="spellStart"/>
      <w:r w:rsidRPr="00BB060D">
        <w:rPr>
          <w:rFonts w:asciiTheme="minorHAnsi" w:hAnsiTheme="minorHAnsi" w:cstheme="minorHAnsi"/>
          <w:sz w:val="16"/>
        </w:rPr>
        <w:t>Kargel</w:t>
      </w:r>
      <w:proofErr w:type="spellEnd"/>
      <w:r w:rsidRPr="00BB060D">
        <w:rPr>
          <w:rFonts w:asciiTheme="minorHAnsi" w:hAnsiTheme="minorHAnsi" w:cstheme="minorHAnsi"/>
          <w:sz w:val="16"/>
        </w:rPr>
        <w:t xml:space="preserve">. </w:t>
      </w:r>
    </w:p>
    <w:p w14:paraId="36C49BFD" w14:textId="77777777" w:rsidR="00A76799" w:rsidRPr="00BB060D" w:rsidRDefault="00A76799" w:rsidP="00A76799">
      <w:pPr>
        <w:rPr>
          <w:rFonts w:asciiTheme="minorHAnsi" w:hAnsiTheme="minorHAnsi" w:cstheme="minorHAnsi"/>
        </w:rPr>
      </w:pPr>
    </w:p>
    <w:p w14:paraId="3722293D" w14:textId="77777777" w:rsidR="00595365" w:rsidRDefault="00595365" w:rsidP="00595365">
      <w:pPr>
        <w:pStyle w:val="Heading4"/>
      </w:pPr>
      <w:r>
        <w:t>Asteroid mining solves emissions from terrestrial platinum mining---independently solves warming.</w:t>
      </w:r>
    </w:p>
    <w:p w14:paraId="3494D703" w14:textId="77777777" w:rsidR="00595365" w:rsidRDefault="00595365" w:rsidP="00595365">
      <w:r w:rsidRPr="00071E8D">
        <w:rPr>
          <w:rStyle w:val="Style13ptBold"/>
        </w:rPr>
        <w:t>MIT Review 18</w:t>
      </w:r>
      <w:r>
        <w:t xml:space="preserve"> Emerging Technology [Our mission is to bring about better-informed and more conscious decisions about technology through authoritative, influential, and trustworthy journalism.], 10-19-2018, "Asteroid mining might actually be better for the environment," MIT Technology Review, </w:t>
      </w:r>
      <w:hyperlink r:id="rId16" w:history="1">
        <w:r w:rsidRPr="0048443E">
          <w:rPr>
            <w:rStyle w:val="Hyperlink"/>
          </w:rPr>
          <w:t>https://www.technologyreview.com/2018/10/19/139664/asteroid-mining-might-actually-be-better-for-the-environment/</w:t>
        </w:r>
      </w:hyperlink>
      <w:r>
        <w:t xml:space="preserve"> // </w:t>
      </w:r>
      <w:proofErr w:type="spellStart"/>
      <w:r>
        <w:t>ella</w:t>
      </w:r>
      <w:proofErr w:type="spellEnd"/>
    </w:p>
    <w:p w14:paraId="4D095D5D" w14:textId="77777777" w:rsidR="00595365" w:rsidRPr="003B15F6" w:rsidRDefault="00595365" w:rsidP="00595365">
      <w:pPr>
        <w:rPr>
          <w:sz w:val="16"/>
        </w:rPr>
      </w:pPr>
      <w:r w:rsidRPr="00F76B25">
        <w:rPr>
          <w:sz w:val="16"/>
        </w:rPr>
        <w:t xml:space="preserve">For a certain kind of investor, </w:t>
      </w:r>
      <w:r w:rsidRPr="00C03885">
        <w:rPr>
          <w:rStyle w:val="Emphasis"/>
          <w:highlight w:val="green"/>
        </w:rPr>
        <w:t>asteroid mining</w:t>
      </w:r>
      <w:r w:rsidRPr="00BA54D6">
        <w:rPr>
          <w:rStyle w:val="Emphasis"/>
        </w:rPr>
        <w:t xml:space="preserve"> is </w:t>
      </w:r>
      <w:r w:rsidRPr="00C03885">
        <w:rPr>
          <w:rStyle w:val="Emphasis"/>
          <w:highlight w:val="green"/>
        </w:rPr>
        <w:t>a path to untold riches</w:t>
      </w:r>
      <w:r w:rsidRPr="00F76B25">
        <w:rPr>
          <w:sz w:val="16"/>
        </w:rPr>
        <w:t xml:space="preserve">. Astronomers have long known that </w:t>
      </w:r>
      <w:r w:rsidRPr="00BA54D6">
        <w:rPr>
          <w:rStyle w:val="StyleUnderline"/>
        </w:rPr>
        <w:t xml:space="preserve">asteroids are </w:t>
      </w:r>
      <w:r w:rsidRPr="00C03885">
        <w:rPr>
          <w:rStyle w:val="StyleUnderline"/>
          <w:highlight w:val="green"/>
        </w:rPr>
        <w:t>rich in</w:t>
      </w:r>
      <w:r w:rsidRPr="00BA54D6">
        <w:rPr>
          <w:rStyle w:val="StyleUnderline"/>
        </w:rPr>
        <w:t xml:space="preserve"> otherwise </w:t>
      </w:r>
      <w:r w:rsidRPr="00C03885">
        <w:rPr>
          <w:rStyle w:val="StyleUnderline"/>
          <w:highlight w:val="green"/>
        </w:rPr>
        <w:t>scarce resources</w:t>
      </w:r>
      <w:r w:rsidRPr="00BA54D6">
        <w:rPr>
          <w:rStyle w:val="StyleUnderline"/>
        </w:rPr>
        <w:t xml:space="preserve"> such as platinum and water. </w:t>
      </w:r>
      <w:proofErr w:type="gramStart"/>
      <w:r w:rsidRPr="00F76B25">
        <w:rPr>
          <w:sz w:val="16"/>
        </w:rPr>
        <w:t>So</w:t>
      </w:r>
      <w:proofErr w:type="gramEnd"/>
      <w:r w:rsidRPr="00F76B25">
        <w:rPr>
          <w:sz w:val="16"/>
        </w:rPr>
        <w:t xml:space="preserve"> an obvious idea is to </w:t>
      </w:r>
      <w:r w:rsidRPr="00EB3EB8">
        <w:rPr>
          <w:rStyle w:val="StyleUnderline"/>
          <w:highlight w:val="green"/>
        </w:rPr>
        <w:t>mine this</w:t>
      </w:r>
      <w:r w:rsidRPr="00BA54D6">
        <w:rPr>
          <w:rStyle w:val="StyleUnderline"/>
        </w:rPr>
        <w:t xml:space="preserve"> stuff </w:t>
      </w:r>
      <w:r w:rsidRPr="00EB3EB8">
        <w:rPr>
          <w:rStyle w:val="StyleUnderline"/>
          <w:highlight w:val="green"/>
        </w:rPr>
        <w:t xml:space="preserve">and return </w:t>
      </w:r>
      <w:r w:rsidRPr="00B221DC">
        <w:rPr>
          <w:rStyle w:val="StyleUnderline"/>
          <w:highlight w:val="green"/>
        </w:rPr>
        <w:t>it to Earth—or</w:t>
      </w:r>
      <w:r w:rsidRPr="00BA54D6">
        <w:rPr>
          <w:rStyle w:val="StyleUnderline"/>
        </w:rPr>
        <w:t xml:space="preserve">, in the case of water, to a moon base or Earth-orbiting </w:t>
      </w:r>
      <w:r w:rsidRPr="00B221DC">
        <w:rPr>
          <w:rStyle w:val="StyleUnderline"/>
          <w:highlight w:val="green"/>
        </w:rPr>
        <w:t>space station</w:t>
      </w:r>
      <w:r w:rsidRPr="00F76B25">
        <w:rPr>
          <w:sz w:val="16"/>
          <w:highlight w:val="green"/>
        </w:rPr>
        <w:t>.</w:t>
      </w:r>
      <w:r w:rsidRPr="00F76B25">
        <w:rPr>
          <w:sz w:val="16"/>
        </w:rPr>
        <w:t xml:space="preserve"> There is no shortage of interest in these ventures. In the last decade, investors have funded half a dozen companies that have set their sights on various nearby rocks. To many observers, it’s only a matter of time before such a mission gets the green light. But </w:t>
      </w:r>
      <w:r w:rsidRPr="00646B75">
        <w:rPr>
          <w:rStyle w:val="StyleUnderline"/>
        </w:rPr>
        <w:t>profit margins are only part of the picture</w:t>
      </w:r>
      <w:r w:rsidRPr="00F76B25">
        <w:rPr>
          <w:sz w:val="16"/>
        </w:rPr>
        <w:t xml:space="preserve">. A potentially more significant aspect of these missions is the impact they will have on Earth’s environment. But </w:t>
      </w:r>
      <w:r w:rsidRPr="004078ED">
        <w:rPr>
          <w:rStyle w:val="StyleUnderline"/>
        </w:rPr>
        <w:t>nobody has assessed this environmental impact in detail.</w:t>
      </w:r>
      <w:r>
        <w:rPr>
          <w:rStyle w:val="StyleUnderline"/>
        </w:rPr>
        <w:t xml:space="preserve"> </w:t>
      </w:r>
      <w:r w:rsidRPr="00F76B25">
        <w:rPr>
          <w:sz w:val="16"/>
        </w:rPr>
        <w:t>Today, that changes thanks to the work of Andreas Hein and colleagues at the University of Paris-</w:t>
      </w:r>
      <w:proofErr w:type="spellStart"/>
      <w:r w:rsidRPr="00F76B25">
        <w:rPr>
          <w:sz w:val="16"/>
        </w:rPr>
        <w:t>Saclay</w:t>
      </w:r>
      <w:proofErr w:type="spellEnd"/>
      <w:r w:rsidRPr="00F76B25">
        <w:rPr>
          <w:sz w:val="16"/>
        </w:rPr>
        <w:t xml:space="preserve"> in France. </w:t>
      </w:r>
      <w:r w:rsidRPr="00646B75">
        <w:rPr>
          <w:rStyle w:val="StyleUnderline"/>
        </w:rPr>
        <w:t>These guys have calculated the greenhouse-gas emissions from asteroid-mining operations and compared them with the emissions from similar Earth-based activities.</w:t>
      </w:r>
      <w:r w:rsidRPr="00F76B25">
        <w:rPr>
          <w:sz w:val="16"/>
        </w:rPr>
        <w:t xml:space="preserve"> Their results provide some eyebrow-raising insights into the </w:t>
      </w:r>
      <w:r w:rsidRPr="00646B75">
        <w:rPr>
          <w:rStyle w:val="Emphasis"/>
        </w:rPr>
        <w:t>benefits</w:t>
      </w:r>
      <w:r w:rsidRPr="00F76B25">
        <w:rPr>
          <w:sz w:val="16"/>
        </w:rPr>
        <w:t xml:space="preserve"> that </w:t>
      </w:r>
      <w:r w:rsidRPr="00646B75">
        <w:rPr>
          <w:rStyle w:val="Emphasis"/>
        </w:rPr>
        <w:t>asteroid mining</w:t>
      </w:r>
      <w:r w:rsidRPr="00F76B25">
        <w:rPr>
          <w:sz w:val="16"/>
        </w:rPr>
        <w:t xml:space="preserve"> might </w:t>
      </w:r>
      <w:r w:rsidRPr="00646B75">
        <w:rPr>
          <w:rStyle w:val="Emphasis"/>
        </w:rPr>
        <w:t>provide</w:t>
      </w:r>
      <w:r w:rsidRPr="00F76B25">
        <w:rPr>
          <w:sz w:val="16"/>
        </w:rPr>
        <w:t xml:space="preserve">. The </w:t>
      </w:r>
      <w:r w:rsidRPr="00646B75">
        <w:rPr>
          <w:rStyle w:val="StyleUnderline"/>
        </w:rPr>
        <w:t>calculations</w:t>
      </w:r>
      <w:r w:rsidRPr="00F76B25">
        <w:rPr>
          <w:sz w:val="16"/>
        </w:rPr>
        <w:t xml:space="preserve"> are </w:t>
      </w:r>
      <w:r w:rsidRPr="00646B75">
        <w:rPr>
          <w:rStyle w:val="StyleUnderline"/>
        </w:rPr>
        <w:t>relatively straightforward</w:t>
      </w:r>
      <w:r w:rsidRPr="00F76B25">
        <w:rPr>
          <w:sz w:val="16"/>
        </w:rPr>
        <w:t xml:space="preserve">. </w:t>
      </w:r>
      <w:r w:rsidRPr="00646B75">
        <w:rPr>
          <w:rStyle w:val="StyleUnderline"/>
        </w:rPr>
        <w:t>Rocket launches release significant amounts of greenhouse gases into the atmosphere</w:t>
      </w:r>
      <w:r w:rsidRPr="00F76B25">
        <w:rPr>
          <w:sz w:val="16"/>
        </w:rPr>
        <w:t xml:space="preserve">. The </w:t>
      </w:r>
      <w:r w:rsidRPr="00646B75">
        <w:rPr>
          <w:rStyle w:val="StyleUnderline"/>
        </w:rPr>
        <w:t>fuel on board the first stage of a rocket burns in Earth’s atmosphere to form carbon dioxide</w:t>
      </w:r>
      <w:r w:rsidRPr="00F76B25">
        <w:rPr>
          <w:sz w:val="16"/>
        </w:rPr>
        <w:t xml:space="preserve">. </w:t>
      </w:r>
      <w:r w:rsidRPr="00646B75">
        <w:rPr>
          <w:rStyle w:val="StyleUnderline"/>
        </w:rPr>
        <w:t>For kerosene-burning rockets, one kilogram of fuel creates three kilograms of CO2</w:t>
      </w:r>
      <w:r w:rsidRPr="00F76B25">
        <w:rPr>
          <w:sz w:val="16"/>
        </w:rPr>
        <w:t xml:space="preserve">. (The second and third stages operate outside the Earth’s atmosphere and so can be ignored.) </w:t>
      </w:r>
      <w:r w:rsidRPr="00646B75">
        <w:rPr>
          <w:rStyle w:val="StyleUnderline"/>
        </w:rPr>
        <w:t>Reentries are just as damaging</w:t>
      </w:r>
      <w:r w:rsidRPr="00F76B25">
        <w:rPr>
          <w:sz w:val="16"/>
        </w:rPr>
        <w:t xml:space="preserve">.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w:t>
      </w:r>
      <w:r w:rsidRPr="0087451B">
        <w:rPr>
          <w:rStyle w:val="StyleUnderline"/>
        </w:rPr>
        <w:t xml:space="preserve">that </w:t>
      </w:r>
      <w:r w:rsidRPr="00B221DC">
        <w:rPr>
          <w:rStyle w:val="StyleUnderline"/>
          <w:highlight w:val="green"/>
        </w:rPr>
        <w:t>a kilogram of platinum</w:t>
      </w:r>
      <w:r w:rsidRPr="0087451B">
        <w:rPr>
          <w:rStyle w:val="StyleUnderline"/>
        </w:rPr>
        <w:t xml:space="preserve"> mined </w:t>
      </w:r>
      <w:r w:rsidRPr="00B221DC">
        <w:rPr>
          <w:rStyle w:val="StyleUnderline"/>
          <w:highlight w:val="green"/>
        </w:rPr>
        <w:t>from an asteroid</w:t>
      </w:r>
      <w:r w:rsidRPr="0087451B">
        <w:rPr>
          <w:rStyle w:val="StyleUnderline"/>
        </w:rPr>
        <w:t xml:space="preserve"> would </w:t>
      </w:r>
      <w:r w:rsidRPr="00B221DC">
        <w:rPr>
          <w:rStyle w:val="StyleUnderline"/>
          <w:highlight w:val="green"/>
        </w:rPr>
        <w:t>release</w:t>
      </w:r>
      <w:r w:rsidRPr="0087451B">
        <w:rPr>
          <w:rStyle w:val="StyleUnderline"/>
        </w:rPr>
        <w:t xml:space="preserve"> some </w:t>
      </w:r>
      <w:r w:rsidRPr="00B221DC">
        <w:rPr>
          <w:rStyle w:val="StyleUnderline"/>
          <w:highlight w:val="green"/>
        </w:rPr>
        <w:t>150 kilograms of CO2 into Earth</w:t>
      </w:r>
      <w:r w:rsidRPr="0087451B">
        <w:rPr>
          <w:rStyle w:val="StyleUnderline"/>
        </w:rPr>
        <w:t>’s atmosphere</w:t>
      </w:r>
      <w:r w:rsidRPr="00646B75">
        <w:rPr>
          <w:rStyle w:val="Emphasis"/>
        </w:rPr>
        <w:t>.</w:t>
      </w:r>
      <w:r w:rsidRPr="00F76B25">
        <w:rPr>
          <w:sz w:val="16"/>
        </w:rPr>
        <w:t xml:space="preserve"> </w:t>
      </w:r>
      <w:r w:rsidRPr="004C0D8D">
        <w:rPr>
          <w:rStyle w:val="Emphasis"/>
          <w:highlight w:val="green"/>
        </w:rPr>
        <w:t>However</w:t>
      </w:r>
      <w:r w:rsidRPr="00F76B25">
        <w:rPr>
          <w:sz w:val="16"/>
        </w:rPr>
        <w:t xml:space="preserve">, </w:t>
      </w:r>
      <w:r w:rsidRPr="00DC7FF0">
        <w:rPr>
          <w:rStyle w:val="StyleUnderline"/>
        </w:rPr>
        <w:t xml:space="preserve">economies of scale from large </w:t>
      </w:r>
      <w:r w:rsidRPr="00B221DC">
        <w:rPr>
          <w:rStyle w:val="StyleUnderline"/>
          <w:highlight w:val="green"/>
        </w:rPr>
        <w:t>asteroid-mining operations</w:t>
      </w:r>
      <w:r w:rsidRPr="00DC7FF0">
        <w:rPr>
          <w:rStyle w:val="StyleUnderline"/>
        </w:rPr>
        <w:t xml:space="preserve"> could</w:t>
      </w:r>
      <w:r w:rsidRPr="0087451B">
        <w:rPr>
          <w:rStyle w:val="Emphasis"/>
        </w:rPr>
        <w:t xml:space="preserve"> </w:t>
      </w:r>
      <w:r w:rsidRPr="00B221DC">
        <w:rPr>
          <w:rStyle w:val="Emphasis"/>
          <w:highlight w:val="green"/>
        </w:rPr>
        <w:t>lower</w:t>
      </w:r>
      <w:r w:rsidRPr="0087451B">
        <w:rPr>
          <w:rStyle w:val="Emphasis"/>
        </w:rPr>
        <w:t xml:space="preserve"> this </w:t>
      </w:r>
      <w:r w:rsidRPr="00B221DC">
        <w:rPr>
          <w:rStyle w:val="Emphasis"/>
          <w:highlight w:val="green"/>
        </w:rPr>
        <w:t>to</w:t>
      </w:r>
      <w:r w:rsidRPr="0087451B">
        <w:rPr>
          <w:rStyle w:val="Emphasis"/>
        </w:rPr>
        <w:t xml:space="preserve"> about </w:t>
      </w:r>
      <w:r w:rsidRPr="004C0D8D">
        <w:rPr>
          <w:rStyle w:val="Emphasis"/>
          <w:highlight w:val="green"/>
        </w:rPr>
        <w:t>60</w:t>
      </w:r>
      <w:r w:rsidRPr="0087451B">
        <w:rPr>
          <w:rStyle w:val="Emphasis"/>
        </w:rPr>
        <w:t xml:space="preserve"> kilograms of CO2 per kilogram of platinum.</w:t>
      </w:r>
      <w:r>
        <w:rPr>
          <w:rStyle w:val="Emphasis"/>
        </w:rPr>
        <w:t xml:space="preserve"> </w:t>
      </w:r>
      <w:r w:rsidRPr="00F76B25">
        <w:rPr>
          <w:sz w:val="16"/>
        </w:rPr>
        <w:t xml:space="preserve">That needs to be compared with the emission from Earth-based mining. </w:t>
      </w:r>
      <w:r w:rsidRPr="00DC7FF0">
        <w:rPr>
          <w:rStyle w:val="Emphasis"/>
        </w:rPr>
        <w:t>Here, platinum mining generates significant greenhouse gases</w:t>
      </w:r>
      <w:r w:rsidRPr="00F76B25">
        <w:rPr>
          <w:sz w:val="16"/>
        </w:rPr>
        <w:t xml:space="preserve">, </w:t>
      </w:r>
      <w:r w:rsidRPr="00DC7FF0">
        <w:rPr>
          <w:rStyle w:val="StyleUnderline"/>
        </w:rPr>
        <w:t>mostly from the energy it takes to remove this stuff from the ground.</w:t>
      </w:r>
      <w:r>
        <w:rPr>
          <w:rStyle w:val="StyleUnderline"/>
        </w:rPr>
        <w:t xml:space="preserve"> </w:t>
      </w:r>
      <w:r w:rsidRPr="00F76B25">
        <w:rPr>
          <w:sz w:val="16"/>
        </w:rPr>
        <w:t xml:space="preserve">Indeed, the </w:t>
      </w:r>
      <w:r w:rsidRPr="00DC7FF0">
        <w:rPr>
          <w:rStyle w:val="Emphasis"/>
        </w:rPr>
        <w:t>numbers are huge</w:t>
      </w:r>
      <w:r w:rsidRPr="00F76B25">
        <w:rPr>
          <w:sz w:val="16"/>
        </w:rPr>
        <w:t xml:space="preserve">. The </w:t>
      </w:r>
      <w:r w:rsidRPr="00DC7FF0">
        <w:rPr>
          <w:rStyle w:val="StyleUnderline"/>
        </w:rPr>
        <w:t xml:space="preserve">mining industry estimates that producing </w:t>
      </w:r>
      <w:r w:rsidRPr="00F76B25">
        <w:rPr>
          <w:rStyle w:val="Emphasis"/>
          <w:highlight w:val="green"/>
        </w:rPr>
        <w:t>one kilo</w:t>
      </w:r>
      <w:r w:rsidRPr="00DC7FF0">
        <w:rPr>
          <w:rStyle w:val="Emphasis"/>
        </w:rPr>
        <w:t xml:space="preserve">gram of platinum </w:t>
      </w:r>
      <w:r w:rsidRPr="00F76B25">
        <w:rPr>
          <w:rStyle w:val="Emphasis"/>
          <w:highlight w:val="green"/>
        </w:rPr>
        <w:t>on Earth</w:t>
      </w:r>
      <w:r w:rsidRPr="00DC7FF0">
        <w:rPr>
          <w:rStyle w:val="Emphasis"/>
        </w:rPr>
        <w:t xml:space="preserve"> releases around </w:t>
      </w:r>
      <w:r w:rsidRPr="00F76B25">
        <w:rPr>
          <w:rStyle w:val="Emphasis"/>
          <w:highlight w:val="green"/>
        </w:rPr>
        <w:t>40,000</w:t>
      </w:r>
      <w:r w:rsidRPr="00DC7FF0">
        <w:rPr>
          <w:rStyle w:val="Emphasis"/>
        </w:rPr>
        <w:t xml:space="preserve"> kilograms</w:t>
      </w:r>
      <w:r w:rsidRPr="00DC7FF0">
        <w:rPr>
          <w:rStyle w:val="StyleUnderline"/>
        </w:rPr>
        <w:t xml:space="preserve"> of carbon dioxide.</w:t>
      </w:r>
      <w:r w:rsidRPr="00F76B25">
        <w:rPr>
          <w:sz w:val="16"/>
        </w:rPr>
        <w:t xml:space="preserve"> “</w:t>
      </w:r>
      <w:r w:rsidRPr="00DC7FF0">
        <w:rPr>
          <w:rStyle w:val="StyleUnderline"/>
        </w:rPr>
        <w:t xml:space="preserve">The global </w:t>
      </w:r>
      <w:r w:rsidRPr="00F76B25">
        <w:rPr>
          <w:rStyle w:val="StyleUnderline"/>
          <w:highlight w:val="green"/>
        </w:rPr>
        <w:t>warming effect of Earth-based mining</w:t>
      </w:r>
      <w:r w:rsidRPr="00DC7FF0">
        <w:rPr>
          <w:rStyle w:val="StyleUnderline"/>
        </w:rPr>
        <w:t xml:space="preserve"> is </w:t>
      </w:r>
      <w:r w:rsidRPr="00F76B25">
        <w:rPr>
          <w:rStyle w:val="Emphasis"/>
          <w:highlight w:val="green"/>
        </w:rPr>
        <w:t>several orders of magnitude larger,”</w:t>
      </w:r>
      <w:r w:rsidRPr="00F76B25">
        <w:rPr>
          <w:sz w:val="16"/>
        </w:rPr>
        <w:t xml:space="preserve"> say Hein and co. The </w:t>
      </w:r>
      <w:r w:rsidRPr="00EF36B1">
        <w:rPr>
          <w:rStyle w:val="StyleUnderline"/>
        </w:rPr>
        <w:t>figures for water are also encouraging</w:t>
      </w:r>
      <w:r w:rsidRPr="00F76B25">
        <w:rPr>
          <w:sz w:val="16"/>
        </w:rPr>
        <w:t xml:space="preserve">.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w:t>
      </w:r>
      <w:r w:rsidRPr="00EF36B1">
        <w:rPr>
          <w:rStyle w:val="StyleUnderline"/>
        </w:rPr>
        <w:t>a water-carrying vehicle from Earth can haul only a small percentage of its mass as water.</w:t>
      </w:r>
      <w:r w:rsidRPr="00F76B25">
        <w:rPr>
          <w:sz w:val="16"/>
        </w:rPr>
        <w:t xml:space="preserve"> </w:t>
      </w:r>
      <w:r w:rsidRPr="001D47F5">
        <w:rPr>
          <w:rStyle w:val="StyleUnderline"/>
        </w:rPr>
        <w:t>But an asteroid-mining spacecraft can transport a significant multiple of its mass as water to cis-lunar orbit</w:t>
      </w:r>
      <w:r w:rsidRPr="00F76B25">
        <w:rPr>
          <w:sz w:val="16"/>
        </w:rPr>
        <w:t>. “</w:t>
      </w:r>
      <w:r w:rsidRPr="00F76B25">
        <w:rPr>
          <w:rStyle w:val="Emphasis"/>
          <w:highlight w:val="green"/>
        </w:rPr>
        <w:t>Substantial savings in greenhouse</w:t>
      </w:r>
      <w:r w:rsidRPr="00EF0604">
        <w:rPr>
          <w:rStyle w:val="Emphasis"/>
        </w:rPr>
        <w:t xml:space="preserve"> gas </w:t>
      </w:r>
      <w:r w:rsidRPr="00F76B25">
        <w:rPr>
          <w:rStyle w:val="Emphasis"/>
          <w:highlight w:val="green"/>
        </w:rPr>
        <w:t>emissions</w:t>
      </w:r>
      <w:r w:rsidRPr="00EF0604">
        <w:rPr>
          <w:rStyle w:val="Emphasis"/>
        </w:rPr>
        <w:t xml:space="preserve"> can be achieved,</w:t>
      </w:r>
      <w:r w:rsidRPr="00F76B25">
        <w:rPr>
          <w:sz w:val="16"/>
        </w:rPr>
        <w:t>” say Hein and co.</w:t>
      </w:r>
    </w:p>
    <w:p w14:paraId="3AD1C129" w14:textId="1764B7F8" w:rsidR="00F70D0A" w:rsidRDefault="00F70D0A" w:rsidP="00F70D0A"/>
    <w:p w14:paraId="7C6F6C51" w14:textId="77777777" w:rsidR="00A92214" w:rsidRDefault="00A92214" w:rsidP="00A92214">
      <w:pPr>
        <w:pStyle w:val="Heading4"/>
      </w:pPr>
      <w:r>
        <w:t xml:space="preserve">Other policy actions solve climate – space isn’t key </w:t>
      </w:r>
    </w:p>
    <w:p w14:paraId="599B5C08" w14:textId="77777777" w:rsidR="00A92214" w:rsidRPr="00CA4416" w:rsidRDefault="00A92214" w:rsidP="00A92214">
      <w:r w:rsidRPr="00CA4416">
        <w:rPr>
          <w:b/>
          <w:bCs/>
          <w:sz w:val="24"/>
          <w:szCs w:val="28"/>
        </w:rPr>
        <w:t>CSS 2021</w:t>
      </w:r>
      <w:r w:rsidRPr="00CA4416">
        <w:rPr>
          <w:sz w:val="24"/>
          <w:szCs w:val="28"/>
        </w:rPr>
        <w:t xml:space="preserve"> </w:t>
      </w:r>
      <w:r w:rsidRPr="00CA4416">
        <w:rPr>
          <w:sz w:val="16"/>
          <w:szCs w:val="16"/>
        </w:rPr>
        <w:t xml:space="preserve">(Center for Sustainable Systems, University of Michigan. 2021. "Climate Change: Policy and Mitigation Factsheet." CSS05-20. </w:t>
      </w:r>
      <w:hyperlink r:id="rId17" w:history="1">
        <w:r w:rsidRPr="00CA4416">
          <w:rPr>
            <w:rStyle w:val="Hyperlink"/>
            <w:sz w:val="16"/>
            <w:szCs w:val="16"/>
          </w:rPr>
          <w:t>https://css.umich.edu/factsheets/climate-change-policy-and-mitigation-factsheet</w:t>
        </w:r>
      </w:hyperlink>
      <w:r w:rsidRPr="00CA4416">
        <w:rPr>
          <w:sz w:val="16"/>
          <w:szCs w:val="16"/>
        </w:rPr>
        <w:t>) //</w:t>
      </w:r>
      <w:proofErr w:type="spellStart"/>
      <w:r w:rsidRPr="00CA4416">
        <w:rPr>
          <w:sz w:val="16"/>
          <w:szCs w:val="16"/>
        </w:rPr>
        <w:t>neth</w:t>
      </w:r>
      <w:proofErr w:type="spellEnd"/>
      <w:r w:rsidRPr="00CA4416">
        <w:rPr>
          <w:sz w:val="16"/>
          <w:szCs w:val="16"/>
        </w:rPr>
        <w:t xml:space="preserve"> </w:t>
      </w:r>
    </w:p>
    <w:p w14:paraId="38267B72" w14:textId="77777777" w:rsidR="00A92214" w:rsidRPr="00DC2291" w:rsidRDefault="00A92214" w:rsidP="00A92214">
      <w:pPr>
        <w:rPr>
          <w:sz w:val="16"/>
        </w:rPr>
      </w:pPr>
      <w:r w:rsidRPr="004C26BE">
        <w:rPr>
          <w:highlight w:val="yellow"/>
          <w:u w:val="single"/>
        </w:rPr>
        <w:t>Climate change is a global problem that requires global cooperation to address</w:t>
      </w:r>
      <w:r w:rsidRPr="00DC2291">
        <w:rPr>
          <w:sz w:val="16"/>
        </w:rPr>
        <w:t xml:space="preserve">. The objective of the United Nations Framework Convention on Climate Change (UNFCCC), which virtually all nations, including the U.S., have ratified, is to stabilize greenhouse gas (GHG) concentrations at a level that will not cause “dangerous anthropogenic (human-induced) interference with the climate system.”1 Due to the persistence of some GHGs in the atmosphere, significant emissions reductions must be achieved in coming decades to meet the UNFCCC objective. In 2018, the Intergovernmental Panel on Climate Change (IPCC) published the Special Report on Global Warming of 1.5oC. The report details the impacts of a 1.5oC temperature rise and proposes mitigation strategies to remain below the 1.5oC target. It will require lowering global carbon dioxide (CO2) emissions in 2030 by 45% compared to 2010 and will require net zero emissions around 2050. Current national targets under the Paris Agreement would lead to 52–58 gigatons (Gt) CO2-equivalents (CO2e) per year by 2030 -- not enough to meet the 1.5oC target. 2018 GHG emissions were approximately 42 GtCO2 and would need to drop to between 25-30 GtCO2 per year by 2030 to remain on target.2 In 2019, U.S. GHG emissions were 6.6 GtCO2e.3 CARBON EMISSION PATHWAYS TO ACHIEVE 1.5OC TARGET2 Carbon Emission Pathways To Achieve 1.5C Target GENERAL POLICIES MARKET-BASED INSTRUMENTS </w:t>
      </w:r>
      <w:r w:rsidRPr="004C26BE">
        <w:rPr>
          <w:highlight w:val="yellow"/>
          <w:u w:val="single"/>
        </w:rPr>
        <w:t>Market-based approaches include carbon taxes, subsidies, and cap-and-trade programs</w:t>
      </w:r>
      <w:r w:rsidRPr="00DC2291">
        <w:rPr>
          <w:sz w:val="16"/>
        </w:rPr>
        <w:t xml:space="preserve">.4 In a tradable carbon permit system, permits equal to an allowed level of emissions are distributed or auctioned. Parties with emissions below their allowance </w:t>
      </w:r>
      <w:proofErr w:type="gramStart"/>
      <w:r w:rsidRPr="00DC2291">
        <w:rPr>
          <w:sz w:val="16"/>
        </w:rPr>
        <w:t>are able to</w:t>
      </w:r>
      <w:proofErr w:type="gramEnd"/>
      <w:r w:rsidRPr="00DC2291">
        <w:rPr>
          <w:sz w:val="16"/>
        </w:rPr>
        <w:t xml:space="preserve"> sell their excess permits to other parties that have exceeded their emissions allowance.4 Market-based instruments are recognized for their potential to reduce emissions by allowing for flexibility and ingenuity in the private sector.4 REGULATORY INSTRUMENTS </w:t>
      </w:r>
      <w:r w:rsidRPr="004C26BE">
        <w:rPr>
          <w:highlight w:val="yellow"/>
          <w:u w:val="single"/>
        </w:rPr>
        <w:t>Regulatory approaches include non-tradable permits, technology and emissions standards, product bans, and government investment.</w:t>
      </w:r>
      <w:r>
        <w:rPr>
          <w:u w:val="single"/>
        </w:rPr>
        <w:t xml:space="preserve"> </w:t>
      </w:r>
      <w:r w:rsidRPr="00DC2291">
        <w:rPr>
          <w:sz w:val="16"/>
        </w:rPr>
        <w:t xml:space="preserve">In 2007, the U.S. Supreme Court ruled that CO2 and other GHG emissions meet the Clean Air Act’s </w:t>
      </w:r>
      <w:proofErr w:type="spellStart"/>
      <w:r w:rsidRPr="00DC2291">
        <w:rPr>
          <w:sz w:val="16"/>
        </w:rPr>
        <w:t>defition</w:t>
      </w:r>
      <w:proofErr w:type="spellEnd"/>
      <w:r w:rsidRPr="00DC2291">
        <w:rPr>
          <w:sz w:val="16"/>
        </w:rPr>
        <w:t xml:space="preserve"> of air pollutants, which are regulated by the U.S. Environmental Protection Agency (EPA).5 After several appeals, the U.S. Court of Appeals upheld the ruling in 2012.6 In the U.S., the Safer Affordable Fuel-Efficient (SAFE) vehicles rule, administered by NHTSA, was implemented in 2020.7 In comparison to the 2012 Corporate Average Fuel Economy (CAFE) standards, the SAFE rule is less demanding than CAFE and will result in 867-923 million metric tons more CO2 emissions compared to CAFE standards.7,8 In 2021, NHTSA assessed the Safe I Rule and has proposed repealing the rule in favor of establishing regulations that align with the Energy Policy and Conservation Act (EPCA).9 VOLUNTARY AGREEMENTS </w:t>
      </w:r>
      <w:r w:rsidRPr="004C26BE">
        <w:rPr>
          <w:highlight w:val="yellow"/>
          <w:u w:val="single"/>
        </w:rPr>
        <w:t>Voluntary agreements are generally made between a government agency and one or more private parties</w:t>
      </w:r>
      <w:r w:rsidRPr="00DC2291">
        <w:rPr>
          <w:sz w:val="16"/>
        </w:rPr>
        <w:t xml:space="preserve"> to “achieve environmental objectives or to improve environmental performance beyond compliance.”10 EPA partners with the public and private sectors to oversee a variety of voluntary programs aimed at reducing GHG emissions, increasing clean energy adoption, and adapting to climate change.11 </w:t>
      </w:r>
      <w:r w:rsidRPr="004C26BE">
        <w:rPr>
          <w:highlight w:val="yellow"/>
          <w:u w:val="single"/>
        </w:rPr>
        <w:t>THE KYOTO PROTOCOL</w:t>
      </w:r>
      <w:r>
        <w:rPr>
          <w:u w:val="single"/>
        </w:rPr>
        <w:t xml:space="preserve"> </w:t>
      </w:r>
      <w:r w:rsidRPr="00DC2291">
        <w:rPr>
          <w:sz w:val="16"/>
        </w:rPr>
        <w:t xml:space="preserve">The Kyoto Protocol came into force on February 16, 2005, and established mandatory, enforceable targets for GHG emissions. Initial emissions reductions for participating countries ranged from –8% to +10% of 1990 levels, while the overall reduction goal was 5% below the 1990 level by 2012. When the first commitment period ended in 2012, the Protocol was amended for a second commitment period; the new overall reduction goal is 18% below 1990 levels by 2020.12 </w:t>
      </w:r>
      <w:r w:rsidRPr="004C26BE">
        <w:rPr>
          <w:highlight w:val="yellow"/>
          <w:u w:val="single"/>
        </w:rPr>
        <w:t>THE PARIS AGREEMENT</w:t>
      </w:r>
      <w:r>
        <w:rPr>
          <w:u w:val="single"/>
        </w:rPr>
        <w:t xml:space="preserve"> </w:t>
      </w:r>
      <w:r w:rsidRPr="00DC2291">
        <w:rPr>
          <w:sz w:val="16"/>
        </w:rPr>
        <w:t xml:space="preserve">In December of 2015, all Parties of the UNFCCC reached a climate change mitigation and adaptation agreement, called The Paris Agreement, in order to keep the global temperature increase (from pre-industrial levels) below a 2oC.13 The Paris Agreement entered into force on November 4, 2016. As of July 2021, The Paris Agreement had 197 signatories, of which 191 parties (accounting for at least 55% of total global emissions) have ratified the agreement.14 GOVERNMENT ACTION IN THE U.S. FEDERAL POLICY According to the U.S. Senate, “…Congress should enact a comprehensive and effective national program of mandatory, market-based limits and incentives on emissions of greenhouse gases that slow, stop, and reverse the growth of such emissions at a rate and in a manner that will not significantly harm the United States economy and will encourage comparable action by other nations…”15 Due to the Consolidated Appropriations Act of 2008, large emitters of GHGs in the U.S. must report emissions to the EPA.16 In 2015, the proposed Clean Power Plan set a national limit for CO2 emissions from power plants. In early 2016, the plan was stayed by the Supreme Court.17 In 2019, the EPA repealed the Clean Power Plan and replaced it with the Affordable Clean Energy (ACE) Rule.17 By January 2021, the U.S. Court of Appeals vacated the ACE Rule and remanded back to the EPA.18 In 2019, a Green New Deal resolution was introduced in the U.S. House. It proposes at 10-year mobilization effort to focus on goals such as net-zero GHG emissions, economic security, infrastructure investment, clean air and water, and promoting justice and equality.19 </w:t>
      </w:r>
      <w:r w:rsidRPr="004C26BE">
        <w:rPr>
          <w:highlight w:val="yellow"/>
          <w:u w:val="single"/>
        </w:rPr>
        <w:t>In April 2021, President Biden</w:t>
      </w:r>
      <w:r w:rsidRPr="004C26BE">
        <w:rPr>
          <w:u w:val="single"/>
        </w:rPr>
        <w:t xml:space="preserve"> held the </w:t>
      </w:r>
      <w:proofErr w:type="spellStart"/>
      <w:r w:rsidRPr="004C26BE">
        <w:rPr>
          <w:u w:val="single"/>
        </w:rPr>
        <w:t>Leaders</w:t>
      </w:r>
      <w:proofErr w:type="spellEnd"/>
      <w:r w:rsidRPr="004C26BE">
        <w:rPr>
          <w:u w:val="single"/>
        </w:rPr>
        <w:t xml:space="preserve"> Summit on Climate with 40 world leaders and </w:t>
      </w:r>
      <w:r w:rsidRPr="004C26BE">
        <w:rPr>
          <w:highlight w:val="yellow"/>
          <w:u w:val="single"/>
        </w:rPr>
        <w:t>announced the U.S. will “target reducing emissions by 50-52 percent by 2030 compared to 2005 levels</w:t>
      </w:r>
      <w:r w:rsidRPr="004C26BE">
        <w:rPr>
          <w:u w:val="single"/>
        </w:rPr>
        <w:t>.”20</w:t>
      </w:r>
      <w:r>
        <w:rPr>
          <w:u w:val="single"/>
        </w:rPr>
        <w:t xml:space="preserve"> </w:t>
      </w:r>
      <w:r w:rsidRPr="00DC2291">
        <w:rPr>
          <w:sz w:val="16"/>
        </w:rPr>
        <w:t xml:space="preserve">STATE POLICY Climate change action plans have been enacted by 33 states and D.C.21 Twenty four states and D.C. have GHG emission reduction targets. California is targeting GHG emissions 40% below 1990 levels by 2030 and net zero CO2 emissions by 2045.22 </w:t>
      </w:r>
      <w:r w:rsidRPr="004C26BE">
        <w:rPr>
          <w:highlight w:val="yellow"/>
          <w:u w:val="single"/>
        </w:rPr>
        <w:t>Thirty states, D.C., and 3 U.S. territories have Renewable Portfolio Standards, which specify the percentage of electricity to be generated from renewable sources by a certain date</w:t>
      </w:r>
      <w:r w:rsidRPr="00DC2291">
        <w:rPr>
          <w:sz w:val="16"/>
        </w:rPr>
        <w:t xml:space="preserve">. Five states have Clean Energy Standards, which specify the percentage of electricity to be generated from low-to-no carbon sources and can include renewables, nuclear, and advanced fossil fuel plants with carbon capture and sequestration.23 A group of governors formed the U.S. Climate Alliance, to uphold the GHG reductions outlined in the Paris Agreement. The alliance represents 57% of the U.S. population and 61% of the U.S. economy.24 STATES WITH RENEWABLE AND/OR CLEAN ENERGY STANDARDS23 States with Renewable and/or Clean Energy Standards MITIGATION STRATEGIES </w:t>
      </w:r>
      <w:r w:rsidRPr="004C26BE">
        <w:rPr>
          <w:highlight w:val="yellow"/>
          <w:u w:val="single"/>
        </w:rPr>
        <w:t>Stabilizing atmospheric CO2 concentrations requires changes in energy production and use.</w:t>
      </w:r>
      <w:r w:rsidRPr="004C26BE">
        <w:rPr>
          <w:u w:val="single"/>
        </w:rPr>
        <w:t xml:space="preserve"> </w:t>
      </w:r>
      <w:r w:rsidRPr="00DC2291">
        <w:rPr>
          <w:sz w:val="16"/>
        </w:rPr>
        <w:t xml:space="preserve">Effective mitigation cannot be achieved without individual agencies working collectively towards reduction goals.10 Stabilization wedges are one display of GHG reduction strategies; each wedge represents 1 billion tons of carbon avoided in 2054.25 </w:t>
      </w:r>
      <w:r w:rsidRPr="004C26BE">
        <w:rPr>
          <w:highlight w:val="yellow"/>
          <w:u w:val="single"/>
        </w:rPr>
        <w:t>Energy Savings</w:t>
      </w:r>
      <w:r w:rsidRPr="00DC2291">
        <w:rPr>
          <w:sz w:val="16"/>
        </w:rPr>
        <w:t xml:space="preserve">: Many energy efficiency efforts require an initial capital investment, but the payback period is often only a few years. In 2016, the Minneapolis Clean Energy Partnership planned to retrofit 75% of Minneapolis residences for efficiency and allocated resources to buy down the cost of energy audits and provide no-interest financing for energy efficiency upgrades.26 </w:t>
      </w:r>
      <w:r w:rsidRPr="004C26BE">
        <w:rPr>
          <w:highlight w:val="yellow"/>
          <w:u w:val="single"/>
        </w:rPr>
        <w:t>Fuel Switching</w:t>
      </w:r>
      <w:r w:rsidRPr="00DC2291">
        <w:rPr>
          <w:sz w:val="16"/>
        </w:rPr>
        <w:t xml:space="preserve">: Switching power plants and vehicles to less carbon-intensive fuels can achieve emission reductions quickly. For instance, switching from an average coal plant to a natural gas combined cycle plant can reduce CO2 emissions by approximately 50%.10 </w:t>
      </w:r>
      <w:r w:rsidRPr="004C26BE">
        <w:rPr>
          <w:highlight w:val="yellow"/>
          <w:u w:val="single"/>
        </w:rPr>
        <w:t>Capturing and Storing Emissions</w:t>
      </w:r>
      <w:r w:rsidRPr="00DC2291">
        <w:rPr>
          <w:sz w:val="16"/>
        </w:rPr>
        <w:t>: CO2 can be captured from large point sources both pre- and post-combustion of fossil fuels. Once CO2 is separated, it can be stored underground depending on the geology of a site. Currently, CO2 is used in enhanced oil recovery (EOR), but long-term storage technologies remain expensive.27 Alternatively, existing CO2 can be removed from the atmosphere through Negative Emissions Technologies and approaches such as direct air capture and sequestration, bioenergy with carbon capture and sequestration, and land management strategies.28</w:t>
      </w:r>
    </w:p>
    <w:p w14:paraId="269641E8" w14:textId="77777777" w:rsidR="00A92214" w:rsidRPr="009D3332" w:rsidRDefault="00A92214" w:rsidP="00A92214"/>
    <w:p w14:paraId="7D59617F" w14:textId="77777777" w:rsidR="00A92214" w:rsidRPr="004A02F9" w:rsidRDefault="00A92214" w:rsidP="00A92214">
      <w:pPr>
        <w:pStyle w:val="Heading4"/>
        <w:rPr>
          <w:rFonts w:asciiTheme="minorHAnsi" w:hAnsiTheme="minorHAnsi" w:cstheme="minorHAnsi"/>
        </w:rPr>
      </w:pPr>
      <w:r w:rsidRPr="004A02F9">
        <w:rPr>
          <w:rFonts w:asciiTheme="minorHAnsi" w:hAnsiTheme="minorHAnsi" w:cstheme="minorHAnsi"/>
        </w:rPr>
        <w:t>Negative feedback loops check for warming</w:t>
      </w:r>
    </w:p>
    <w:p w14:paraId="68FE2D49" w14:textId="77777777" w:rsidR="00A92214" w:rsidRPr="004A02F9" w:rsidRDefault="00A92214" w:rsidP="00A92214">
      <w:pPr>
        <w:rPr>
          <w:rFonts w:asciiTheme="minorHAnsi" w:hAnsiTheme="minorHAnsi" w:cstheme="minorHAnsi"/>
        </w:rPr>
      </w:pPr>
      <w:hyperlink r:id="rId18" w:history="1">
        <w:r w:rsidRPr="004A02F9">
          <w:rPr>
            <w:rStyle w:val="Style13ptBold"/>
            <w:rFonts w:asciiTheme="minorHAnsi" w:hAnsiTheme="minorHAnsi" w:cstheme="minorHAnsi"/>
          </w:rPr>
          <w:t>Singer</w:t>
        </w:r>
      </w:hyperlink>
      <w:r w:rsidRPr="004A02F9">
        <w:rPr>
          <w:rStyle w:val="Style13ptBold"/>
          <w:rFonts w:asciiTheme="minorHAnsi" w:hAnsiTheme="minorHAnsi" w:cstheme="minorHAnsi"/>
        </w:rPr>
        <w:t xml:space="preserve"> et al 15</w:t>
      </w:r>
      <w:r w:rsidRPr="004A02F9">
        <w:rPr>
          <w:rStyle w:val="Hyperlink"/>
          <w:rFonts w:asciiTheme="minorHAnsi" w:hAnsiTheme="minorHAnsi" w:cstheme="minorHAnsi"/>
        </w:rPr>
        <w:t xml:space="preserve">. (Dr. Siegfried Fred Singer is an Austrian-born American physicist and emeritus professor of environmental science at the University of Virginia. Dr. Robert Merlin Carter was an English </w:t>
      </w:r>
      <w:proofErr w:type="spellStart"/>
      <w:r w:rsidRPr="004A02F9">
        <w:rPr>
          <w:rStyle w:val="Hyperlink"/>
          <w:rFonts w:asciiTheme="minorHAnsi" w:hAnsiTheme="minorHAnsi" w:cstheme="minorHAnsi"/>
        </w:rPr>
        <w:t>palaeontologist</w:t>
      </w:r>
      <w:proofErr w:type="spellEnd"/>
      <w:r w:rsidRPr="004A02F9">
        <w:rPr>
          <w:rStyle w:val="Hyperlink"/>
          <w:rFonts w:asciiTheme="minorHAnsi" w:hAnsiTheme="minorHAnsi" w:cstheme="minorHAnsi"/>
        </w:rPr>
        <w:t xml:space="preserve">, </w:t>
      </w:r>
      <w:proofErr w:type="gramStart"/>
      <w:r w:rsidRPr="004A02F9">
        <w:rPr>
          <w:rStyle w:val="Hyperlink"/>
          <w:rFonts w:asciiTheme="minorHAnsi" w:hAnsiTheme="minorHAnsi" w:cstheme="minorHAnsi"/>
        </w:rPr>
        <w:t>stratigrapher</w:t>
      </w:r>
      <w:proofErr w:type="gramEnd"/>
      <w:r w:rsidRPr="004A02F9">
        <w:rPr>
          <w:rStyle w:val="Hyperlink"/>
          <w:rFonts w:asciiTheme="minorHAnsi" w:hAnsiTheme="minorHAnsi" w:cstheme="minorHAnsi"/>
        </w:rPr>
        <w:t xml:space="preserve"> and marine geologist. Dr. Craig D. Idso is the founder, former </w:t>
      </w:r>
      <w:proofErr w:type="gramStart"/>
      <w:r w:rsidRPr="004A02F9">
        <w:rPr>
          <w:rStyle w:val="Hyperlink"/>
          <w:rFonts w:asciiTheme="minorHAnsi" w:hAnsiTheme="minorHAnsi" w:cstheme="minorHAnsi"/>
        </w:rPr>
        <w:t>president</w:t>
      </w:r>
      <w:proofErr w:type="gramEnd"/>
      <w:r w:rsidRPr="004A02F9">
        <w:rPr>
          <w:rStyle w:val="Hyperlink"/>
          <w:rFonts w:asciiTheme="minorHAnsi" w:hAnsiTheme="minorHAnsi" w:cstheme="minorHAnsi"/>
        </w:rPr>
        <w:t xml:space="preserve"> and current chairman of the board of the Center for the Study of Carbon Dioxide and Global Change. Why Scientists Disagree About Global Warming. December 4, 2015. https://www.heartland.org/sites/default/files/12-04-15_why_scientists_disagree.pdf)</w:t>
      </w:r>
    </w:p>
    <w:p w14:paraId="7A1C35F0" w14:textId="77777777" w:rsidR="00A92214" w:rsidRPr="004A02F9" w:rsidRDefault="00A92214" w:rsidP="00A92214">
      <w:pPr>
        <w:rPr>
          <w:rStyle w:val="Emphasis"/>
          <w:rFonts w:asciiTheme="minorHAnsi" w:hAnsiTheme="minorHAnsi" w:cstheme="minorHAnsi"/>
        </w:rPr>
      </w:pPr>
      <w:r w:rsidRPr="004A02F9">
        <w:rPr>
          <w:rStyle w:val="StyleUnderline"/>
          <w:rFonts w:asciiTheme="minorHAnsi" w:eastAsiaTheme="minorHAnsi" w:hAnsiTheme="minorHAnsi" w:cstheme="minorHAnsi"/>
        </w:rPr>
        <w:t>A doubling of CO2 from pre-industrial levels</w:t>
      </w:r>
      <w:r w:rsidRPr="004A02F9">
        <w:rPr>
          <w:rFonts w:asciiTheme="minorHAnsi" w:hAnsiTheme="minorHAnsi" w:cstheme="minorHAnsi"/>
          <w:sz w:val="16"/>
        </w:rPr>
        <w:t xml:space="preserve"> (from 280 to 560 ppm) </w:t>
      </w:r>
      <w:r w:rsidRPr="004A02F9">
        <w:rPr>
          <w:rStyle w:val="StyleUnderline"/>
          <w:rFonts w:asciiTheme="minorHAnsi" w:eastAsiaTheme="minorHAnsi" w:hAnsiTheme="minorHAnsi" w:cstheme="minorHAnsi"/>
        </w:rPr>
        <w:t xml:space="preserve">would likely produce a temperature forcing of 3.7 Wm-2 in the lower atmosphere, for about ~1°C of prima facie warming. </w:t>
      </w:r>
      <w:r w:rsidRPr="004A02F9">
        <w:rPr>
          <w:rFonts w:asciiTheme="minorHAnsi" w:hAnsiTheme="minorHAnsi" w:cstheme="minorHAnsi"/>
          <w:sz w:val="16"/>
        </w:rPr>
        <w:t xml:space="preserve"># </w:t>
      </w:r>
      <w:r w:rsidRPr="004A02F9">
        <w:rPr>
          <w:rStyle w:val="StyleUnderline"/>
          <w:rFonts w:asciiTheme="minorHAnsi" w:eastAsiaTheme="minorHAnsi" w:hAnsiTheme="minorHAnsi" w:cstheme="minorHAnsi"/>
          <w:highlight w:val="cyan"/>
        </w:rPr>
        <w:t>IPCC models stress</w:t>
      </w:r>
      <w:r w:rsidRPr="004A02F9">
        <w:rPr>
          <w:rStyle w:val="StyleUnderline"/>
          <w:rFonts w:asciiTheme="minorHAnsi" w:eastAsiaTheme="minorHAnsi" w:hAnsiTheme="minorHAnsi" w:cstheme="minorHAnsi"/>
        </w:rPr>
        <w:t xml:space="preserve"> the importance of </w:t>
      </w:r>
      <w:r w:rsidRPr="004A02F9">
        <w:rPr>
          <w:rStyle w:val="StyleUnderline"/>
          <w:rFonts w:asciiTheme="minorHAnsi" w:eastAsiaTheme="minorHAnsi" w:hAnsiTheme="minorHAnsi" w:cstheme="minorHAnsi"/>
          <w:highlight w:val="cyan"/>
        </w:rPr>
        <w:t>positive feedback</w:t>
      </w:r>
      <w:r w:rsidRPr="004A02F9">
        <w:rPr>
          <w:rStyle w:val="StyleUnderline"/>
          <w:rFonts w:asciiTheme="minorHAnsi" w:eastAsiaTheme="minorHAnsi" w:hAnsiTheme="minorHAnsi" w:cstheme="minorHAnsi"/>
        </w:rPr>
        <w:t xml:space="preserve"> from increasing water vapor and thereby project warming of ~3–6°C, whereas empirical data indicate an order of magnitude less warming of ~0.3–1.0°C. </w:t>
      </w:r>
      <w:r w:rsidRPr="004A02F9">
        <w:rPr>
          <w:rFonts w:asciiTheme="minorHAnsi" w:hAnsiTheme="minorHAnsi" w:cstheme="minorHAnsi"/>
          <w:sz w:val="16"/>
        </w:rPr>
        <w:t xml:space="preserve"># In ice core samples, </w:t>
      </w:r>
      <w:r w:rsidRPr="004A02F9">
        <w:rPr>
          <w:rStyle w:val="StyleUnderline"/>
          <w:rFonts w:asciiTheme="minorHAnsi" w:eastAsiaTheme="minorHAnsi" w:hAnsiTheme="minorHAnsi" w:cstheme="minorHAnsi"/>
        </w:rPr>
        <w:t>changes in temperature precede parallel changes in atmospheric CO2 by several hundred years; also, temperature and CO2 are uncoupled through lengthy portions of the historical and geological records; therefore CO2 cannot be the primary forcing agent for most temperature changes</w:t>
      </w:r>
      <w:r w:rsidRPr="004A02F9">
        <w:rPr>
          <w:rFonts w:asciiTheme="minorHAnsi" w:hAnsiTheme="minorHAnsi" w:cstheme="minorHAnsi"/>
          <w:sz w:val="16"/>
        </w:rPr>
        <w:t>. Atmospheric methane (CH4) levels for the past two decades fall well below the values projected by IPCC in its assessment reports. I</w:t>
      </w:r>
      <w:r w:rsidRPr="004A02F9">
        <w:rPr>
          <w:rStyle w:val="StyleUnderline"/>
          <w:rFonts w:asciiTheme="minorHAnsi" w:eastAsiaTheme="minorHAnsi" w:hAnsiTheme="minorHAnsi" w:cstheme="minorHAnsi"/>
        </w:rPr>
        <w:t xml:space="preserve">PCC’s temperature projections incorporate these inflated CH4 estimates and need downward revision accordingly. </w:t>
      </w:r>
      <w:r w:rsidRPr="004A02F9">
        <w:rPr>
          <w:rFonts w:asciiTheme="minorHAnsi" w:hAnsiTheme="minorHAnsi" w:cstheme="minorHAnsi"/>
          <w:sz w:val="16"/>
        </w:rPr>
        <w:t xml:space="preserve"># </w:t>
      </w:r>
      <w:r w:rsidRPr="004A02F9">
        <w:rPr>
          <w:rStyle w:val="Emphasis"/>
          <w:rFonts w:asciiTheme="minorHAnsi" w:hAnsiTheme="minorHAnsi" w:cstheme="minorHAnsi"/>
        </w:rPr>
        <w:t xml:space="preserve">The </w:t>
      </w:r>
      <w:r w:rsidRPr="004A02F9">
        <w:rPr>
          <w:rStyle w:val="Emphasis"/>
          <w:rFonts w:asciiTheme="minorHAnsi" w:hAnsiTheme="minorHAnsi" w:cstheme="minorHAnsi"/>
          <w:highlight w:val="cyan"/>
        </w:rPr>
        <w:t>thawing of permafrost</w:t>
      </w:r>
      <w:r w:rsidRPr="004A02F9">
        <w:rPr>
          <w:rStyle w:val="Emphasis"/>
          <w:rFonts w:asciiTheme="minorHAnsi" w:hAnsiTheme="minorHAnsi" w:cstheme="minorHAnsi"/>
        </w:rPr>
        <w:t xml:space="preserve"> or submarine gas hydrates </w:t>
      </w:r>
      <w:r w:rsidRPr="004A02F9">
        <w:rPr>
          <w:rStyle w:val="Emphasis"/>
          <w:rFonts w:asciiTheme="minorHAnsi" w:hAnsiTheme="minorHAnsi" w:cstheme="minorHAnsi"/>
          <w:highlight w:val="cyan"/>
        </w:rPr>
        <w:t>is not likely to emit dangerous amounts of methane</w:t>
      </w:r>
      <w:r w:rsidRPr="004A02F9">
        <w:rPr>
          <w:rStyle w:val="Emphasis"/>
          <w:rFonts w:asciiTheme="minorHAnsi" w:hAnsiTheme="minorHAnsi" w:cstheme="minorHAnsi"/>
        </w:rPr>
        <w:t xml:space="preserve"> at current rates of warming. </w:t>
      </w:r>
      <w:r w:rsidRPr="004A02F9">
        <w:rPr>
          <w:rFonts w:asciiTheme="minorHAnsi" w:hAnsiTheme="minorHAnsi" w:cstheme="minorHAnsi"/>
          <w:sz w:val="16"/>
        </w:rPr>
        <w:t xml:space="preserve"># </w:t>
      </w:r>
      <w:r w:rsidRPr="004A02F9">
        <w:rPr>
          <w:rStyle w:val="Emphasis"/>
          <w:rFonts w:asciiTheme="minorHAnsi" w:hAnsiTheme="minorHAnsi" w:cstheme="minorHAnsi"/>
          <w:highlight w:val="cyan"/>
        </w:rPr>
        <w:t>Nitrous oxide</w:t>
      </w:r>
      <w:r w:rsidRPr="004A02F9">
        <w:rPr>
          <w:rStyle w:val="Emphasis"/>
          <w:rFonts w:asciiTheme="minorHAnsi" w:hAnsiTheme="minorHAnsi" w:cstheme="minorHAnsi"/>
        </w:rPr>
        <w:t xml:space="preserve"> (N2O) </w:t>
      </w:r>
      <w:r w:rsidRPr="004A02F9">
        <w:rPr>
          <w:rStyle w:val="Emphasis"/>
          <w:rFonts w:asciiTheme="minorHAnsi" w:hAnsiTheme="minorHAnsi" w:cstheme="minorHAnsi"/>
          <w:highlight w:val="cyan"/>
        </w:rPr>
        <w:t>emissions are expected to fall as CO2</w:t>
      </w:r>
      <w:r w:rsidRPr="004A02F9">
        <w:rPr>
          <w:rStyle w:val="Emphasis"/>
          <w:rFonts w:asciiTheme="minorHAnsi" w:hAnsiTheme="minorHAnsi" w:cstheme="minorHAnsi"/>
        </w:rPr>
        <w:t xml:space="preserve"> concentrations </w:t>
      </w:r>
      <w:r w:rsidRPr="004A02F9">
        <w:rPr>
          <w:rStyle w:val="Emphasis"/>
          <w:rFonts w:asciiTheme="minorHAnsi" w:hAnsiTheme="minorHAnsi" w:cstheme="minorHAnsi"/>
          <w:highlight w:val="cyan"/>
        </w:rPr>
        <w:t>and temp</w:t>
      </w:r>
      <w:r w:rsidRPr="004A02F9">
        <w:rPr>
          <w:rStyle w:val="Emphasis"/>
          <w:rFonts w:asciiTheme="minorHAnsi" w:hAnsiTheme="minorHAnsi" w:cstheme="minorHAnsi"/>
        </w:rPr>
        <w:t xml:space="preserve">eratures </w:t>
      </w:r>
      <w:r w:rsidRPr="004A02F9">
        <w:rPr>
          <w:rStyle w:val="Emphasis"/>
          <w:rFonts w:asciiTheme="minorHAnsi" w:hAnsiTheme="minorHAnsi" w:cstheme="minorHAnsi"/>
          <w:highlight w:val="cyan"/>
        </w:rPr>
        <w:t>rise,</w:t>
      </w:r>
      <w:r w:rsidRPr="004A02F9">
        <w:rPr>
          <w:rStyle w:val="Emphasis"/>
          <w:rFonts w:asciiTheme="minorHAnsi" w:hAnsiTheme="minorHAnsi" w:cstheme="minorHAnsi"/>
        </w:rPr>
        <w:t xml:space="preserve"> indicating it acts </w:t>
      </w:r>
      <w:r w:rsidRPr="004A02F9">
        <w:rPr>
          <w:rStyle w:val="Emphasis"/>
          <w:rFonts w:asciiTheme="minorHAnsi" w:hAnsiTheme="minorHAnsi" w:cstheme="minorHAnsi"/>
          <w:highlight w:val="cyan"/>
        </w:rPr>
        <w:t>as a negative</w:t>
      </w:r>
      <w:r w:rsidRPr="004A02F9">
        <w:rPr>
          <w:rStyle w:val="Emphasis"/>
          <w:rFonts w:asciiTheme="minorHAnsi" w:hAnsiTheme="minorHAnsi" w:cstheme="minorHAnsi"/>
        </w:rPr>
        <w:t xml:space="preserve"> climate </w:t>
      </w:r>
      <w:r w:rsidRPr="004A02F9">
        <w:rPr>
          <w:rStyle w:val="Emphasis"/>
          <w:rFonts w:asciiTheme="minorHAnsi" w:hAnsiTheme="minorHAnsi" w:cstheme="minorHAnsi"/>
          <w:highlight w:val="cyan"/>
        </w:rPr>
        <w:t>feedback</w:t>
      </w:r>
      <w:r w:rsidRPr="004A02F9">
        <w:rPr>
          <w:rStyle w:val="Emphasis"/>
          <w:rFonts w:asciiTheme="minorHAnsi" w:hAnsiTheme="minorHAnsi" w:cstheme="minorHAnsi"/>
        </w:rPr>
        <w:t xml:space="preserve">. </w:t>
      </w:r>
      <w:r w:rsidRPr="004A02F9">
        <w:rPr>
          <w:rFonts w:asciiTheme="minorHAnsi" w:hAnsiTheme="minorHAnsi" w:cstheme="minorHAnsi"/>
          <w:sz w:val="16"/>
        </w:rPr>
        <w:t xml:space="preserve"># </w:t>
      </w:r>
      <w:r w:rsidRPr="004A02F9">
        <w:rPr>
          <w:rStyle w:val="Emphasis"/>
          <w:rFonts w:asciiTheme="minorHAnsi" w:hAnsiTheme="minorHAnsi" w:cstheme="minorHAnsi"/>
        </w:rPr>
        <w:t xml:space="preserve">Other </w:t>
      </w:r>
      <w:r w:rsidRPr="004A02F9">
        <w:rPr>
          <w:rStyle w:val="Emphasis"/>
          <w:rFonts w:asciiTheme="minorHAnsi" w:hAnsiTheme="minorHAnsi" w:cstheme="minorHAnsi"/>
          <w:highlight w:val="cyan"/>
        </w:rPr>
        <w:t>negative feedbacks</w:t>
      </w:r>
      <w:r w:rsidRPr="004A02F9">
        <w:rPr>
          <w:rStyle w:val="Emphasis"/>
          <w:rFonts w:asciiTheme="minorHAnsi" w:hAnsiTheme="minorHAnsi" w:cstheme="minorHAnsi"/>
        </w:rPr>
        <w:t xml:space="preserve"> on climate sensitivity that </w:t>
      </w:r>
      <w:r w:rsidRPr="004A02F9">
        <w:rPr>
          <w:rStyle w:val="Emphasis"/>
          <w:rFonts w:asciiTheme="minorHAnsi" w:hAnsiTheme="minorHAnsi" w:cstheme="minorHAnsi"/>
          <w:highlight w:val="cyan"/>
        </w:rPr>
        <w:t>are</w:t>
      </w:r>
      <w:r w:rsidRPr="004A02F9">
        <w:rPr>
          <w:rStyle w:val="Emphasis"/>
          <w:rFonts w:asciiTheme="minorHAnsi" w:hAnsiTheme="minorHAnsi" w:cstheme="minorHAnsi"/>
        </w:rPr>
        <w:t xml:space="preserve"> either </w:t>
      </w:r>
      <w:r w:rsidRPr="004A02F9">
        <w:rPr>
          <w:rStyle w:val="Emphasis"/>
          <w:rFonts w:asciiTheme="minorHAnsi" w:hAnsiTheme="minorHAnsi" w:cstheme="minorHAnsi"/>
          <w:highlight w:val="cyan"/>
        </w:rPr>
        <w:t>discounted or underestimated</w:t>
      </w:r>
      <w:r w:rsidRPr="004A02F9">
        <w:rPr>
          <w:rStyle w:val="Emphasis"/>
          <w:rFonts w:asciiTheme="minorHAnsi" w:hAnsiTheme="minorHAnsi" w:cstheme="minorHAnsi"/>
        </w:rPr>
        <w:t xml:space="preserve"> by IPCC include </w:t>
      </w:r>
      <w:r w:rsidRPr="004A02F9">
        <w:rPr>
          <w:rStyle w:val="Emphasis"/>
          <w:rFonts w:asciiTheme="minorHAnsi" w:hAnsiTheme="minorHAnsi" w:cstheme="minorHAnsi"/>
          <w:highlight w:val="cyan"/>
        </w:rPr>
        <w:t>increases in low-level clouds</w:t>
      </w:r>
      <w:r w:rsidRPr="004A02F9">
        <w:rPr>
          <w:rStyle w:val="Emphasis"/>
          <w:rFonts w:asciiTheme="minorHAnsi" w:hAnsiTheme="minorHAnsi" w:cstheme="minorHAnsi"/>
        </w:rPr>
        <w:t xml:space="preserve"> in response to enhanced atmospheric water vapor, </w:t>
      </w:r>
      <w:r w:rsidRPr="004A02F9">
        <w:rPr>
          <w:rStyle w:val="Emphasis"/>
          <w:rFonts w:asciiTheme="minorHAnsi" w:hAnsiTheme="minorHAnsi" w:cstheme="minorHAnsi"/>
          <w:highlight w:val="cyan"/>
        </w:rPr>
        <w:t>increases in ocean emissions of dimethyl sulfide</w:t>
      </w:r>
      <w:r w:rsidRPr="004A02F9">
        <w:rPr>
          <w:rStyle w:val="Emphasis"/>
          <w:rFonts w:asciiTheme="minorHAnsi" w:hAnsiTheme="minorHAnsi" w:cstheme="minorHAnsi"/>
        </w:rPr>
        <w:t xml:space="preserve"> (DMS), and the presence and total </w:t>
      </w:r>
      <w:r w:rsidRPr="004A02F9">
        <w:rPr>
          <w:rStyle w:val="Emphasis"/>
          <w:rFonts w:asciiTheme="minorHAnsi" w:hAnsiTheme="minorHAnsi" w:cstheme="minorHAnsi"/>
          <w:highlight w:val="cyan"/>
        </w:rPr>
        <w:t>cooling effect o</w:t>
      </w:r>
      <w:r w:rsidRPr="004A02F9">
        <w:rPr>
          <w:rStyle w:val="Emphasis"/>
          <w:rFonts w:asciiTheme="minorHAnsi" w:hAnsiTheme="minorHAnsi" w:cstheme="minorHAnsi"/>
        </w:rPr>
        <w:t xml:space="preserve">f both natural and industrial </w:t>
      </w:r>
      <w:r w:rsidRPr="004A02F9">
        <w:rPr>
          <w:rStyle w:val="Emphasis"/>
          <w:rFonts w:asciiTheme="minorHAnsi" w:hAnsiTheme="minorHAnsi" w:cstheme="minorHAnsi"/>
          <w:highlight w:val="cyan"/>
        </w:rPr>
        <w:t>aerosols.</w:t>
      </w:r>
    </w:p>
    <w:p w14:paraId="73B11B4D" w14:textId="2B5F708F" w:rsidR="00A66068" w:rsidRDefault="00A66068"/>
    <w:p w14:paraId="076DE5BC" w14:textId="5258EC34" w:rsidR="0033229B" w:rsidRDefault="0033229B" w:rsidP="0033229B">
      <w:pPr>
        <w:pStyle w:val="Heading2"/>
      </w:pPr>
      <w:r>
        <w:t>General</w:t>
      </w:r>
    </w:p>
    <w:p w14:paraId="1199DDD6" w14:textId="77777777" w:rsidR="0033229B" w:rsidRDefault="0033229B" w:rsidP="0033229B">
      <w:pPr>
        <w:pStyle w:val="Heading4"/>
      </w:pPr>
      <w:r>
        <w:t xml:space="preserve">Privatization is inevitable – 75% of space is already privatized </w:t>
      </w:r>
    </w:p>
    <w:p w14:paraId="56E00886" w14:textId="77777777" w:rsidR="0033229B" w:rsidRPr="0040085E" w:rsidRDefault="0033229B" w:rsidP="0033229B">
      <w:pPr>
        <w:rPr>
          <w:sz w:val="16"/>
          <w:szCs w:val="16"/>
        </w:rPr>
      </w:pPr>
      <w:r w:rsidRPr="0040085E">
        <w:rPr>
          <w:b/>
          <w:bCs/>
          <w:sz w:val="24"/>
          <w:szCs w:val="28"/>
          <w:u w:val="single"/>
        </w:rPr>
        <w:t>Urrutia 2018</w:t>
      </w:r>
      <w:r w:rsidRPr="0040085E">
        <w:rPr>
          <w:sz w:val="24"/>
          <w:szCs w:val="28"/>
        </w:rPr>
        <w:t xml:space="preserve"> </w:t>
      </w:r>
      <w:r w:rsidRPr="0040085E">
        <w:rPr>
          <w:sz w:val="16"/>
          <w:szCs w:val="16"/>
        </w:rPr>
        <w:t xml:space="preserve">(Doris Elin Urrutia, October 12, 2018, “How Will Private Space Travel Transform NASA's Next 60 Years?” </w:t>
      </w:r>
      <w:hyperlink r:id="rId19" w:history="1">
        <w:r w:rsidRPr="0040085E">
          <w:rPr>
            <w:rStyle w:val="Hyperlink"/>
            <w:sz w:val="16"/>
            <w:szCs w:val="16"/>
          </w:rPr>
          <w:t>https://www.space.com/42113-nasa-future-private-spaceflight.html</w:t>
        </w:r>
      </w:hyperlink>
      <w:r w:rsidRPr="0040085E">
        <w:rPr>
          <w:sz w:val="16"/>
          <w:szCs w:val="16"/>
        </w:rPr>
        <w:t>) //</w:t>
      </w:r>
      <w:proofErr w:type="spellStart"/>
      <w:r w:rsidRPr="0040085E">
        <w:rPr>
          <w:sz w:val="16"/>
          <w:szCs w:val="16"/>
        </w:rPr>
        <w:t>neth</w:t>
      </w:r>
      <w:proofErr w:type="spellEnd"/>
      <w:r w:rsidRPr="0040085E">
        <w:rPr>
          <w:sz w:val="16"/>
          <w:szCs w:val="16"/>
        </w:rPr>
        <w:t xml:space="preserve"> </w:t>
      </w:r>
    </w:p>
    <w:p w14:paraId="6BB3D5D8" w14:textId="77777777" w:rsidR="0033229B" w:rsidRPr="00347F59" w:rsidRDefault="0033229B" w:rsidP="0033229B">
      <w:pPr>
        <w:rPr>
          <w:sz w:val="16"/>
        </w:rPr>
      </w:pPr>
      <w:r w:rsidRPr="00347F59">
        <w:rPr>
          <w:rStyle w:val="StyleUnderline"/>
        </w:rPr>
        <w:t xml:space="preserve">First, people should understand that about </w:t>
      </w:r>
      <w:r w:rsidRPr="001A4FA7">
        <w:rPr>
          <w:rStyle w:val="StyleUnderline"/>
          <w:highlight w:val="yellow"/>
        </w:rPr>
        <w:t>75 percent of the worldwide space enterprise is already commercia</w:t>
      </w:r>
      <w:r w:rsidRPr="001A4FA7">
        <w:rPr>
          <w:rStyle w:val="StyleUnderline"/>
        </w:rPr>
        <w:t>l</w:t>
      </w:r>
      <w:r w:rsidRPr="00347F59">
        <w:rPr>
          <w:rStyle w:val="StyleUnderline"/>
        </w:rPr>
        <w:t>, said Scott Hubbard, an adjunct professor in the Department of Aeronautics and Astronautics at Stanford University.</w:t>
      </w:r>
      <w:r>
        <w:rPr>
          <w:rStyle w:val="StyleUnderline"/>
        </w:rPr>
        <w:t xml:space="preserve"> </w:t>
      </w:r>
      <w:r w:rsidRPr="00347F59">
        <w:rPr>
          <w:sz w:val="16"/>
        </w:rPr>
        <w:t xml:space="preserve">This includes the satellites belonging to DirecTV and Sirius XM radio. What's news is the extension of that into the human realm," said Hubbard, who also previously directed NASA's Ames Research Center in Silicon Valley. He served as the agency's "Mars czar," restructuring NASA's robotic Red Planet-exploration program after it suffered several failures in the 1990s. </w:t>
      </w:r>
      <w:r w:rsidRPr="00347F59">
        <w:rPr>
          <w:rStyle w:val="StyleUnderline"/>
        </w:rPr>
        <w:t xml:space="preserve">And </w:t>
      </w:r>
      <w:r w:rsidRPr="00347F59">
        <w:rPr>
          <w:rStyle w:val="StyleUnderline"/>
          <w:highlight w:val="yellow"/>
        </w:rPr>
        <w:t>if private companies can get the price of a suborbital flight down to about $50,000, "you get a lot of interest</w:t>
      </w:r>
      <w:r w:rsidRPr="00347F59">
        <w:rPr>
          <w:rStyle w:val="StyleUnderline"/>
        </w:rPr>
        <w:t>," Hubbard told Space.com.</w:t>
      </w:r>
      <w:r>
        <w:rPr>
          <w:rStyle w:val="StyleUnderline"/>
        </w:rPr>
        <w:t xml:space="preserve"> </w:t>
      </w:r>
      <w:r w:rsidRPr="00347F59">
        <w:rPr>
          <w:rStyle w:val="StyleUnderline"/>
          <w:highlight w:val="yellow"/>
        </w:rPr>
        <w:t>The highest-profile program currently in the works between NASA and the private sector is the agency's Commercial Crew Program</w:t>
      </w:r>
      <w:r w:rsidRPr="00347F59">
        <w:rPr>
          <w:rStyle w:val="StyleUnderline"/>
        </w:rPr>
        <w:t xml:space="preserve">, said Eric </w:t>
      </w:r>
      <w:proofErr w:type="spellStart"/>
      <w:r w:rsidRPr="00347F59">
        <w:rPr>
          <w:rStyle w:val="StyleUnderline"/>
        </w:rPr>
        <w:t>Stallmer</w:t>
      </w:r>
      <w:proofErr w:type="spellEnd"/>
      <w:r w:rsidRPr="00347F59">
        <w:rPr>
          <w:rStyle w:val="StyleUnderline"/>
        </w:rPr>
        <w:t>, president of the nonprofit Commercial Spaceflight Federation.</w:t>
      </w:r>
      <w:r>
        <w:rPr>
          <w:rStyle w:val="StyleUnderline"/>
        </w:rPr>
        <w:t xml:space="preserve"> </w:t>
      </w:r>
      <w:r w:rsidRPr="00347F59">
        <w:rPr>
          <w:rStyle w:val="StyleUnderline"/>
        </w:rPr>
        <w:t xml:space="preserve">Commercial Crew is </w:t>
      </w:r>
      <w:r w:rsidRPr="00347F59">
        <w:rPr>
          <w:rStyle w:val="StyleUnderline"/>
          <w:highlight w:val="yellow"/>
        </w:rPr>
        <w:t>encouraging the development of U.S. spacecraft that will carry astronauts to and from the International Space Station</w:t>
      </w:r>
      <w:r w:rsidRPr="00347F59">
        <w:rPr>
          <w:rStyle w:val="StyleUnderline"/>
        </w:rPr>
        <w:t xml:space="preserve"> (ISS</w:t>
      </w:r>
      <w:r w:rsidRPr="00347F59">
        <w:rPr>
          <w:sz w:val="16"/>
        </w:rPr>
        <w:t xml:space="preserve">). Toward this end, NASA has awarded multibillion-dollar contracts to both SpaceX and Boeing, which are building capsules called Crew Dragon and CST-100 </w:t>
      </w:r>
      <w:proofErr w:type="spellStart"/>
      <w:r w:rsidRPr="00347F59">
        <w:rPr>
          <w:sz w:val="16"/>
        </w:rPr>
        <w:t>Starliner</w:t>
      </w:r>
      <w:proofErr w:type="spellEnd"/>
      <w:r w:rsidRPr="00347F59">
        <w:rPr>
          <w:sz w:val="16"/>
        </w:rPr>
        <w:t xml:space="preserve">, respectively. These craft are currently scheduled to start flying astronauts sometime next year. There's also the maturing commercial cargo program, which has given contracts to SpaceX and Northrop Grumman Corp. to fly robotic cargo missions to the ISS. </w:t>
      </w:r>
      <w:proofErr w:type="gramStart"/>
      <w:r w:rsidRPr="00347F59">
        <w:rPr>
          <w:sz w:val="16"/>
        </w:rPr>
        <w:t>Both of these</w:t>
      </w:r>
      <w:proofErr w:type="gramEnd"/>
      <w:r w:rsidRPr="00347F59">
        <w:rPr>
          <w:sz w:val="16"/>
        </w:rPr>
        <w:t xml:space="preserve"> companies have already completed numerous such flights. Both Hubbard and </w:t>
      </w:r>
      <w:proofErr w:type="spellStart"/>
      <w:r w:rsidRPr="00347F59">
        <w:rPr>
          <w:sz w:val="16"/>
        </w:rPr>
        <w:t>Stallmer</w:t>
      </w:r>
      <w:proofErr w:type="spellEnd"/>
      <w:r w:rsidRPr="00347F59">
        <w:rPr>
          <w:sz w:val="16"/>
        </w:rPr>
        <w:t xml:space="preserve"> said that </w:t>
      </w:r>
      <w:r w:rsidRPr="00347F59">
        <w:rPr>
          <w:rStyle w:val="StyleUnderline"/>
          <w:highlight w:val="yellow"/>
        </w:rPr>
        <w:t>NASA wins by relying on private industry to provide such services in low Earth orbit</w:t>
      </w:r>
      <w:r w:rsidRPr="00347F59">
        <w:rPr>
          <w:sz w:val="16"/>
        </w:rPr>
        <w:t xml:space="preserve">. Hubbard argued that this strategy allows the space agency to continue "exploring the fringe where there really is no business case." </w:t>
      </w:r>
    </w:p>
    <w:p w14:paraId="6D1F9F26" w14:textId="77777777" w:rsidR="0033229B" w:rsidRDefault="0033229B" w:rsidP="0033229B">
      <w:pPr>
        <w:pStyle w:val="Heading3"/>
      </w:pPr>
    </w:p>
    <w:p w14:paraId="386A56D7" w14:textId="77777777" w:rsidR="0033229B" w:rsidRPr="0033229B" w:rsidRDefault="0033229B" w:rsidP="0033229B"/>
    <w:p w14:paraId="0C3E9B3B" w14:textId="77777777" w:rsidR="0033229B" w:rsidRPr="0033229B" w:rsidRDefault="0033229B" w:rsidP="0033229B"/>
    <w:p w14:paraId="4B2C8E6B" w14:textId="77777777" w:rsidR="004E5076" w:rsidRDefault="004E5076"/>
    <w:sectPr w:rsidR="004E50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doNotDisplayPageBoundarie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7B7"/>
    <w:rsid w:val="001B5A5E"/>
    <w:rsid w:val="002945DD"/>
    <w:rsid w:val="002A3618"/>
    <w:rsid w:val="002C32CC"/>
    <w:rsid w:val="00301622"/>
    <w:rsid w:val="0033229B"/>
    <w:rsid w:val="00371DC6"/>
    <w:rsid w:val="003D2386"/>
    <w:rsid w:val="003E37EF"/>
    <w:rsid w:val="0041003B"/>
    <w:rsid w:val="004B1045"/>
    <w:rsid w:val="004E5076"/>
    <w:rsid w:val="00517328"/>
    <w:rsid w:val="00595365"/>
    <w:rsid w:val="006D6EBB"/>
    <w:rsid w:val="006D77ED"/>
    <w:rsid w:val="00745914"/>
    <w:rsid w:val="007B0B27"/>
    <w:rsid w:val="007B3ECD"/>
    <w:rsid w:val="007F3094"/>
    <w:rsid w:val="00835E7E"/>
    <w:rsid w:val="00A66068"/>
    <w:rsid w:val="00A76799"/>
    <w:rsid w:val="00A92214"/>
    <w:rsid w:val="00AF6BFB"/>
    <w:rsid w:val="00B3718C"/>
    <w:rsid w:val="00B43E77"/>
    <w:rsid w:val="00B65390"/>
    <w:rsid w:val="00B82025"/>
    <w:rsid w:val="00E317B7"/>
    <w:rsid w:val="00F70D0A"/>
    <w:rsid w:val="00FA6852"/>
    <w:rsid w:val="00FF5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F04DB4"/>
  <w15:chartTrackingRefBased/>
  <w15:docId w15:val="{AAAFF7C7-48A9-5E42-9327-946C61284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2214"/>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A922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22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A922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40,Big card,body,Normal Tag,heading 2,Ch,Heading 2 Char2 Char,Heading 2 Char1 Char Char,No Spacing211,No Spacing12,No Spacing2111,ta,small space, Ch,small text,TAG,no read,No Spacing4,No Spacing11111,No Spacing5,No Spacing21,Card,T"/>
    <w:basedOn w:val="Normal"/>
    <w:next w:val="Normal"/>
    <w:link w:val="Heading4Char"/>
    <w:uiPriority w:val="9"/>
    <w:unhideWhenUsed/>
    <w:qFormat/>
    <w:rsid w:val="00A922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22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2214"/>
  </w:style>
  <w:style w:type="character" w:customStyle="1" w:styleId="Heading1Char">
    <w:name w:val="Heading 1 Char"/>
    <w:aliases w:val="Pocket Char"/>
    <w:basedOn w:val="DefaultParagraphFont"/>
    <w:link w:val="Heading1"/>
    <w:uiPriority w:val="9"/>
    <w:rsid w:val="00A922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2214"/>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Heading 3 Char1 Char Char Char,Citation Char Char Char Char Char,Citation Char1 Char Char Char"/>
    <w:basedOn w:val="DefaultParagraphFont"/>
    <w:link w:val="Heading3"/>
    <w:uiPriority w:val="9"/>
    <w:rsid w:val="00A92214"/>
    <w:rPr>
      <w:rFonts w:ascii="Calibri" w:eastAsiaTheme="majorEastAsia" w:hAnsi="Calibri" w:cstheme="majorBidi"/>
      <w:b/>
      <w:bCs/>
      <w:sz w:val="32"/>
      <w:szCs w:val="32"/>
      <w:u w:val="single"/>
    </w:rPr>
  </w:style>
  <w:style w:type="character" w:customStyle="1" w:styleId="Heading4Char">
    <w:name w:val="Heading 4 Char"/>
    <w:aliases w:val="Tag Char,heading 40 Char,Big card Char,body Char,Normal Tag Char,heading 2 Char,Ch Char,Heading 2 Char2 Char Char,Heading 2 Char1 Char Char Char,No Spacing211 Char,No Spacing12 Char,No Spacing2111 Char,ta Char,small space Char, Ch Char"/>
    <w:basedOn w:val="DefaultParagraphFont"/>
    <w:link w:val="Heading4"/>
    <w:uiPriority w:val="9"/>
    <w:rsid w:val="00A9221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92214"/>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A9221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20"/>
    <w:qFormat/>
    <w:rsid w:val="00A9221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9221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92214"/>
    <w:rPr>
      <w:color w:val="auto"/>
      <w:u w:val="none"/>
    </w:rPr>
  </w:style>
  <w:style w:type="paragraph" w:styleId="DocumentMap">
    <w:name w:val="Document Map"/>
    <w:basedOn w:val="Normal"/>
    <w:link w:val="DocumentMapChar"/>
    <w:uiPriority w:val="99"/>
    <w:semiHidden/>
    <w:unhideWhenUsed/>
    <w:rsid w:val="00A922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2214"/>
    <w:rPr>
      <w:rFonts w:ascii="Lucida Grande" w:eastAsiaTheme="minorEastAsia" w:hAnsi="Lucida Grande" w:cs="Lucida Grande"/>
    </w:rPr>
  </w:style>
  <w:style w:type="paragraph" w:customStyle="1" w:styleId="paragraph">
    <w:name w:val="paragraph"/>
    <w:basedOn w:val="Normal"/>
    <w:rsid w:val="007B3ECD"/>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7B3ECD"/>
  </w:style>
  <w:style w:type="character" w:customStyle="1" w:styleId="eop">
    <w:name w:val="eop"/>
    <w:basedOn w:val="DefaultParagraphFont"/>
    <w:rsid w:val="007B3ECD"/>
  </w:style>
  <w:style w:type="character" w:customStyle="1" w:styleId="contextualspellingandgrammarerror">
    <w:name w:val="contextualspellingandgrammarerror"/>
    <w:basedOn w:val="DefaultParagraphFont"/>
    <w:rsid w:val="007B3ECD"/>
  </w:style>
  <w:style w:type="paragraph" w:customStyle="1" w:styleId="textbold">
    <w:name w:val="text bold"/>
    <w:basedOn w:val="Normal"/>
    <w:link w:val="Emphasis"/>
    <w:autoRedefine/>
    <w:uiPriority w:val="20"/>
    <w:qFormat/>
    <w:rsid w:val="00595365"/>
    <w:pPr>
      <w:ind w:left="720"/>
      <w:jc w:val="both"/>
    </w:pPr>
    <w:rPr>
      <w:rFonts w:eastAsiaTheme="minorHAnsi"/>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Small Text,Clear"/>
    <w:basedOn w:val="Heading1"/>
    <w:link w:val="Hyperlink"/>
    <w:autoRedefine/>
    <w:uiPriority w:val="99"/>
    <w:qFormat/>
    <w:rsid w:val="00595365"/>
    <w:pPr>
      <w:keepNext w:val="0"/>
      <w:keepLines w:val="0"/>
      <w:spacing w:before="0" w:line="254" w:lineRule="auto"/>
      <w:outlineLvl w:val="9"/>
    </w:pPr>
    <w:rPr>
      <w:rFonts w:asciiTheme="minorHAnsi" w:eastAsiaTheme="minorHAnsi" w:hAnsiTheme="minorHAnsi" w:cstheme="minorBidi"/>
      <w:b w:val="0"/>
      <w:bCs w:val="0"/>
      <w:sz w:val="24"/>
      <w:szCs w:val="24"/>
    </w:rPr>
  </w:style>
  <w:style w:type="paragraph" w:styleId="ListParagraph">
    <w:name w:val="List Paragraph"/>
    <w:aliases w:val="6 font,Colorful List - Accent 11"/>
    <w:basedOn w:val="Normal"/>
    <w:uiPriority w:val="99"/>
    <w:unhideWhenUsed/>
    <w:qFormat/>
    <w:rsid w:val="00AF6BFB"/>
    <w:pPr>
      <w:ind w:left="720"/>
      <w:contextualSpacing/>
    </w:pPr>
    <w:rPr>
      <w:rFonts w:eastAsiaTheme="minorHAnsi"/>
      <w:szCs w:val="22"/>
    </w:rPr>
  </w:style>
  <w:style w:type="character" w:customStyle="1" w:styleId="spellingerror">
    <w:name w:val="spellingerror"/>
    <w:basedOn w:val="DefaultParagraphFont"/>
    <w:rsid w:val="00B65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cc.gov/sites/default/files/transcripts/April%2025%2C%202019%20Hearing%20Transcript%20%282%29.pdf" TargetMode="External"/><Relationship Id="rId13" Type="http://schemas.openxmlformats.org/officeDocument/2006/relationships/hyperlink" Target="http://www.bbc.com/news/world-us-canada-39517569" TargetMode="External"/><Relationship Id="rId18" Type="http://schemas.openxmlformats.org/officeDocument/2006/relationships/hyperlink" Target="https://www.heartland.org/sites/default/files/12-04-15_why_scientists_disagree.pd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thehindu.com/news/international/xi-tightened-control-over-the-pla/article37549460.ece" TargetMode="External"/><Relationship Id="rId12" Type="http://schemas.openxmlformats.org/officeDocument/2006/relationships/hyperlink" Target="https://www.rand.org/blog/2017/05/us-china-tensions-are-unlikely-to-lead-to-war.html" TargetMode="External"/><Relationship Id="rId17" Type="http://schemas.openxmlformats.org/officeDocument/2006/relationships/hyperlink" Target="https://css.umich.edu/factsheets/climate-change-policy-and-mitigation-factsheet" TargetMode="External"/><Relationship Id="rId2" Type="http://schemas.openxmlformats.org/officeDocument/2006/relationships/styles" Target="styles.xml"/><Relationship Id="rId16" Type="http://schemas.openxmlformats.org/officeDocument/2006/relationships/hyperlink" Target="https://www.technologyreview.com/2018/10/19/139664/asteroid-mining-might-actually-be-better-for-the-environmen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scholarship.law.georgetown.edu/cgi/viewcontent.cgi?article=3219&amp;context=facpub" TargetMode="External"/><Relationship Id="rId11" Type="http://schemas.openxmlformats.org/officeDocument/2006/relationships/hyperlink" Target="https://www.rand.org/about/people/h/heath_timothy_r.html" TargetMode="External"/><Relationship Id="rId5" Type="http://schemas.openxmlformats.org/officeDocument/2006/relationships/hyperlink" Target="https://www.upcounsel.com/private-entity" TargetMode="External"/><Relationship Id="rId15" Type="http://schemas.openxmlformats.org/officeDocument/2006/relationships/hyperlink" Target="https://theintercept.com/2017/04/10/snowden-documents-reveal-scope-of-secrets-exposed-to-china-in-2001-spy-plane-incident/" TargetMode="External"/><Relationship Id="rId10" Type="http://schemas.openxmlformats.org/officeDocument/2006/relationships/hyperlink" Target="https://www.issnationallab.org/research-on-the-iss/public-private-partnerships-in-space/" TargetMode="External"/><Relationship Id="rId19" Type="http://schemas.openxmlformats.org/officeDocument/2006/relationships/hyperlink" Target="https://www.space.com/42113-nasa-future-private-spaceflight.html" TargetMode="External"/><Relationship Id="rId4" Type="http://schemas.openxmlformats.org/officeDocument/2006/relationships/webSettings" Target="webSettings.xml"/><Relationship Id="rId9" Type="http://schemas.openxmlformats.org/officeDocument/2006/relationships/hyperlink" Target="https://www.issnationallab.org/research-on-the-iss/public-private-partnerships-in-space/" TargetMode="External"/><Relationship Id="rId14" Type="http://schemas.openxmlformats.org/officeDocument/2006/relationships/hyperlink" Target="http://www.pewresearch.org/fact-tank/2016/03/30/6-facts-about-how-americans-and-chinese-see-each-oth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uhanijampala/Library/Containers/com.apple.news/Data/~/Library/Group%20Containers/UBF8T346G9.Office/User%20Conten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4</TotalTime>
  <Pages>1</Pages>
  <Words>10200</Words>
  <Characters>56207</Characters>
  <Application>Microsoft Office Word</Application>
  <DocSecurity>0</DocSecurity>
  <Lines>579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Jampala, Suhani</dc:creator>
  <cp:keywords/>
  <dc:description/>
  <cp:lastModifiedBy>Jampala, Suhani</cp:lastModifiedBy>
  <cp:revision>2</cp:revision>
  <dcterms:created xsi:type="dcterms:W3CDTF">2022-02-05T19:43:00Z</dcterms:created>
  <dcterms:modified xsi:type="dcterms:W3CDTF">2022-02-05T19:43:00Z</dcterms:modified>
</cp:coreProperties>
</file>