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31CB5B" w14:textId="77777777" w:rsidR="00892495" w:rsidRDefault="00892495" w:rsidP="00892495">
      <w:pPr>
        <w:pStyle w:val="Heading2"/>
      </w:pPr>
      <w:r>
        <w:t>1</w:t>
      </w:r>
    </w:p>
    <w:p w14:paraId="51532D83" w14:textId="77777777" w:rsidR="00892495" w:rsidRDefault="00892495" w:rsidP="00892495">
      <w:pPr>
        <w:pStyle w:val="Heading4"/>
      </w:pPr>
      <w:r>
        <w:t xml:space="preserve">Interpretation – the </w:t>
      </w:r>
      <w:proofErr w:type="spellStart"/>
      <w:r>
        <w:t>Aff</w:t>
      </w:r>
      <w:proofErr w:type="spellEnd"/>
      <w:r>
        <w:t xml:space="preserve"> may not specify a specific medicine</w:t>
      </w:r>
    </w:p>
    <w:p w14:paraId="7F05D10E" w14:textId="77777777" w:rsidR="00892495" w:rsidRDefault="00892495" w:rsidP="00892495">
      <w:pPr>
        <w:pStyle w:val="Heading4"/>
      </w:pPr>
      <w:r>
        <w:t>Medicines is a generic bare plural</w:t>
      </w:r>
    </w:p>
    <w:p w14:paraId="1D31F774" w14:textId="77777777" w:rsidR="00892495" w:rsidRPr="00ED374E" w:rsidRDefault="00892495" w:rsidP="00892495">
      <w:pPr>
        <w:rPr>
          <w:rFonts w:eastAsia="Cambria"/>
        </w:rPr>
      </w:pPr>
      <w:r w:rsidRPr="00ED374E">
        <w:rPr>
          <w:rFonts w:eastAsia="Cambria"/>
          <w:b/>
          <w:bCs/>
        </w:rPr>
        <w:t>Leslie and Lerner 16</w:t>
      </w:r>
      <w:r>
        <w:rPr>
          <w:rFonts w:eastAsia="Cambria"/>
          <w:b/>
          <w:bCs/>
        </w:rPr>
        <w:t xml:space="preserve"> </w:t>
      </w:r>
      <w:r w:rsidRPr="00ED374E">
        <w:rPr>
          <w:rFonts w:eastAsia="Cambria"/>
          <w:sz w:val="16"/>
          <w:szCs w:val="16"/>
        </w:rPr>
        <w:t>[Sarah-Jane Leslie (Ph.D., Princeton, 2007) is the dean of the Graduate School and Class of 1943 Professor of Philosophy. She has previously served as the vice dean for faculty development in the Office of the Dean of the Faculty, director of the Program in Linguistics, and founding director of the Program in Cognitive Science at Princeton University. She is also affiliated faculty in the Department of Psychology, the University Center for Human Values, the Program in Gender and Sexuality Studies, and the Kahneman-</w:t>
      </w:r>
      <w:proofErr w:type="spellStart"/>
      <w:r w:rsidRPr="00ED374E">
        <w:rPr>
          <w:rFonts w:eastAsia="Cambria"/>
          <w:sz w:val="16"/>
          <w:szCs w:val="16"/>
        </w:rPr>
        <w:t>Treisman</w:t>
      </w:r>
      <w:proofErr w:type="spellEnd"/>
      <w:r w:rsidRPr="00ED374E">
        <w:rPr>
          <w:rFonts w:eastAsia="Cambria"/>
          <w:sz w:val="16"/>
          <w:szCs w:val="16"/>
        </w:rPr>
        <w:t xml:space="preserve"> Center for Behavioral Science and Public Policy], and Adam Lerner, </w:t>
      </w:r>
      <w:proofErr w:type="spellStart"/>
      <w:r w:rsidRPr="00ED374E">
        <w:rPr>
          <w:rFonts w:eastAsia="Cambria"/>
          <w:sz w:val="16"/>
          <w:szCs w:val="16"/>
        </w:rPr>
        <w:t>Ph.D</w:t>
      </w:r>
      <w:proofErr w:type="spellEnd"/>
      <w:r w:rsidRPr="00ED374E">
        <w:rPr>
          <w:rFonts w:eastAsia="Cambria"/>
          <w:sz w:val="16"/>
          <w:szCs w:val="16"/>
        </w:rPr>
        <w:t xml:space="preserve">, Postgraduate Research Associate in the Department of Philosophy at Princeton University, 4-24-2016, accessed 9-4-2021, "Generic Generalizations (Stanford Encyclopedia of Philosophy)," </w:t>
      </w:r>
      <w:hyperlink r:id="rId6" w:history="1">
        <w:r w:rsidRPr="00ED374E">
          <w:rPr>
            <w:rFonts w:eastAsia="Cambria"/>
            <w:sz w:val="16"/>
            <w:szCs w:val="16"/>
          </w:rPr>
          <w:t>https://plato.stanford.edu/entries/generics/</w:t>
        </w:r>
      </w:hyperlink>
      <w:r w:rsidRPr="00ED374E">
        <w:rPr>
          <w:rFonts w:eastAsia="Cambria"/>
          <w:sz w:val="16"/>
          <w:szCs w:val="16"/>
        </w:rPr>
        <w:t>] HWIC</w:t>
      </w:r>
    </w:p>
    <w:p w14:paraId="20EEF03D" w14:textId="77777777" w:rsidR="00892495" w:rsidRPr="000A26E9" w:rsidRDefault="00892495" w:rsidP="00892495">
      <w:pPr>
        <w:rPr>
          <w:sz w:val="16"/>
        </w:rPr>
      </w:pPr>
      <w:r w:rsidRPr="000A26E9">
        <w:rPr>
          <w:sz w:val="16"/>
        </w:rPr>
        <w:t xml:space="preserve">There are some tests that are helpful in distinguishing these two readings. For example, </w:t>
      </w:r>
      <w:r w:rsidRPr="00A86A50">
        <w:rPr>
          <w:rStyle w:val="StyleUnderline"/>
          <w:highlight w:val="green"/>
        </w:rPr>
        <w:t>the existential interpretation is upward entailing</w:t>
      </w:r>
      <w:r w:rsidRPr="000A26E9">
        <w:rPr>
          <w:sz w:val="16"/>
        </w:rPr>
        <w:t xml:space="preserve">, meaning that </w:t>
      </w:r>
      <w:r w:rsidRPr="00A86A50">
        <w:rPr>
          <w:rStyle w:val="StyleUnderline"/>
          <w:highlight w:val="green"/>
        </w:rPr>
        <w:t>the</w:t>
      </w:r>
      <w:r w:rsidRPr="000A26E9">
        <w:rPr>
          <w:rStyle w:val="StyleUnderline"/>
        </w:rPr>
        <w:t xml:space="preserve"> </w:t>
      </w:r>
      <w:r w:rsidRPr="00A86A50">
        <w:rPr>
          <w:rStyle w:val="StyleUnderline"/>
          <w:highlight w:val="green"/>
        </w:rPr>
        <w:t>statement</w:t>
      </w:r>
      <w:r w:rsidRPr="000A26E9">
        <w:rPr>
          <w:rStyle w:val="StyleUnderline"/>
        </w:rPr>
        <w:t xml:space="preserve"> </w:t>
      </w:r>
      <w:r w:rsidRPr="00A86A50">
        <w:rPr>
          <w:rStyle w:val="StyleUnderline"/>
          <w:highlight w:val="green"/>
        </w:rPr>
        <w:t>will</w:t>
      </w:r>
      <w:r w:rsidRPr="000A26E9">
        <w:rPr>
          <w:rStyle w:val="StyleUnderline"/>
        </w:rPr>
        <w:t xml:space="preserve"> always </w:t>
      </w:r>
      <w:r w:rsidRPr="00A86A50">
        <w:rPr>
          <w:rStyle w:val="StyleUnderline"/>
          <w:highlight w:val="green"/>
        </w:rPr>
        <w:t>remain true</w:t>
      </w:r>
      <w:r w:rsidRPr="000A26E9">
        <w:rPr>
          <w:rStyle w:val="StyleUnderline"/>
        </w:rPr>
        <w:t xml:space="preserve"> if we replace the subject term </w:t>
      </w:r>
      <w:r w:rsidRPr="00A86A50">
        <w:rPr>
          <w:rStyle w:val="StyleUnderline"/>
          <w:highlight w:val="green"/>
        </w:rPr>
        <w:t>with</w:t>
      </w:r>
      <w:r w:rsidRPr="000A26E9">
        <w:rPr>
          <w:rStyle w:val="StyleUnderline"/>
        </w:rPr>
        <w:t xml:space="preserve"> a </w:t>
      </w:r>
      <w:r w:rsidRPr="00A86A50">
        <w:rPr>
          <w:rStyle w:val="StyleUnderline"/>
          <w:highlight w:val="green"/>
        </w:rPr>
        <w:t>more inclusive term</w:t>
      </w:r>
      <w:r w:rsidRPr="000A26E9">
        <w:rPr>
          <w:sz w:val="16"/>
        </w:rPr>
        <w:t>. Consider our examples above. In (</w:t>
      </w:r>
      <w:hyperlink r:id="rId7" w:anchor="ex1b" w:history="1">
        <w:r w:rsidRPr="000A26E9">
          <w:rPr>
            <w:rStyle w:val="Hyperlink"/>
            <w:sz w:val="16"/>
          </w:rPr>
          <w:t>1b</w:t>
        </w:r>
      </w:hyperlink>
      <w:r w:rsidRPr="000A26E9">
        <w:rPr>
          <w:sz w:val="16"/>
        </w:rPr>
        <w:t>), we can replace “tiger” with “animal” </w:t>
      </w:r>
      <w:proofErr w:type="spellStart"/>
      <w:r w:rsidRPr="000A26E9">
        <w:rPr>
          <w:sz w:val="16"/>
        </w:rPr>
        <w:t>salva</w:t>
      </w:r>
      <w:proofErr w:type="spellEnd"/>
      <w:r w:rsidRPr="000A26E9">
        <w:rPr>
          <w:sz w:val="16"/>
        </w:rPr>
        <w:t xml:space="preserve"> </w:t>
      </w:r>
      <w:proofErr w:type="spellStart"/>
      <w:r w:rsidRPr="000A26E9">
        <w:rPr>
          <w:sz w:val="16"/>
        </w:rPr>
        <w:t>veritate</w:t>
      </w:r>
      <w:proofErr w:type="spellEnd"/>
      <w:r w:rsidRPr="000A26E9">
        <w:rPr>
          <w:sz w:val="16"/>
        </w:rPr>
        <w:t>, but in (</w:t>
      </w:r>
      <w:hyperlink r:id="rId8" w:anchor="ex1a" w:history="1">
        <w:r w:rsidRPr="000A26E9">
          <w:rPr>
            <w:rStyle w:val="Hyperlink"/>
            <w:sz w:val="16"/>
          </w:rPr>
          <w:t>1a</w:t>
        </w:r>
      </w:hyperlink>
      <w:r w:rsidRPr="000A26E9">
        <w:rPr>
          <w:sz w:val="16"/>
        </w:rPr>
        <w:t xml:space="preserve">) we cannot. </w:t>
      </w:r>
      <w:r w:rsidRPr="00A86A50">
        <w:rPr>
          <w:rStyle w:val="Emphasis"/>
          <w:highlight w:val="green"/>
        </w:rPr>
        <w:t>If “tigers are on the lawn” is true, then “animals are on the lawn” must be true.</w:t>
      </w:r>
      <w:r w:rsidRPr="00A86A50">
        <w:rPr>
          <w:rStyle w:val="StyleUnderline"/>
          <w:highlight w:val="green"/>
        </w:rPr>
        <w:t xml:space="preserve"> However, </w:t>
      </w:r>
      <w:r w:rsidRPr="00A86A50">
        <w:rPr>
          <w:rStyle w:val="Emphasis"/>
          <w:highlight w:val="green"/>
        </w:rPr>
        <w:t>“tigers are striped” is true, yet “animals are striped” is false</w:t>
      </w:r>
      <w:r w:rsidRPr="000A26E9">
        <w:rPr>
          <w:sz w:val="16"/>
        </w:rPr>
        <w:t>. (</w:t>
      </w:r>
      <w:hyperlink r:id="rId9" w:anchor="ex1a" w:history="1">
        <w:r w:rsidRPr="000A26E9">
          <w:rPr>
            <w:rStyle w:val="Hyperlink"/>
            <w:sz w:val="16"/>
          </w:rPr>
          <w:t>1a</w:t>
        </w:r>
      </w:hyperlink>
      <w:r w:rsidRPr="000A26E9">
        <w:rPr>
          <w:sz w:val="16"/>
        </w:rPr>
        <w:t>) does not entail that animals are striped, but (</w:t>
      </w:r>
      <w:hyperlink r:id="rId10" w:anchor="ex1b" w:history="1">
        <w:r w:rsidRPr="000A26E9">
          <w:rPr>
            <w:rStyle w:val="Hyperlink"/>
            <w:sz w:val="16"/>
          </w:rPr>
          <w:t>1b</w:t>
        </w:r>
      </w:hyperlink>
      <w:r w:rsidRPr="000A26E9">
        <w:rPr>
          <w:sz w:val="16"/>
        </w:rPr>
        <w:t xml:space="preserve">) entails that animals are on the front lawn (Lawler 1973; </w:t>
      </w:r>
      <w:proofErr w:type="spellStart"/>
      <w:r w:rsidRPr="000A26E9">
        <w:rPr>
          <w:sz w:val="16"/>
        </w:rPr>
        <w:t>Laca</w:t>
      </w:r>
      <w:proofErr w:type="spellEnd"/>
      <w:r w:rsidRPr="000A26E9">
        <w:rPr>
          <w:sz w:val="16"/>
        </w:rPr>
        <w:t xml:space="preserve"> 1990; </w:t>
      </w:r>
      <w:proofErr w:type="spellStart"/>
      <w:r w:rsidRPr="000A26E9">
        <w:rPr>
          <w:sz w:val="16"/>
        </w:rPr>
        <w:t>Krifka</w:t>
      </w:r>
      <w:proofErr w:type="spellEnd"/>
      <w:r w:rsidRPr="000A26E9">
        <w:rPr>
          <w:sz w:val="16"/>
        </w:rPr>
        <w:t xml:space="preserve"> et al. 1995).</w:t>
      </w:r>
    </w:p>
    <w:p w14:paraId="09831880" w14:textId="77777777" w:rsidR="00892495" w:rsidRPr="000A26E9" w:rsidRDefault="00892495" w:rsidP="00892495">
      <w:pPr>
        <w:rPr>
          <w:sz w:val="16"/>
        </w:rPr>
      </w:pPr>
      <w:r w:rsidRPr="00A86A50">
        <w:rPr>
          <w:rStyle w:val="StyleUnderline"/>
          <w:highlight w:val="green"/>
        </w:rPr>
        <w:t>Another test concerns whether we can</w:t>
      </w:r>
      <w:r w:rsidRPr="000A26E9">
        <w:rPr>
          <w:rStyle w:val="StyleUnderline"/>
        </w:rPr>
        <w:t xml:space="preserve"> </w:t>
      </w:r>
      <w:r w:rsidRPr="00A86A50">
        <w:rPr>
          <w:rStyle w:val="StyleUnderline"/>
          <w:highlight w:val="green"/>
        </w:rPr>
        <w:t>insert an adverb of quantification with minimal change of meaning</w:t>
      </w:r>
      <w:r w:rsidRPr="000A26E9">
        <w:rPr>
          <w:sz w:val="16"/>
        </w:rPr>
        <w:t xml:space="preserve"> (</w:t>
      </w:r>
      <w:proofErr w:type="spellStart"/>
      <w:r w:rsidRPr="000A26E9">
        <w:rPr>
          <w:sz w:val="16"/>
        </w:rPr>
        <w:t>Krifka</w:t>
      </w:r>
      <w:proofErr w:type="spellEnd"/>
      <w:r w:rsidRPr="000A26E9">
        <w:rPr>
          <w:sz w:val="16"/>
        </w:rPr>
        <w:t xml:space="preserve"> et al. 1995). For example, </w:t>
      </w:r>
      <w:r w:rsidRPr="00A86A50">
        <w:rPr>
          <w:rStyle w:val="StyleUnderline"/>
          <w:highlight w:val="green"/>
        </w:rPr>
        <w:t>inserting “usually” in the sentence</w:t>
      </w:r>
      <w:r w:rsidRPr="00A86A50">
        <w:rPr>
          <w:rStyle w:val="StyleUnderline"/>
        </w:rPr>
        <w:t>s in (</w:t>
      </w:r>
      <w:hyperlink r:id="rId11" w:anchor="ex1a" w:history="1">
        <w:r w:rsidRPr="000A26E9">
          <w:rPr>
            <w:rStyle w:val="StyleUnderline"/>
          </w:rPr>
          <w:t>1a</w:t>
        </w:r>
      </w:hyperlink>
      <w:r w:rsidRPr="000A26E9">
        <w:rPr>
          <w:rStyle w:val="StyleUnderline"/>
        </w:rPr>
        <w:t>) (e.g., “tigers are usually striped”) produces only a small change in meaning</w:t>
      </w:r>
      <w:r w:rsidRPr="000A26E9">
        <w:rPr>
          <w:sz w:val="16"/>
        </w:rPr>
        <w:t xml:space="preserve">, while </w:t>
      </w:r>
      <w:r w:rsidRPr="000A26E9">
        <w:rPr>
          <w:rStyle w:val="StyleUnderline"/>
        </w:rPr>
        <w:t>inserting “usually” in (</w:t>
      </w:r>
      <w:hyperlink r:id="rId12" w:anchor="ex1b" w:history="1">
        <w:r w:rsidRPr="000A26E9">
          <w:rPr>
            <w:rStyle w:val="StyleUnderline"/>
          </w:rPr>
          <w:t>1b</w:t>
        </w:r>
      </w:hyperlink>
      <w:r w:rsidRPr="000A26E9">
        <w:rPr>
          <w:rStyle w:val="StyleUnderline"/>
        </w:rPr>
        <w:t xml:space="preserve">) </w:t>
      </w:r>
      <w:r w:rsidRPr="00A86A50">
        <w:rPr>
          <w:rStyle w:val="StyleUnderline"/>
          <w:highlight w:val="green"/>
        </w:rPr>
        <w:t>dramatically alters the meaning of the sentence</w:t>
      </w:r>
      <w:r w:rsidRPr="000A26E9">
        <w:rPr>
          <w:rStyle w:val="StyleUnderline"/>
        </w:rPr>
        <w:t xml:space="preserve"> (e.g., “tigers are usually on the front lawn”). </w:t>
      </w:r>
      <w:r w:rsidRPr="000A26E9">
        <w:rPr>
          <w:sz w:val="16"/>
        </w:rPr>
        <w:t>(For generics such as “mosquitoes carry malaria”, the adverb “sometimes” is perhaps better used than “usually” to mark off the generic reading.)</w:t>
      </w:r>
    </w:p>
    <w:p w14:paraId="054F8CCB" w14:textId="77777777" w:rsidR="00892495" w:rsidRDefault="00892495" w:rsidP="00892495">
      <w:pPr>
        <w:pStyle w:val="Heading4"/>
      </w:pPr>
      <w:r>
        <w:t xml:space="preserve">It applies to this topic – </w:t>
      </w:r>
      <w:r>
        <w:rPr>
          <w:rFonts w:cs="Calibri"/>
        </w:rPr>
        <w:t>“Member nations ought to reduce IP for covid – therefore, member nations ought to reduce IP for all” is illogical</w:t>
      </w:r>
      <w:r>
        <w:t xml:space="preserve"> </w:t>
      </w:r>
    </w:p>
    <w:p w14:paraId="57D8F441" w14:textId="77777777" w:rsidR="00892495" w:rsidRDefault="00892495" w:rsidP="00892495">
      <w:pPr>
        <w:pStyle w:val="Heading4"/>
      </w:pPr>
      <w:r>
        <w:t xml:space="preserve">1] Limits: There’s inf medicines they could specify, coupled with various types of countries. Kills neg burdens – it’s impossible for me to research every possible combination of the 195 countries and medicines. </w:t>
      </w:r>
    </w:p>
    <w:p w14:paraId="391F3768" w14:textId="77777777" w:rsidR="00892495" w:rsidRDefault="00892495" w:rsidP="00892495">
      <w:pPr>
        <w:pStyle w:val="Heading4"/>
      </w:pPr>
      <w:r>
        <w:t xml:space="preserve">2] TVA Solves – just read your </w:t>
      </w:r>
      <w:proofErr w:type="spellStart"/>
      <w:r>
        <w:t>aff</w:t>
      </w:r>
      <w:proofErr w:type="spellEnd"/>
      <w:r>
        <w:t xml:space="preserve"> as an advantage to a whole </w:t>
      </w:r>
      <w:proofErr w:type="spellStart"/>
      <w:r>
        <w:t>rez</w:t>
      </w:r>
      <w:proofErr w:type="spellEnd"/>
      <w:r>
        <w:t xml:space="preserve"> </w:t>
      </w:r>
      <w:proofErr w:type="spellStart"/>
      <w:r>
        <w:t>aff</w:t>
      </w:r>
      <w:proofErr w:type="spellEnd"/>
      <w:r>
        <w:t xml:space="preserve">. We aren’t stopping them from reading new FWs, mechanisms, or advantages. PICs don’t solve – it’s ridiculous to say that neg potential abuse justifies the </w:t>
      </w:r>
      <w:proofErr w:type="spellStart"/>
      <w:r>
        <w:t>aff</w:t>
      </w:r>
      <w:proofErr w:type="spellEnd"/>
      <w:r>
        <w:t xml:space="preserve"> making it impossible for me to win</w:t>
      </w:r>
    </w:p>
    <w:p w14:paraId="7D9D69CB" w14:textId="77777777" w:rsidR="00892495" w:rsidRPr="007F4AC7" w:rsidRDefault="00892495" w:rsidP="00892495">
      <w:pPr>
        <w:pStyle w:val="Heading4"/>
      </w:pPr>
      <w:r>
        <w:t>Topicality should be a voting issue evaluated through competing interpretations—reasonability invites arbitrary judge intervention that takes the debate out of the hands of the debaters. Pre-round prep has already been skewed which means the only remedy is to drop the debater.</w:t>
      </w:r>
    </w:p>
    <w:p w14:paraId="1A45188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92495"/>
    <w:rsid w:val="000139A3"/>
    <w:rsid w:val="00100833"/>
    <w:rsid w:val="00104529"/>
    <w:rsid w:val="00105942"/>
    <w:rsid w:val="00107396"/>
    <w:rsid w:val="00144A4C"/>
    <w:rsid w:val="00176AB0"/>
    <w:rsid w:val="00177B7D"/>
    <w:rsid w:val="0018322D"/>
    <w:rsid w:val="00187D4E"/>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3838"/>
    <w:rsid w:val="006D4ECC"/>
    <w:rsid w:val="00722258"/>
    <w:rsid w:val="007243E5"/>
    <w:rsid w:val="00766EA0"/>
    <w:rsid w:val="007A2226"/>
    <w:rsid w:val="007F5B66"/>
    <w:rsid w:val="00823A1C"/>
    <w:rsid w:val="00845B9D"/>
    <w:rsid w:val="00860984"/>
    <w:rsid w:val="00892495"/>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13D21"/>
  <w15:chartTrackingRefBased/>
  <w15:docId w15:val="{72E88B88-1B84-4D0F-8579-CCF218441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92495"/>
    <w:rPr>
      <w:rFonts w:ascii="Calibri" w:hAnsi="Calibri" w:cs="Calibri"/>
      <w:sz w:val="26"/>
    </w:rPr>
  </w:style>
  <w:style w:type="paragraph" w:styleId="Heading1">
    <w:name w:val="heading 1"/>
    <w:aliases w:val="Pocket"/>
    <w:basedOn w:val="Normal"/>
    <w:next w:val="Normal"/>
    <w:link w:val="Heading1Char"/>
    <w:qFormat/>
    <w:rsid w:val="008924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9249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9249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Ch,no read,No Spacing111111,No Spacing211,No Spacing12,No Spacing2111,No Spacing11111,small space,ta,Car,CD - Cite,t,Ta,No Spacing4,No Spacing21,Heading 2 Char2 Char,No Spacing5,Heading 21"/>
    <w:basedOn w:val="Normal"/>
    <w:next w:val="Normal"/>
    <w:link w:val="Heading4Char"/>
    <w:uiPriority w:val="3"/>
    <w:unhideWhenUsed/>
    <w:qFormat/>
    <w:rsid w:val="00892495"/>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8924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2495"/>
  </w:style>
  <w:style w:type="character" w:customStyle="1" w:styleId="Heading1Char">
    <w:name w:val="Heading 1 Char"/>
    <w:aliases w:val="Pocket Char"/>
    <w:basedOn w:val="DefaultParagraphFont"/>
    <w:link w:val="Heading1"/>
    <w:rsid w:val="0089249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9249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9249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Ch Char,no read Char,No Spacing111111 Char,No Spacing211 Char,No Spacing12 Char,No Spacing2111 Char,No Spacing11111 Char,small space Char,ta Char"/>
    <w:basedOn w:val="DefaultParagraphFont"/>
    <w:link w:val="Heading4"/>
    <w:uiPriority w:val="3"/>
    <w:rsid w:val="0089249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7"/>
    <w:qFormat/>
    <w:rsid w:val="00892495"/>
    <w:rPr>
      <w:rFonts w:ascii="Calibri" w:hAnsi="Calibri" w:cs="Calibri"/>
      <w:b/>
      <w:i w:val="0"/>
      <w:iCs/>
      <w:sz w:val="26"/>
      <w:u w:val="single"/>
      <w:bdr w:val="single" w:sz="12" w:space="0" w:color="auto"/>
    </w:rPr>
  </w:style>
  <w:style w:type="character" w:customStyle="1" w:styleId="Style13ptBold">
    <w:name w:val="Style 13 pt Bold"/>
    <w:aliases w:val="Cite"/>
    <w:basedOn w:val="DefaultParagraphFont"/>
    <w:uiPriority w:val="5"/>
    <w:qFormat/>
    <w:rsid w:val="00892495"/>
    <w:rPr>
      <w:b/>
      <w:bCs/>
      <w:sz w:val="26"/>
      <w:u w:val="singl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6"/>
    <w:qFormat/>
    <w:rsid w:val="00892495"/>
    <w:rPr>
      <w:b/>
      <w:sz w:val="26"/>
      <w:u w:val="single"/>
    </w:rPr>
  </w:style>
  <w:style w:type="character" w:styleId="Hyperlink">
    <w:name w:val="Hyperlink"/>
    <w:aliases w:val="heading 1 (block title),Card Text,Important,Read,Internet Link,Analytic Text,Internet link,Char Char1,Heading 3 Char1,Block Char1,Char Char Char Char Char Char Char Char Char1,Char1 Char1,Char Char Char Char Char Char Char Char2,Text 7 Char1,T"/>
    <w:basedOn w:val="DefaultParagraphFont"/>
    <w:link w:val="Card"/>
    <w:uiPriority w:val="99"/>
    <w:unhideWhenUsed/>
    <w:rsid w:val="00892495"/>
    <w:rPr>
      <w:color w:val="auto"/>
      <w:u w:val="none"/>
    </w:rPr>
  </w:style>
  <w:style w:type="character" w:styleId="FollowedHyperlink">
    <w:name w:val="FollowedHyperlink"/>
    <w:basedOn w:val="DefaultParagraphFont"/>
    <w:uiPriority w:val="99"/>
    <w:semiHidden/>
    <w:unhideWhenUsed/>
    <w:rsid w:val="00892495"/>
    <w:rPr>
      <w:color w:val="auto"/>
      <w:u w:val="none"/>
    </w:rPr>
  </w:style>
  <w:style w:type="paragraph" w:customStyle="1" w:styleId="textbold">
    <w:name w:val="text bold"/>
    <w:basedOn w:val="Normal"/>
    <w:link w:val="Emphasis"/>
    <w:uiPriority w:val="7"/>
    <w:qFormat/>
    <w:rsid w:val="00892495"/>
    <w:pPr>
      <w:pBdr>
        <w:top w:val="single" w:sz="4" w:space="0" w:color="auto"/>
        <w:left w:val="single" w:sz="4" w:space="0" w:color="auto"/>
        <w:bottom w:val="single" w:sz="4" w:space="0" w:color="auto"/>
        <w:right w:val="single" w:sz="4" w:space="0" w:color="auto"/>
      </w:pBdr>
      <w:spacing w:after="0" w:line="256" w:lineRule="auto"/>
      <w:ind w:left="720"/>
      <w:jc w:val="both"/>
    </w:pPr>
    <w:rPr>
      <w:b/>
      <w:iCs/>
      <w:u w:val="single"/>
      <w:bdr w:val="single" w:sz="12" w:space="0" w:color="auto"/>
    </w:rPr>
  </w:style>
  <w:style w:type="paragraph" w:customStyle="1" w:styleId="Card">
    <w:name w:val="Card"/>
    <w:aliases w:val="No Spacing31,No Spacing22,No Spacing3,tag,No Spacing1,No Spacing111,No Spacing11,No Spacing112,No Spacing2,Debate Text,Read stuff,No Spacing1121,Tag and Cite,nonunderlined,Tags,No Spacing1111,tags,Dont use,Very Small Text,No Spacing111112,card"/>
    <w:basedOn w:val="Heading1"/>
    <w:link w:val="Hyperlink"/>
    <w:autoRedefine/>
    <w:uiPriority w:val="99"/>
    <w:qFormat/>
    <w:rsid w:val="00892495"/>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generic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plato.stanford.edu/entries/generics/" TargetMode="External"/><Relationship Id="rId12" Type="http://schemas.openxmlformats.org/officeDocument/2006/relationships/hyperlink" Target="https://plato.stanford.edu/entries/generic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lato.stanford.edu/entries/generics/" TargetMode="External"/><Relationship Id="rId11" Type="http://schemas.openxmlformats.org/officeDocument/2006/relationships/hyperlink" Target="https://plato.stanford.edu/entries/generics/" TargetMode="External"/><Relationship Id="rId5" Type="http://schemas.openxmlformats.org/officeDocument/2006/relationships/webSettings" Target="webSettings.xml"/><Relationship Id="rId10" Type="http://schemas.openxmlformats.org/officeDocument/2006/relationships/hyperlink" Target="https://plato.stanford.edu/entries/generics/" TargetMode="External"/><Relationship Id="rId4" Type="http://schemas.openxmlformats.org/officeDocument/2006/relationships/settings" Target="settings.xml"/><Relationship Id="rId9" Type="http://schemas.openxmlformats.org/officeDocument/2006/relationships/hyperlink" Target="https://plato.stanford.edu/entries/generics/"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ya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528</Words>
  <Characters>3016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Enya Gu</dc:creator>
  <cp:keywords>5.1.1</cp:keywords>
  <dc:description/>
  <cp:lastModifiedBy>Enya Gu</cp:lastModifiedBy>
  <cp:revision>1</cp:revision>
  <dcterms:created xsi:type="dcterms:W3CDTF">2021-09-19T03:40:00Z</dcterms:created>
  <dcterms:modified xsi:type="dcterms:W3CDTF">2021-09-19T03:40:00Z</dcterms:modified>
</cp:coreProperties>
</file>