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0ABD6" w14:textId="104B09B5" w:rsidR="00E42E4C" w:rsidRDefault="00665156" w:rsidP="00665156">
      <w:pPr>
        <w:pStyle w:val="Heading1"/>
      </w:pPr>
      <w:r>
        <w:t>AC</w:t>
      </w:r>
    </w:p>
    <w:p w14:paraId="43C64E56" w14:textId="77777777" w:rsidR="00665156" w:rsidRPr="003B5D6E" w:rsidRDefault="00665156" w:rsidP="00665156">
      <w:pPr>
        <w:pStyle w:val="Heading3"/>
      </w:pPr>
      <w:r>
        <w:lastRenderedPageBreak/>
        <w:t>Overview</w:t>
      </w:r>
    </w:p>
    <w:p w14:paraId="29B81E2C" w14:textId="77777777" w:rsidR="00665156" w:rsidRPr="006363C1" w:rsidRDefault="00665156" w:rsidP="00665156">
      <w:pPr>
        <w:pStyle w:val="Heading4"/>
      </w:pPr>
      <w:r>
        <w:t xml:space="preserve">[1] </w:t>
      </w:r>
      <w:r w:rsidRPr="00766B16">
        <w:t>Permissibility Affirms – A</w:t>
      </w:r>
      <w:r>
        <w:t xml:space="preserve">) </w:t>
      </w:r>
      <w:hyperlink r:id="rId9" w:history="1">
        <w:r w:rsidRPr="006363C1">
          <w:rPr>
            <w:rStyle w:val="Hyperlink"/>
          </w:rPr>
          <w:t>Unjust</w:t>
        </w:r>
      </w:hyperlink>
      <w:r>
        <w:t xml:space="preserve"> is defined as not morally right, therefore the negative must prove that the resolution is expressly right or good since neutrality means it’s not necessarily right and the aff would win B</w:t>
      </w:r>
      <w:r w:rsidRPr="00766B16">
        <w:t>) Reciprocity – it’s reciprocal since the neg gets exclusive access to T which gives them a 2-1 advantage on the theoretical layer – granting me permissibility solves since I get a 2-1 substantive advantage</w:t>
      </w:r>
    </w:p>
    <w:p w14:paraId="176A4B2A" w14:textId="77777777" w:rsidR="00665156" w:rsidRPr="00E16540" w:rsidRDefault="00665156" w:rsidP="00665156">
      <w:pPr>
        <w:pStyle w:val="Heading4"/>
      </w:pPr>
      <w:r>
        <w:t xml:space="preserve">[2] </w:t>
      </w:r>
      <w:r w:rsidRPr="00F92A74">
        <w:t>Presumption Affirms – A) Epistemics – we wouldn’t be able to start a strand of reasoning since we’d have to question that reason B) Otherwise we’d have to have a proactive justification to do things like drink water C) Its Intuitive – If I told you my name was sebastian you’d believe me</w:t>
      </w:r>
    </w:p>
    <w:p w14:paraId="63D2412E" w14:textId="77777777" w:rsidR="00665156" w:rsidRPr="00766B16" w:rsidRDefault="00665156" w:rsidP="00665156">
      <w:pPr>
        <w:pStyle w:val="Heading4"/>
        <w:rPr>
          <w:rFonts w:cs="Times New Roman"/>
          <w:iCs/>
        </w:rPr>
      </w:pPr>
      <w:r>
        <w:t xml:space="preserve">[3] </w:t>
      </w:r>
      <w:r w:rsidRPr="00766B16">
        <w:rPr>
          <w:rFonts w:cs="Times New Roman"/>
          <w:iCs/>
        </w:rPr>
        <w:t xml:space="preserve">AFF theory is no RVI, Drop the debater, competing interps, under an interp that aff theory is legit A) infinite abuse since otherwise it would be impossible to check NC abuse B) the 2n can dump on a script to a CI and go for RVI’s making it impossible to check abuse C) The 1ar is too short to win theory and substance D) The 2n can always create infinite reasonability arguments the 2ar can’t get through. </w:t>
      </w:r>
    </w:p>
    <w:p w14:paraId="141B6106" w14:textId="77777777" w:rsidR="00665156" w:rsidRDefault="00665156" w:rsidP="00665156">
      <w:pPr>
        <w:pStyle w:val="Heading4"/>
        <w:rPr>
          <w:rFonts w:cs="Times New Roman"/>
          <w:iCs/>
        </w:rPr>
      </w:pPr>
      <w:r>
        <w:t xml:space="preserve">[4] </w:t>
      </w:r>
      <w:r w:rsidRPr="00766B16">
        <w:rPr>
          <w:rFonts w:cs="Times New Roman"/>
          <w:iCs/>
        </w:rPr>
        <w:t>No 2n theory arguments and paradigm issues – A) All the paradigm issues were in the aff which means any 2n argument is new and can’t be evaluated B) it becomes impossible to check NC abuse if you can dump on reasons the shell doesn't matter in the 2n</w:t>
      </w:r>
    </w:p>
    <w:p w14:paraId="7965D873" w14:textId="77777777" w:rsidR="00665156" w:rsidRDefault="00665156" w:rsidP="00665156">
      <w:pPr>
        <w:pStyle w:val="Heading4"/>
      </w:pPr>
      <w:r>
        <w:t>[5] Let’s make a deal – The negative must concede that either Permissibility or presumption affirms. Violations are preemptive and inherent to the interp. A) key to 1AR strat, the 1AR is much too short to win multiple layers such as theory, framework and contention as well as disprove arguments like skepticism so I need creative outs and triggers to substantively compensate. B) Anything else incentivizes the NC to load up with multiple forms of triggers but splitting up the two forces more nuanced engagement as they can be leveraged against one another.</w:t>
      </w:r>
    </w:p>
    <w:p w14:paraId="532DB999" w14:textId="77777777" w:rsidR="00665156" w:rsidRDefault="00665156" w:rsidP="00665156">
      <w:pPr>
        <w:pStyle w:val="Heading3"/>
      </w:pPr>
      <w:r>
        <w:lastRenderedPageBreak/>
        <w:t>Framework</w:t>
      </w:r>
    </w:p>
    <w:p w14:paraId="1C360C4F" w14:textId="77777777" w:rsidR="00665156" w:rsidRDefault="00665156" w:rsidP="00665156">
      <w:pPr>
        <w:pStyle w:val="Heading4"/>
      </w:pPr>
      <w:r>
        <w:t>The Is-Ought gap results in an inability to evaluate ethics – Only constitituvism resolves it because it can discern a logical ethical obligation from a matter of fact.</w:t>
      </w:r>
    </w:p>
    <w:p w14:paraId="6082F17D" w14:textId="77777777" w:rsidR="00665156" w:rsidRDefault="00665156" w:rsidP="00665156">
      <w:pPr>
        <w:widowControl w:val="0"/>
        <w:autoSpaceDE w:val="0"/>
        <w:autoSpaceDN w:val="0"/>
        <w:adjustRightInd w:val="0"/>
        <w:spacing w:after="256"/>
        <w:rPr>
          <w:b/>
        </w:rPr>
      </w:pPr>
      <w:r w:rsidRPr="0050616F">
        <w:rPr>
          <w:rStyle w:val="Emphasis"/>
        </w:rPr>
        <w:t>Grey Contextualizes the argument [The author doesn’t agree with this argument’s conclusion, and his words are solely used to eloquently define the argument]</w:t>
      </w:r>
      <w:r w:rsidRPr="008D2513">
        <w:rPr>
          <w:rStyle w:val="Style13ptBold"/>
        </w:rPr>
        <w:t xml:space="preserve"> </w:t>
      </w:r>
      <w:r w:rsidRPr="00C40236">
        <w:rPr>
          <w:rFonts w:ascii="Times" w:hAnsi="Times" w:cs="Times"/>
          <w:sz w:val="12"/>
          <w:szCs w:val="12"/>
        </w:rPr>
        <w:t xml:space="preserve">Grey, JW. "The Is/Ought Gap: How Do We Get "Ought" from "Is?"" </w:t>
      </w:r>
      <w:r w:rsidRPr="00C40236">
        <w:rPr>
          <w:rFonts w:ascii="Times" w:hAnsi="Times" w:cs="Times"/>
          <w:i/>
          <w:iCs/>
          <w:sz w:val="12"/>
          <w:szCs w:val="12"/>
        </w:rPr>
        <w:t>Ethical Realism</w:t>
      </w:r>
      <w:r w:rsidRPr="00C40236">
        <w:rPr>
          <w:rFonts w:ascii="Times" w:hAnsi="Times" w:cs="Times"/>
          <w:sz w:val="12"/>
          <w:szCs w:val="12"/>
        </w:rPr>
        <w:t>. N.p., 19 July 2011. Web. 28 Oct. 2015.</w:t>
      </w:r>
      <w:r>
        <w:rPr>
          <w:b/>
        </w:rPr>
        <w:t xml:space="preserve"> </w:t>
      </w:r>
    </w:p>
    <w:p w14:paraId="1A772A7E" w14:textId="77777777" w:rsidR="00665156" w:rsidRDefault="00665156" w:rsidP="00665156">
      <w:pPr>
        <w:widowControl w:val="0"/>
        <w:autoSpaceDE w:val="0"/>
        <w:autoSpaceDN w:val="0"/>
        <w:adjustRightInd w:val="0"/>
        <w:spacing w:after="256"/>
        <w:rPr>
          <w:sz w:val="12"/>
          <w:szCs w:val="12"/>
        </w:rPr>
      </w:pPr>
      <w:r w:rsidRPr="008D2513">
        <w:rPr>
          <w:b/>
          <w:highlight w:val="yellow"/>
          <w:u w:val="single"/>
        </w:rPr>
        <w:t>Facts are</w:t>
      </w:r>
      <w:r w:rsidRPr="00006D00">
        <w:rPr>
          <w:b/>
          <w:u w:val="single"/>
        </w:rPr>
        <w:t xml:space="preserve"> states of affairs—</w:t>
      </w:r>
      <w:r w:rsidRPr="008D2513">
        <w:rPr>
          <w:b/>
          <w:highlight w:val="yellow"/>
          <w:u w:val="single"/>
        </w:rPr>
        <w:t>actual things</w:t>
      </w:r>
      <w:r w:rsidRPr="00006D00">
        <w:rPr>
          <w:b/>
          <w:u w:val="single"/>
        </w:rPr>
        <w:t xml:space="preserve"> that exist and relations between things that exist.</w:t>
      </w:r>
      <w:r w:rsidRPr="00006D00">
        <w:t xml:space="preserve"> </w:t>
      </w:r>
      <w:r w:rsidRPr="00006D00">
        <w:rPr>
          <w:sz w:val="12"/>
          <w:szCs w:val="12"/>
        </w:rPr>
        <w:t>That a cat is on the mat is a fact.</w:t>
      </w:r>
      <w:r w:rsidRPr="00006D00">
        <w:t xml:space="preserve"> </w:t>
      </w:r>
      <w:r w:rsidRPr="008D2513">
        <w:rPr>
          <w:b/>
          <w:highlight w:val="yellow"/>
          <w:u w:val="single"/>
        </w:rPr>
        <w:t>It’s unclear how what</w:t>
      </w:r>
      <w:r w:rsidRPr="00006D00">
        <w:rPr>
          <w:b/>
          <w:u w:val="single"/>
        </w:rPr>
        <w:t xml:space="preserve"> morally </w:t>
      </w:r>
      <w:r w:rsidRPr="008D2513">
        <w:rPr>
          <w:b/>
          <w:highlight w:val="yellow"/>
          <w:u w:val="single"/>
        </w:rPr>
        <w:t>ought to be the case can be a fact</w:t>
      </w:r>
      <w:r w:rsidRPr="00006D00">
        <w:rPr>
          <w:b/>
          <w:u w:val="single"/>
        </w:rPr>
        <w:t>.</w:t>
      </w:r>
      <w:r w:rsidRPr="00006D00">
        <w:t xml:space="preserve"> </w:t>
      </w:r>
      <w:r w:rsidRPr="00006D00">
        <w:rPr>
          <w:sz w:val="12"/>
          <w:szCs w:val="12"/>
        </w:rPr>
        <w:t>What morally ought to be is often quite different from the actual state of affairs in the world. A thief steals, a murderer kills, and so on. People aren’t actually doing what they ought to do. How can a state of affairs that ought to exist be said to be a fact when what ought to be the case is often quite different from what actually exists or happens in the world? Anti-realists see no good answers for these questions, but they think anti-realism can solve the problem by avoiding it.</w:t>
      </w:r>
      <w:r w:rsidRPr="00006D00">
        <w:t xml:space="preserve"> </w:t>
      </w:r>
      <w:r w:rsidRPr="00006D00">
        <w:rPr>
          <w:b/>
          <w:u w:val="single"/>
        </w:rPr>
        <w:t xml:space="preserve">If there are no moral facts, then we no longer need to answer these questions. In some sense </w:t>
      </w:r>
      <w:r w:rsidRPr="00006D00">
        <w:rPr>
          <w:b/>
          <w:i/>
          <w:iCs/>
          <w:u w:val="single"/>
        </w:rPr>
        <w:t>what ought to be the case</w:t>
      </w:r>
      <w:r w:rsidRPr="00006D00">
        <w:rPr>
          <w:b/>
          <w:u w:val="single"/>
        </w:rPr>
        <w:t xml:space="preserve"> really does exist</w:t>
      </w:r>
      <w:r w:rsidRPr="00006D00">
        <w:rPr>
          <w:sz w:val="12"/>
          <w:szCs w:val="12"/>
        </w:rPr>
        <w:t>—as the forms. We can somehow know these forms through contemplation or intuition. Perhaps we experienced the forms before we were born and can remember them throughout our lives. For Plato certain forms are “moral facts” that exist in a way similar to any other state of affairs. We ought to acquire characteristics of the forms, such as goodness, virtue, justice, wisdom, and moderation. Once we have those characteristics (perfections or virtues), we will do what we morally ought to. No one acquires virtues completely, and people who do so well are better people who don’t. Simply put,</w:t>
      </w:r>
      <w:r w:rsidRPr="00006D00">
        <w:t xml:space="preserve"> </w:t>
      </w:r>
      <w:r w:rsidRPr="008D2513">
        <w:rPr>
          <w:b/>
          <w:highlight w:val="yellow"/>
          <w:u w:val="single"/>
        </w:rPr>
        <w:t>the</w:t>
      </w:r>
      <w:r w:rsidRPr="00006D00">
        <w:t xml:space="preserve"> </w:t>
      </w:r>
      <w:r w:rsidRPr="00006D00">
        <w:rPr>
          <w:sz w:val="12"/>
          <w:szCs w:val="12"/>
        </w:rPr>
        <w:t>Platonic</w:t>
      </w:r>
      <w:r w:rsidRPr="00006D00">
        <w:t xml:space="preserve"> </w:t>
      </w:r>
      <w:r w:rsidRPr="008D2513">
        <w:rPr>
          <w:b/>
          <w:highlight w:val="yellow"/>
          <w:u w:val="single"/>
        </w:rPr>
        <w:t>solution is that what ought to be the case is based</w:t>
      </w:r>
      <w:r w:rsidRPr="00006D00">
        <w:rPr>
          <w:b/>
          <w:u w:val="single"/>
        </w:rPr>
        <w:t xml:space="preserve"> primarily </w:t>
      </w:r>
      <w:r w:rsidRPr="008D2513">
        <w:rPr>
          <w:b/>
          <w:highlight w:val="yellow"/>
          <w:u w:val="single"/>
        </w:rPr>
        <w:t>on</w:t>
      </w:r>
      <w:r w:rsidRPr="00006D00">
        <w:rPr>
          <w:b/>
          <w:u w:val="single"/>
        </w:rPr>
        <w:t xml:space="preserve"> actually </w:t>
      </w:r>
      <w:r w:rsidRPr="008D2513">
        <w:rPr>
          <w:b/>
          <w:highlight w:val="yellow"/>
          <w:u w:val="single"/>
        </w:rPr>
        <w:t>existing</w:t>
      </w:r>
      <w:r w:rsidRPr="00006D00">
        <w:t xml:space="preserve"> </w:t>
      </w:r>
      <w:r w:rsidRPr="00006D00">
        <w:rPr>
          <w:sz w:val="12"/>
          <w:szCs w:val="12"/>
        </w:rPr>
        <w:t>abstract</w:t>
      </w:r>
      <w:r w:rsidRPr="00006D00">
        <w:t xml:space="preserve"> </w:t>
      </w:r>
      <w:r w:rsidRPr="008D2513">
        <w:rPr>
          <w:b/>
          <w:highlight w:val="yellow"/>
          <w:u w:val="single"/>
        </w:rPr>
        <w:t>objects, and we are “what ought to be</w:t>
      </w:r>
      <w:r w:rsidRPr="00006D00">
        <w:rPr>
          <w:b/>
          <w:u w:val="single"/>
        </w:rPr>
        <w:t xml:space="preserve">” insofar as we approximate these objects. </w:t>
      </w:r>
      <w:r w:rsidRPr="008D2513">
        <w:rPr>
          <w:b/>
          <w:highlight w:val="yellow"/>
          <w:u w:val="single"/>
        </w:rPr>
        <w:t xml:space="preserve">What we ought to do is based on </w:t>
      </w:r>
      <w:r w:rsidRPr="00E6545E">
        <w:rPr>
          <w:rStyle w:val="StyleUnderline"/>
          <w:b/>
          <w:bCs/>
          <w:highlight w:val="yellow"/>
        </w:rPr>
        <w:t>what we will do naturally once we are perfect</w:t>
      </w:r>
      <w:r w:rsidRPr="00006D00">
        <w:rPr>
          <w:sz w:val="12"/>
          <w:szCs w:val="12"/>
        </w:rPr>
        <w:t>.</w:t>
      </w:r>
    </w:p>
    <w:p w14:paraId="68A5F4B2" w14:textId="77777777" w:rsidR="00665156" w:rsidRDefault="00665156" w:rsidP="00665156">
      <w:pPr>
        <w:pStyle w:val="Heading4"/>
      </w:pPr>
      <w:r>
        <w:lastRenderedPageBreak/>
        <w:t>Thus, constitituvism is a meta-ethical determinant for the validity of moral theories.</w:t>
      </w:r>
    </w:p>
    <w:p w14:paraId="41A93119" w14:textId="77777777" w:rsidR="00665156" w:rsidRPr="00E74595" w:rsidRDefault="00665156" w:rsidP="00665156">
      <w:pPr>
        <w:pStyle w:val="Heading4"/>
      </w:pPr>
      <w:r>
        <w:t>Further –</w:t>
      </w:r>
    </w:p>
    <w:p w14:paraId="12CD5D28" w14:textId="77777777" w:rsidR="00665156" w:rsidRDefault="00665156" w:rsidP="00665156">
      <w:pPr>
        <w:pStyle w:val="Heading4"/>
      </w:pPr>
      <w:r>
        <w:t>[1] Normativity – Both internalist and externalist theories of ethics fail as they are either merely optional or non-universal. Constitutivism solves as we cannot participate in action without a constitutive aim to that action. For instance, playing chess always necessitates achieving checkmate even if it doesn’t require that we have fun.</w:t>
      </w:r>
    </w:p>
    <w:p w14:paraId="6B7B8F89" w14:textId="77777777" w:rsidR="00665156" w:rsidRPr="001D0B09" w:rsidRDefault="00665156" w:rsidP="00665156">
      <w:pPr>
        <w:pStyle w:val="Heading4"/>
        <w:rPr>
          <w:rFonts w:eastAsia="Times New Roman" w:cs="Times New Roman"/>
          <w:b w:val="0"/>
          <w:color w:val="000000"/>
          <w:sz w:val="16"/>
          <w:szCs w:val="12"/>
          <w:shd w:val="clear" w:color="auto" w:fill="FFFFFF"/>
        </w:rPr>
      </w:pPr>
      <w:r w:rsidRPr="00EA3DE6">
        <w:rPr>
          <w:u w:val="single"/>
        </w:rPr>
        <w:t>Kastafanas</w:t>
      </w:r>
      <w:r>
        <w:rPr>
          <w:u w:val="single"/>
        </w:rPr>
        <w:t xml:space="preserve"> 14</w:t>
      </w:r>
      <w:r w:rsidRPr="00EA3DE6">
        <w:rPr>
          <w:u w:val="single"/>
        </w:rPr>
        <w:t>,</w:t>
      </w:r>
      <w:r w:rsidRPr="001D0B09">
        <w:rPr>
          <w:sz w:val="16"/>
        </w:rPr>
        <w:t xml:space="preserve"> </w:t>
      </w:r>
      <w:r w:rsidRPr="001D0B09">
        <w:rPr>
          <w:rFonts w:eastAsia="Times New Roman" w:cs="Times New Roman"/>
          <w:b w:val="0"/>
          <w:color w:val="000000"/>
          <w:sz w:val="16"/>
          <w:szCs w:val="12"/>
          <w:shd w:val="clear" w:color="auto" w:fill="FFFFFF"/>
        </w:rPr>
        <w:t>Kastafanas, Paul. "Constitutivism About Practical Reasons". </w:t>
      </w:r>
      <w:r w:rsidRPr="001D0B09">
        <w:rPr>
          <w:rFonts w:eastAsia="Times New Roman" w:cs="Times New Roman"/>
          <w:b w:val="0"/>
          <w:i/>
          <w:iCs/>
          <w:color w:val="000000"/>
          <w:sz w:val="16"/>
          <w:szCs w:val="12"/>
          <w:shd w:val="clear" w:color="auto" w:fill="FFFFFF"/>
        </w:rPr>
        <w:t>Philarchive.Org</w:t>
      </w:r>
      <w:r w:rsidRPr="001D0B09">
        <w:rPr>
          <w:rFonts w:eastAsia="Times New Roman" w:cs="Times New Roman"/>
          <w:b w:val="0"/>
          <w:color w:val="000000"/>
          <w:sz w:val="16"/>
          <w:szCs w:val="12"/>
          <w:shd w:val="clear" w:color="auto" w:fill="FFFFFF"/>
        </w:rPr>
        <w:t xml:space="preserve">, 2014, </w:t>
      </w:r>
      <w:hyperlink r:id="rId10" w:history="1">
        <w:r w:rsidRPr="001D0B09">
          <w:rPr>
            <w:rStyle w:val="Hyperlink"/>
            <w:rFonts w:eastAsia="Times New Roman" w:cs="Times New Roman"/>
            <w:b w:val="0"/>
            <w:sz w:val="16"/>
            <w:szCs w:val="12"/>
            <w:shd w:val="clear" w:color="auto" w:fill="FFFFFF"/>
          </w:rPr>
          <w:t>https://philarchive.org/archive/KATCAP</w:t>
        </w:r>
      </w:hyperlink>
      <w:r w:rsidRPr="001D0B09">
        <w:rPr>
          <w:rFonts w:eastAsia="Times New Roman" w:cs="Times New Roman"/>
          <w:b w:val="0"/>
          <w:color w:val="000000"/>
          <w:sz w:val="16"/>
          <w:szCs w:val="12"/>
          <w:shd w:val="clear" w:color="auto" w:fill="FFFFFF"/>
        </w:rPr>
        <w:t xml:space="preserve">.  </w:t>
      </w:r>
    </w:p>
    <w:p w14:paraId="7E3E69F6" w14:textId="77777777" w:rsidR="00665156" w:rsidRDefault="00665156" w:rsidP="00665156">
      <w:pPr>
        <w:pStyle w:val="Heading4"/>
      </w:pPr>
      <w:r w:rsidRPr="00BE58BC">
        <w:rPr>
          <w:b w:val="0"/>
          <w:sz w:val="12"/>
        </w:rPr>
        <w:lastRenderedPageBreak/>
        <w:t xml:space="preserve">Consider a perfectly homely normative claim, such as “you have to go to the movies.” If we ask what would render this claim true, the answer seems clear: a fact about the agent’s motives. If the claim is true for Allen but false for Betty, this is due to the fact that Allen desires to see the film and Betty does not. It is natural to think that in just this way, reasons will be tied to facts about agent’s motives. But what about </w:t>
      </w:r>
      <w:r w:rsidRPr="00BE58BC">
        <w:rPr>
          <w:u w:val="single"/>
        </w:rPr>
        <w:t>claims such as “you have reason not to murder”</w:t>
      </w:r>
      <w:r w:rsidRPr="00BE58BC">
        <w:rPr>
          <w:b w:val="0"/>
          <w:sz w:val="12"/>
        </w:rPr>
        <w:t xml:space="preserve">? That claim seems different. It </w:t>
      </w:r>
      <w:r w:rsidRPr="00BE58BC">
        <w:rPr>
          <w:u w:val="single"/>
        </w:rPr>
        <w:t>purports to be universal, applying to all agents</w:t>
      </w:r>
      <w:r w:rsidRPr="00BE58BC">
        <w:rPr>
          <w:b w:val="0"/>
          <w:sz w:val="12"/>
        </w:rPr>
        <w:t xml:space="preserve">. Moreover, </w:t>
      </w:r>
      <w:r w:rsidRPr="00BE58BC">
        <w:rPr>
          <w:u w:val="single"/>
        </w:rPr>
        <w:t>it does not</w:t>
      </w:r>
      <w:r w:rsidRPr="00BE58BC">
        <w:rPr>
          <w:b w:val="0"/>
          <w:sz w:val="12"/>
        </w:rPr>
        <w:t xml:space="preserve"> seem to </w:t>
      </w:r>
      <w:r w:rsidRPr="00BE58BC">
        <w:rPr>
          <w:u w:val="single"/>
        </w:rPr>
        <w:t>depend on the agent’s motives</w:t>
      </w:r>
      <w:r w:rsidRPr="00BE58BC">
        <w:rPr>
          <w:b w:val="0"/>
          <w:sz w:val="12"/>
        </w:rPr>
        <w:t xml:space="preserve">. Suppose Allen has many motives in favor of murdering his uncle (getting revenge for past slights, collecting an inheritance, etc.), and no motives that count against it (he’s a sociopath with no compunction about harming others, and he thinks he’s clever enough to contrive a plan that leaves him with no risk of getting caught). In this simplified case, all of Allen’s motives count in favor of murdering his uncle; none count against it. Nonetheless, most of us want to say that he has reason not to murder. So we face contrary pressures: in certain cases, the claim that reasons are grounded in motives looks exceedingly plausible, indeed obvious; in others, the same claim looks like it generates unacceptable consequences. And so we get a familiar, well-worn philosophical debate: </w:t>
      </w:r>
      <w:r w:rsidRPr="00BE58BC">
        <w:rPr>
          <w:u w:val="single"/>
        </w:rPr>
        <w:t>internalists defend the claim that all normative claims are generated in facts about the agent’s motives, whereas externalists deny this</w:t>
      </w:r>
      <w:r w:rsidRPr="00BE58BC">
        <w:rPr>
          <w:b w:val="0"/>
          <w:sz w:val="12"/>
        </w:rPr>
        <w:t xml:space="preserve">. More precisely: (Internalism) Agent A has reason to φ iff A has, or would have after procedurally rational deliberation, a desire or aim whose fulfillment would be promoted by φ-ing. </w:t>
      </w:r>
      <w:r w:rsidRPr="000928C8">
        <w:rPr>
          <w:rFonts w:eastAsia="Times New Roman"/>
          <w:b w:val="0"/>
          <w:sz w:val="12"/>
        </w:rPr>
        <w:t xml:space="preserve">(Externalism) It can be true both that (i) agent A has reason to φ, and (ii) A does not have, and would not have after procedurally rational deliberation, a desire or aim whose fulfillment would be promoted by φ-ing. </w:t>
      </w:r>
      <w:r w:rsidRPr="000928C8">
        <w:rPr>
          <w:rFonts w:eastAsia="Times New Roman"/>
          <w:u w:val="single"/>
        </w:rPr>
        <w:t xml:space="preserve">Each of these theories faces certain difficulties. </w:t>
      </w:r>
      <w:r w:rsidRPr="000928C8">
        <w:rPr>
          <w:rFonts w:eastAsia="Times New Roman"/>
          <w:highlight w:val="yellow"/>
          <w:u w:val="single"/>
        </w:rPr>
        <w:t>Internalism has trouble with</w:t>
      </w:r>
      <w:r w:rsidRPr="000928C8">
        <w:rPr>
          <w:rFonts w:eastAsia="Times New Roman"/>
          <w:u w:val="single"/>
        </w:rPr>
        <w:t xml:space="preserve"> apparently </w:t>
      </w:r>
      <w:r w:rsidRPr="000928C8">
        <w:rPr>
          <w:rFonts w:eastAsia="Times New Roman"/>
          <w:highlight w:val="yellow"/>
          <w:u w:val="single"/>
        </w:rPr>
        <w:t>universal normative claims</w:t>
      </w:r>
      <w:r w:rsidRPr="000928C8">
        <w:rPr>
          <w:rFonts w:eastAsia="Times New Roman"/>
          <w:u w:val="single"/>
        </w:rPr>
        <w:t>, such as “you should not murder.”</w:t>
      </w:r>
      <w:r w:rsidRPr="000928C8">
        <w:rPr>
          <w:rFonts w:eastAsia="Times New Roman"/>
          <w:b w:val="0"/>
          <w:sz w:val="12"/>
        </w:rPr>
        <w:t xml:space="preserve"> Externalism is tailor-made to capture universal normative claims. Nonetheless, it faces several challenges, including the much-discussed problems of practicality and queerness. First, consider practicality. </w:t>
      </w:r>
      <w:r w:rsidRPr="000928C8">
        <w:rPr>
          <w:rFonts w:eastAsia="Times New Roman"/>
          <w:u w:val="single"/>
        </w:rPr>
        <w:t>Moral claims are supposed to be capable of moving us</w:t>
      </w:r>
      <w:r w:rsidRPr="000928C8">
        <w:rPr>
          <w:rFonts w:eastAsia="Times New Roman"/>
          <w:b w:val="0"/>
          <w:sz w:val="12"/>
        </w:rPr>
        <w:t xml:space="preserve">. Recognizing that φ-ing is wrong is supposed to be capable of motivating the agent not to φ. </w:t>
      </w:r>
      <w:r w:rsidRPr="000928C8">
        <w:rPr>
          <w:rFonts w:eastAsia="Times New Roman"/>
          <w:highlight w:val="yellow"/>
          <w:u w:val="single"/>
        </w:rPr>
        <w:t>But we might wonder how a claim that bears no relation to</w:t>
      </w:r>
      <w:r w:rsidRPr="000928C8">
        <w:rPr>
          <w:rFonts w:eastAsia="Times New Roman"/>
          <w:u w:val="single"/>
        </w:rPr>
        <w:t xml:space="preserve"> any of </w:t>
      </w:r>
      <w:r w:rsidRPr="000928C8">
        <w:rPr>
          <w:rFonts w:eastAsia="Times New Roman"/>
          <w:highlight w:val="yellow"/>
          <w:u w:val="single"/>
        </w:rPr>
        <w:t>our motives could</w:t>
      </w:r>
      <w:r w:rsidRPr="000928C8">
        <w:rPr>
          <w:rFonts w:eastAsia="Times New Roman"/>
          <w:u w:val="single"/>
        </w:rPr>
        <w:t xml:space="preserve"> have this </w:t>
      </w:r>
      <w:r w:rsidRPr="000928C8">
        <w:rPr>
          <w:rFonts w:eastAsia="Times New Roman"/>
          <w:highlight w:val="yellow"/>
          <w:u w:val="single"/>
        </w:rPr>
        <w:t>motivat</w:t>
      </w:r>
      <w:r w:rsidRPr="000928C8">
        <w:rPr>
          <w:rFonts w:eastAsia="Times New Roman"/>
          <w:u w:val="single"/>
        </w:rPr>
        <w:t>ional grip</w:t>
      </w:r>
      <w:r w:rsidRPr="000928C8">
        <w:rPr>
          <w:rFonts w:eastAsia="Times New Roman"/>
          <w:b w:val="0"/>
          <w:sz w:val="12"/>
        </w:rPr>
        <w:t>. As Bernard Williams puts it, “</w:t>
      </w:r>
      <w:r w:rsidRPr="000928C8">
        <w:rPr>
          <w:rFonts w:eastAsia="Times New Roman"/>
          <w:u w:val="single"/>
        </w:rPr>
        <w:t>the whole point of external reasons statements is that they can be true independently of an agent’s motivations. But nothing can explain an agent’s (intentional) actions except something that motivates him so to act</w:t>
      </w:r>
      <w:r w:rsidRPr="000928C8">
        <w:rPr>
          <w:rFonts w:eastAsia="Times New Roman"/>
          <w:b w:val="0"/>
          <w:sz w:val="12"/>
        </w:rPr>
        <w:t xml:space="preserve">” (1981, 107). William’s suggestion is that if the fact that murder is wrong is to exert a motivational influence upon the person’s action, then the agent must have some motive that is suitably connected to not murdering. And this pushes us back in the direction of internalism. Second, consider Mackie’s argument from queerness. Motives are familiar things, so it seems easy enough to imagine that claims about reasons are claims about relations between actions and motives. Internalism therefore has little difficulty with Mackie’s argument. But what would the relata in an external reasons statement be? Are we to imagine that a claim about reasons is a claim about a relation between an action and some independently existing value? This would be odd: as Mackie puts it, “if there were objective values then they would be entities or relations of a very strange sort, utterly different than anything else in the universe” (1977, 38). For if such values existed, then it would be possible for a certain state of affairs to have “a demand for such-and-such an action somehow built into it” (1977, 40). And this, Mackie concludes, would be a decidedly queer property. In sum: </w:t>
      </w:r>
      <w:r w:rsidRPr="000928C8">
        <w:rPr>
          <w:rFonts w:eastAsia="Times New Roman"/>
          <w:u w:val="single"/>
        </w:rPr>
        <w:t>both externalism and internalism have attractive features, yet incur substantial costs</w:t>
      </w:r>
      <w:r w:rsidRPr="000928C8">
        <w:rPr>
          <w:rFonts w:eastAsia="Times New Roman"/>
          <w:b w:val="0"/>
          <w:sz w:val="12"/>
        </w:rPr>
        <w:t xml:space="preserve">. Traditional </w:t>
      </w:r>
      <w:r w:rsidRPr="000928C8">
        <w:rPr>
          <w:rFonts w:eastAsia="Times New Roman"/>
          <w:u w:val="single"/>
        </w:rPr>
        <w:t xml:space="preserve">internalism grounds normative claims in familiar features of our psychologies, yet for that very reason has trouble generating universal normative claims. </w:t>
      </w:r>
      <w:r w:rsidRPr="000928C8">
        <w:rPr>
          <w:rFonts w:eastAsia="Times New Roman"/>
          <w:highlight w:val="yellow"/>
          <w:u w:val="single"/>
        </w:rPr>
        <w:t>Externalism generates universal normative claims</w:t>
      </w:r>
      <w:r w:rsidRPr="000928C8">
        <w:rPr>
          <w:rFonts w:eastAsia="Times New Roman"/>
          <w:u w:val="single"/>
        </w:rPr>
        <w:t xml:space="preserve"> with ease, </w:t>
      </w:r>
      <w:r w:rsidRPr="000928C8">
        <w:rPr>
          <w:rFonts w:eastAsia="Times New Roman"/>
          <w:highlight w:val="yellow"/>
          <w:u w:val="single"/>
        </w:rPr>
        <w:t>yet encounters the problems of practicality and queerness</w:t>
      </w:r>
      <w:r w:rsidRPr="000928C8">
        <w:rPr>
          <w:rFonts w:eastAsia="Times New Roman"/>
          <w:b w:val="0"/>
          <w:sz w:val="12"/>
        </w:rPr>
        <w:t xml:space="preserve">. So we have a pair of unappealing options, and the debate continues. Constitutivism attempts to resolve this dilemma. To put it in an old-fashioned way, </w:t>
      </w:r>
      <w:r w:rsidRPr="000928C8">
        <w:rPr>
          <w:rFonts w:eastAsia="Times New Roman"/>
          <w:highlight w:val="yellow"/>
          <w:u w:val="single"/>
        </w:rPr>
        <w:t>constitutivism</w:t>
      </w:r>
      <w:r w:rsidRPr="000928C8">
        <w:rPr>
          <w:rFonts w:eastAsia="Times New Roman"/>
          <w:u w:val="single"/>
        </w:rPr>
        <w:t xml:space="preserve"> sublates internalism and externalism, seeing each position as containing a grain of truth</w:t>
      </w:r>
      <w:r w:rsidRPr="000928C8">
        <w:rPr>
          <w:rFonts w:eastAsia="Times New Roman"/>
          <w:b w:val="0"/>
          <w:sz w:val="12"/>
        </w:rPr>
        <w:t xml:space="preserve">, but also as partial and one-sided. </w:t>
      </w:r>
      <w:r w:rsidRPr="000928C8">
        <w:rPr>
          <w:rFonts w:eastAsia="Times New Roman"/>
          <w:u w:val="single"/>
        </w:rPr>
        <w:t xml:space="preserve">The constitutivist </w:t>
      </w:r>
      <w:r w:rsidRPr="000928C8">
        <w:rPr>
          <w:rFonts w:eastAsia="Times New Roman"/>
          <w:highlight w:val="yellow"/>
          <w:u w:val="single"/>
        </w:rPr>
        <w:t>agrees</w:t>
      </w:r>
      <w:r w:rsidRPr="000928C8">
        <w:rPr>
          <w:rFonts w:eastAsia="Times New Roman"/>
          <w:u w:val="single"/>
        </w:rPr>
        <w:t xml:space="preserve"> with the internalist that the </w:t>
      </w:r>
      <w:r w:rsidRPr="000928C8">
        <w:rPr>
          <w:rFonts w:eastAsia="Times New Roman"/>
          <w:highlight w:val="yellow"/>
          <w:u w:val="single"/>
        </w:rPr>
        <w:t>truth</w:t>
      </w:r>
      <w:r w:rsidRPr="000928C8">
        <w:rPr>
          <w:rFonts w:eastAsia="Times New Roman"/>
          <w:u w:val="single"/>
        </w:rPr>
        <w:t xml:space="preserve"> of a normative claim </w:t>
      </w:r>
      <w:r w:rsidRPr="000928C8">
        <w:rPr>
          <w:rFonts w:eastAsia="Times New Roman"/>
          <w:highlight w:val="yellow"/>
          <w:u w:val="single"/>
        </w:rPr>
        <w:t>depends on</w:t>
      </w:r>
      <w:r w:rsidRPr="000928C8">
        <w:rPr>
          <w:rFonts w:eastAsia="Times New Roman"/>
          <w:u w:val="single"/>
        </w:rPr>
        <w:t xml:space="preserve"> the agent’s </w:t>
      </w:r>
      <w:r w:rsidRPr="000928C8">
        <w:rPr>
          <w:rFonts w:eastAsia="Times New Roman"/>
          <w:highlight w:val="yellow"/>
          <w:u w:val="single"/>
        </w:rPr>
        <w:t>aims</w:t>
      </w:r>
      <w:r w:rsidRPr="000928C8">
        <w:rPr>
          <w:rFonts w:eastAsia="Times New Roman"/>
          <w:b w:val="0"/>
          <w:sz w:val="12"/>
        </w:rPr>
        <w:t xml:space="preserve">, in the sense that the agent must possess a certain aim in order for the normative claim to be true. </w:t>
      </w:r>
      <w:r w:rsidRPr="000928C8">
        <w:rPr>
          <w:rFonts w:eastAsia="Times New Roman"/>
          <w:highlight w:val="yellow"/>
          <w:u w:val="single"/>
        </w:rPr>
        <w:t>However,</w:t>
      </w:r>
      <w:r w:rsidRPr="000928C8">
        <w:rPr>
          <w:rFonts w:eastAsia="Times New Roman"/>
          <w:u w:val="single"/>
        </w:rPr>
        <w:t xml:space="preserve"> the constitutivist </w:t>
      </w:r>
      <w:r w:rsidRPr="000928C8">
        <w:rPr>
          <w:rFonts w:eastAsia="Times New Roman"/>
          <w:highlight w:val="yellow"/>
          <w:u w:val="single"/>
        </w:rPr>
        <w:t>traces</w:t>
      </w:r>
      <w:r w:rsidRPr="000928C8">
        <w:rPr>
          <w:rFonts w:eastAsia="Times New Roman"/>
          <w:u w:val="single"/>
        </w:rPr>
        <w:t xml:space="preserve"> the </w:t>
      </w:r>
      <w:r w:rsidRPr="000928C8">
        <w:rPr>
          <w:rFonts w:eastAsia="Times New Roman"/>
          <w:highlight w:val="yellow"/>
          <w:u w:val="single"/>
        </w:rPr>
        <w:t>authority of</w:t>
      </w:r>
      <w:r w:rsidRPr="000928C8">
        <w:rPr>
          <w:rFonts w:eastAsia="Times New Roman"/>
          <w:u w:val="single"/>
        </w:rPr>
        <w:t xml:space="preserve"> norms to </w:t>
      </w:r>
      <w:r w:rsidRPr="000928C8">
        <w:rPr>
          <w:rFonts w:eastAsia="Times New Roman"/>
          <w:highlight w:val="yellow"/>
          <w:u w:val="single"/>
        </w:rPr>
        <w:t>an aim</w:t>
      </w:r>
      <w:r w:rsidRPr="000928C8">
        <w:rPr>
          <w:rFonts w:eastAsia="Times New Roman"/>
          <w:u w:val="single"/>
        </w:rPr>
        <w:t xml:space="preserve"> that has a special status—an aim </w:t>
      </w:r>
      <w:r w:rsidRPr="000928C8">
        <w:rPr>
          <w:rFonts w:eastAsia="Times New Roman"/>
          <w:highlight w:val="yellow"/>
          <w:u w:val="single"/>
        </w:rPr>
        <w:t>that is constitutive</w:t>
      </w:r>
      <w:r w:rsidRPr="000928C8">
        <w:rPr>
          <w:rFonts w:eastAsia="Times New Roman"/>
          <w:u w:val="single"/>
        </w:rPr>
        <w:t xml:space="preserve"> of being an agent. This constitutive aim is not optional</w:t>
      </w:r>
      <w:r w:rsidRPr="000928C8">
        <w:rPr>
          <w:rFonts w:eastAsia="Times New Roman"/>
          <w:b w:val="0"/>
          <w:sz w:val="12"/>
        </w:rPr>
        <w:t xml:space="preserve">; if you lack the aim, you are not an agent at all. So, while the constitutivist agrees with the internalist that reasons derive from the agent’s aims, the constitutivist holds that there is at least one aim that is intrinsic to being an agent. Accordingly, the constitutivist gets one of the conclusions that the externalist wanted: there are universal reasons for acting.13 Put differently, there are reasons for action that arise merely from the fact that one is an agent. Specifically, these are the reasons grounded in the constitutive aim. </w:t>
      </w:r>
      <w:r w:rsidRPr="000928C8">
        <w:rPr>
          <w:rFonts w:eastAsia="Times New Roman"/>
          <w:u w:val="single"/>
        </w:rPr>
        <w:t>So constitutivism can be viewed as an attempt to resolve the dispute between externalists and internalists</w:t>
      </w:r>
      <w:r w:rsidRPr="000928C8">
        <w:rPr>
          <w:rFonts w:eastAsia="Times New Roman"/>
          <w:b w:val="0"/>
          <w:sz w:val="12"/>
        </w:rPr>
        <w:t xml:space="preserve"> about practical reason, by showing that there are reasons that arise from non-optional aims.14 In so doing, </w:t>
      </w:r>
      <w:r w:rsidRPr="000928C8">
        <w:rPr>
          <w:rFonts w:eastAsia="Times New Roman"/>
          <w:u w:val="single"/>
        </w:rPr>
        <w:t>it generates universal reasons while sidestepping the problems of practicality and queerness</w:t>
      </w:r>
      <w:r w:rsidRPr="000928C8">
        <w:rPr>
          <w:rFonts w:eastAsia="Times New Roman"/>
          <w:b w:val="0"/>
          <w:sz w:val="12"/>
        </w:rPr>
        <w:t>.</w:t>
      </w:r>
    </w:p>
    <w:p w14:paraId="3B73F17D" w14:textId="77777777" w:rsidR="00665156" w:rsidRDefault="00665156" w:rsidP="00665156">
      <w:pPr>
        <w:pStyle w:val="Heading4"/>
      </w:pPr>
      <w:r>
        <w:lastRenderedPageBreak/>
        <w:t>[2] Obligations are constitutive of features that define different entities.</w:t>
      </w:r>
    </w:p>
    <w:p w14:paraId="6A040A45" w14:textId="77777777" w:rsidR="00665156" w:rsidRPr="001D0B09" w:rsidRDefault="00665156" w:rsidP="00665156">
      <w:pPr>
        <w:rPr>
          <w:sz w:val="16"/>
        </w:rPr>
      </w:pPr>
      <w:r w:rsidRPr="001D0B09">
        <w:rPr>
          <w:rStyle w:val="Emphasis"/>
        </w:rPr>
        <w:t>Geach [bracketed for clarity]</w:t>
      </w:r>
      <w:r w:rsidRPr="001D0B09">
        <w:rPr>
          <w:sz w:val="16"/>
        </w:rPr>
        <w:t xml:space="preserve"> GOOD AND EVIL By P. T. GEACH</w:t>
      </w:r>
      <w:hyperlink r:id="rId11" w:history="1">
        <w:r w:rsidRPr="001D0B09">
          <w:rPr>
            <w:rStyle w:val="Hyperlink"/>
            <w:sz w:val="16"/>
          </w:rPr>
          <w:t>http://www.pitt.edu/~mthompso/readings/geach2.pdf</w:t>
        </w:r>
      </w:hyperlink>
      <w:r w:rsidRPr="001D0B09">
        <w:rPr>
          <w:sz w:val="16"/>
        </w:rPr>
        <w:t xml:space="preserve"> </w:t>
      </w:r>
    </w:p>
    <w:p w14:paraId="380AEC4F" w14:textId="77777777" w:rsidR="00665156" w:rsidRPr="000075D0" w:rsidRDefault="00665156" w:rsidP="00665156">
      <w:pPr>
        <w:rPr>
          <w:sz w:val="14"/>
        </w:rPr>
      </w:pPr>
      <w:r w:rsidRPr="000075D0">
        <w:rPr>
          <w:rFonts w:eastAsia="MS Gothic"/>
          <w:sz w:val="14"/>
        </w:rPr>
        <w:t xml:space="preserve">There are familiar examples of what I call attributive adjectives. 'Big' and' small' are attributive [adjectives]; ' x is a big flea' does not split up into 'x is a flea' and 'x is big', nor 'x is a small elephant' into ' x is an elephant' and ' x is small '; for if these analyses were legitimate, a simple argument would show that a big flea is a big animal and a small elephant a small animal. Again, the sort of adjective that the mediaevals called alienans is attributive; 'x is a forged banknote' does not split up into 'x is a banknote' and 'x is forged', nor 'x is the putative father of y' into ' x is the father of y' and ' x is putative'. On the other hand, in the phrase 'a red book'' red' is a predicative adjective in my sense, although not grammatically so, for 'is a red book' logically splits up into ' is a book' and' is red'. </w:t>
      </w:r>
      <w:r w:rsidRPr="001D0B09">
        <w:rPr>
          <w:rStyle w:val="Emphasis"/>
        </w:rPr>
        <w:t xml:space="preserve">I can now state my first thesis about good and evil : ' </w:t>
      </w:r>
      <w:r w:rsidRPr="001D0B09">
        <w:rPr>
          <w:rStyle w:val="Emphasis"/>
          <w:highlight w:val="yellow"/>
        </w:rPr>
        <w:t>good' and 'bad' are</w:t>
      </w:r>
      <w:r w:rsidRPr="001D0B09">
        <w:rPr>
          <w:rStyle w:val="Emphasis"/>
        </w:rPr>
        <w:t xml:space="preserve"> always </w:t>
      </w:r>
      <w:r w:rsidRPr="001D0B09">
        <w:rPr>
          <w:rStyle w:val="Emphasis"/>
          <w:highlight w:val="yellow"/>
        </w:rPr>
        <w:t>attributive, not predicative, adjectives</w:t>
      </w:r>
      <w:r w:rsidRPr="000075D0">
        <w:rPr>
          <w:rFonts w:eastAsia="MS Gothic"/>
          <w:sz w:val="14"/>
        </w:rPr>
        <w:t xml:space="preserve">. This is </w:t>
      </w:r>
      <w:r w:rsidRPr="000075D0">
        <w:rPr>
          <w:sz w:val="14"/>
        </w:rPr>
        <w:t xml:space="preserve">fairly </w:t>
      </w:r>
      <w:r w:rsidRPr="000075D0">
        <w:rPr>
          <w:rFonts w:eastAsia="MS Gothic"/>
          <w:sz w:val="14"/>
        </w:rPr>
        <w:t xml:space="preserve">clear about 'bad' because 'bad' is something like an alienans adjective; [for example] we cannot safely predicate of a bad A what we predicate of an A, any more than we can predicate of a forged banknote or a putative father what we predicate of a banknote or a father. We actually call forged money' bad' ; and we cannot infer e.g. that because food supports life bad food supports life. For' good' the point is not so clear at first sight, since ' good' is not alienans-whatever holds true of an A as such holds true of a good A. </w:t>
      </w:r>
      <w:r w:rsidRPr="001D0B09">
        <w:rPr>
          <w:rStyle w:val="Emphasis"/>
        </w:rPr>
        <w:t>But </w:t>
      </w:r>
      <w:r w:rsidRPr="001D0B09">
        <w:rPr>
          <w:rStyle w:val="Emphasis"/>
          <w:highlight w:val="yellow"/>
        </w:rPr>
        <w:t>[C]onsider the contrast in</w:t>
      </w:r>
      <w:r w:rsidRPr="001D0B09">
        <w:rPr>
          <w:rStyle w:val="Emphasis"/>
        </w:rPr>
        <w:t xml:space="preserve"> such a pair of phrases </w:t>
      </w:r>
      <w:r w:rsidRPr="001D0B09">
        <w:rPr>
          <w:rStyle w:val="Emphasis"/>
          <w:highlight w:val="yellow"/>
        </w:rPr>
        <w:t>a</w:t>
      </w:r>
      <w:r w:rsidRPr="001D0B09">
        <w:rPr>
          <w:rStyle w:val="Emphasis"/>
        </w:rPr>
        <w:t xml:space="preserve">s </w:t>
      </w:r>
      <w:r w:rsidRPr="001D0B09">
        <w:rPr>
          <w:rStyle w:val="Emphasis"/>
          <w:highlight w:val="yellow"/>
        </w:rPr>
        <w:t>' red car ' and' good car '. I could ascertain that a distant object is</w:t>
      </w:r>
      <w:r w:rsidRPr="001D0B09">
        <w:rPr>
          <w:rStyle w:val="Emphasis"/>
        </w:rPr>
        <w:t xml:space="preserve"> a </w:t>
      </w:r>
      <w:r w:rsidRPr="001D0B09">
        <w:rPr>
          <w:rStyle w:val="Emphasis"/>
          <w:highlight w:val="yellow"/>
        </w:rPr>
        <w:t>red</w:t>
      </w:r>
      <w:r w:rsidRPr="001D0B09">
        <w:rPr>
          <w:rStyle w:val="Emphasis"/>
        </w:rPr>
        <w:t xml:space="preserve"> car because I can see it is red and a keener-sighted but colour-blind friend can see it is a car; </w:t>
      </w:r>
      <w:r w:rsidRPr="001D0B09">
        <w:rPr>
          <w:rStyle w:val="Emphasis"/>
          <w:highlight w:val="yellow"/>
        </w:rPr>
        <w:t>there is no such possibility of ascertaining that a thing is a good</w:t>
      </w:r>
      <w:r w:rsidRPr="001D0B09">
        <w:rPr>
          <w:rStyle w:val="Emphasis"/>
        </w:rPr>
        <w:t xml:space="preserve"> car by pooling [Through] independent information that it is good and that it is a car</w:t>
      </w:r>
      <w:r w:rsidRPr="000075D0">
        <w:rPr>
          <w:rFonts w:eastAsia="MS Gothic"/>
          <w:sz w:val="14"/>
        </w:rPr>
        <w:t xml:space="preserve">. This sort of example shows that ' good' like ' bad' is essentially an attributive adjective. </w:t>
      </w:r>
      <w:r w:rsidRPr="001D0B09">
        <w:rPr>
          <w:rStyle w:val="Emphasis"/>
          <w:highlight w:val="yellow"/>
        </w:rPr>
        <w:t>Even when ' good ' or ' bad ' stands by itself</w:t>
      </w:r>
      <w:r w:rsidRPr="001D0B09">
        <w:rPr>
          <w:rStyle w:val="Emphasis"/>
        </w:rPr>
        <w:t xml:space="preserve"> as a predicate, and is thus grammatically predicative, som</w:t>
      </w:r>
      <w:r w:rsidRPr="001D0B09">
        <w:rPr>
          <w:rStyle w:val="Emphasis"/>
          <w:highlight w:val="yellow"/>
        </w:rPr>
        <w:t>e substantive has to be understood; there is no such thing as being just good or bad</w:t>
      </w:r>
      <w:r w:rsidRPr="001D0B09">
        <w:rPr>
          <w:rStyle w:val="Emphasis"/>
        </w:rPr>
        <w:t>, there is </w:t>
      </w:r>
      <w:r w:rsidRPr="001D0B09">
        <w:rPr>
          <w:rStyle w:val="Emphasis"/>
          <w:highlight w:val="yellow"/>
        </w:rPr>
        <w:t>only</w:t>
      </w:r>
      <w:r w:rsidRPr="001D0B09">
        <w:rPr>
          <w:rStyle w:val="Emphasis"/>
        </w:rPr>
        <w:t xml:space="preserve"> being </w:t>
      </w:r>
      <w:r w:rsidRPr="001D0B09">
        <w:rPr>
          <w:rStyle w:val="Emphasis"/>
          <w:highlight w:val="yellow"/>
        </w:rPr>
        <w:t>a good or bad so-and-so</w:t>
      </w:r>
      <w:r w:rsidRPr="000075D0">
        <w:rPr>
          <w:rFonts w:eastAsia="MS Gothic"/>
          <w:sz w:val="14"/>
        </w:rPr>
        <w:t xml:space="preserve">. (If I say that something is a good or bad thing, either 'thing' is a mere proxy for a more descriptive </w:t>
      </w:r>
      <w:r w:rsidRPr="000075D0">
        <w:rPr>
          <w:sz w:val="14"/>
        </w:rPr>
        <w:t>noun to be supplied from the context ; or else I am trying to use ' good ' or 'bad' predicatively, and its being grammatically attributive is a mere disguise. The latter attempt is, on my thesis, illegitimate.)</w:t>
      </w:r>
    </w:p>
    <w:p w14:paraId="1618541D" w14:textId="77777777" w:rsidR="00665156" w:rsidRDefault="00665156" w:rsidP="00665156">
      <w:pPr>
        <w:pStyle w:val="Heading4"/>
      </w:pPr>
      <w:r>
        <w:lastRenderedPageBreak/>
        <w:t>Impact Calc – [1] Use epistemic confidence: a) Impossible to determine probability of framework and offense being true as truth isn’t scalar b) Modesty assumes outside knowledge or judge biases on whether certain arguments are true which trades off with competitive equity [2] The constitutive aim of debate is to test the truth or falsity of the resolution because affirm means to prove true and negate means to deny the truth of</w:t>
      </w:r>
    </w:p>
    <w:p w14:paraId="3E5FA5F7" w14:textId="77777777" w:rsidR="00665156" w:rsidRDefault="00665156" w:rsidP="00665156">
      <w:pPr>
        <w:pStyle w:val="Heading4"/>
      </w:pPr>
    </w:p>
    <w:p w14:paraId="766ECEDE" w14:textId="77777777" w:rsidR="00665156" w:rsidRDefault="00665156" w:rsidP="00665156">
      <w:pPr>
        <w:pStyle w:val="Heading4"/>
      </w:pPr>
      <w:r>
        <w:t xml:space="preserve">Constitutivism requires practical reason as the basis for ethics: </w:t>
      </w:r>
    </w:p>
    <w:p w14:paraId="14030832" w14:textId="77777777" w:rsidR="00665156" w:rsidRDefault="00665156" w:rsidP="00665156">
      <w:pPr>
        <w:pStyle w:val="Heading4"/>
        <w:rPr>
          <w:bCs w:val="0"/>
          <w:color w:val="000000" w:themeColor="text1"/>
        </w:rPr>
      </w:pPr>
      <w:r w:rsidRPr="00432F5A">
        <w:rPr>
          <w:color w:val="000000" w:themeColor="text1"/>
        </w:rPr>
        <w:t>[1] Regress</w:t>
      </w:r>
      <w:r w:rsidRPr="00432F5A">
        <w:rPr>
          <w:bCs w:val="0"/>
          <w:color w:val="000000" w:themeColor="text1"/>
        </w:rPr>
        <w:t xml:space="preserve"> – Ethical theories must have a basis. We can always ask why we should follow the basis of a theory, so they aren’t morally binding because they don’t have a starting point. Practical reason solves – When we ask why we should follow reason, we demand a reason, which concedes to the authority of reason itself</w:t>
      </w:r>
      <w:r>
        <w:rPr>
          <w:bCs w:val="0"/>
          <w:color w:val="000000" w:themeColor="text1"/>
        </w:rPr>
        <w:t xml:space="preserve"> making reason constitutive of any justification.</w:t>
      </w:r>
    </w:p>
    <w:p w14:paraId="535E2F38" w14:textId="77777777" w:rsidR="00665156" w:rsidRDefault="00665156" w:rsidP="00665156">
      <w:pPr>
        <w:pStyle w:val="Heading4"/>
        <w:rPr>
          <w:bCs w:val="0"/>
        </w:rPr>
      </w:pPr>
      <w:r>
        <w:rPr>
          <w:bCs w:val="0"/>
          <w:color w:val="000000" w:themeColor="text1"/>
        </w:rPr>
        <w:t>[</w:t>
      </w:r>
      <w:r w:rsidRPr="00432F5A">
        <w:rPr>
          <w:color w:val="000000" w:themeColor="text1"/>
        </w:rPr>
        <w:t xml:space="preserve">2] </w:t>
      </w:r>
      <w:r w:rsidRPr="00432F5A">
        <w:t xml:space="preserve">Inescapability – </w:t>
      </w:r>
      <w:r w:rsidRPr="00432F5A">
        <w:rPr>
          <w:bCs w:val="0"/>
        </w:rPr>
        <w:t>Every agent intrinsically values practical reason when they go about setting and pursuing an end under a moral theory, as it presupposes that the end they are committing is an intrinsic good. That necessitates practical reason as a necessary means to follow through on any given end.</w:t>
      </w:r>
    </w:p>
    <w:p w14:paraId="5F465501" w14:textId="77777777" w:rsidR="00665156" w:rsidRDefault="00665156" w:rsidP="00665156">
      <w:pPr>
        <w:pStyle w:val="Heading4"/>
        <w:rPr>
          <w:bCs w:val="0"/>
          <w:color w:val="000000" w:themeColor="text1"/>
        </w:rPr>
      </w:pPr>
      <w:r>
        <w:rPr>
          <w:color w:val="000000" w:themeColor="text1"/>
        </w:rPr>
        <w:t xml:space="preserve">[3] </w:t>
      </w:r>
      <w:r w:rsidRPr="00D066AA">
        <w:rPr>
          <w:color w:val="000000" w:themeColor="text1"/>
        </w:rPr>
        <w:t xml:space="preserve">Action Theory </w:t>
      </w:r>
      <w:r w:rsidRPr="002C7367">
        <w:rPr>
          <w:bCs w:val="0"/>
          <w:color w:val="000000" w:themeColor="text1"/>
        </w:rPr>
        <w:t>–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2837E327" w14:textId="77777777" w:rsidR="00665156" w:rsidRDefault="00665156" w:rsidP="00665156">
      <w:pPr>
        <w:pStyle w:val="Heading4"/>
      </w:pPr>
    </w:p>
    <w:p w14:paraId="03121634" w14:textId="77777777" w:rsidR="00665156" w:rsidRPr="007F4A27" w:rsidRDefault="00665156" w:rsidP="00665156">
      <w:pPr>
        <w:pStyle w:val="Heading4"/>
        <w:rPr>
          <w:rFonts w:cs="Times New Roman"/>
          <w:color w:val="000000" w:themeColor="text1"/>
        </w:rPr>
      </w:pPr>
      <w:r>
        <w:t xml:space="preserve">Therefore, In order to respect each agent as a practical reasoner, we require a universal set of moral laws for what counts as a violation of the principles of rational reflection. Thus, the standard is consistency with the categorical imperative as enacted through the omnilateral will towards self-unification. </w:t>
      </w:r>
    </w:p>
    <w:p w14:paraId="67EA83DB" w14:textId="77777777" w:rsidR="00665156" w:rsidRDefault="00665156" w:rsidP="00665156">
      <w:pPr>
        <w:pStyle w:val="Heading4"/>
      </w:pPr>
      <w:r>
        <w:t xml:space="preserve">[1] </w:t>
      </w:r>
      <w:r w:rsidRPr="00ED224E">
        <w:t xml:space="preserve">Absent universal ethics morality becomes arbitrary </w:t>
      </w:r>
      <w:r>
        <w:t xml:space="preserve">since it can be meaninglessly applied in different ways without reason. Non-arbitrariness is a side constraint – only non-arbitrary principles can hold agent culpable for their actions since otherwise we could make up ethical rules for different situations to punish people. </w:t>
      </w:r>
    </w:p>
    <w:p w14:paraId="2AD166E4" w14:textId="77777777" w:rsidR="00665156" w:rsidRDefault="00665156" w:rsidP="00665156">
      <w:pPr>
        <w:pStyle w:val="Heading4"/>
      </w:pPr>
      <w:r>
        <w:lastRenderedPageBreak/>
        <w:t xml:space="preserve">[2] </w:t>
      </w:r>
      <w:r w:rsidRPr="00ED224E">
        <w:t>A priori principles like reason apply to everyone since they are independent of human experience</w:t>
      </w:r>
      <w:r>
        <w:t>. That means to allow one to violate a rule without another would be a contradiction. Contradictions are a side constraint –</w:t>
      </w:r>
      <w:r>
        <w:rPr>
          <w:rFonts w:eastAsia="Calibri"/>
        </w:rPr>
        <w:t xml:space="preserve"> it’s an inescapable condition that undermines all arguments since something can’t be both true and false simultaneously</w:t>
      </w:r>
    </w:p>
    <w:p w14:paraId="3E650CC0" w14:textId="77777777" w:rsidR="00665156" w:rsidRDefault="00665156" w:rsidP="00665156">
      <w:pPr>
        <w:pStyle w:val="Heading4"/>
      </w:pPr>
      <w:r>
        <w:rPr>
          <w:rFonts w:cs="Times New Roman"/>
          <w:color w:val="000000" w:themeColor="text1"/>
        </w:rPr>
        <w:t xml:space="preserve">[3] </w:t>
      </w:r>
      <w:r>
        <w:t xml:space="preserve">Motivation – The categorical imperative is intrinsically motivational since it respects the nature of agency, which is the mechanism by which we can set and pursue any end – absent the motivation to pursue ends you would no longer be an agent, which means to be an agent necessitates being motivated to act. </w:t>
      </w:r>
    </w:p>
    <w:p w14:paraId="45A6E602" w14:textId="77777777" w:rsidR="00665156" w:rsidRDefault="00665156" w:rsidP="00665156">
      <w:pPr>
        <w:pStyle w:val="Heading4"/>
      </w:pPr>
      <w:r>
        <w:t>[4] Degree of wrongness – Pre-requisite to moral evaluations – No tailoring objection – self-unification is an ongoing project and thus terminates in a complete, scalar ethical system.</w:t>
      </w:r>
    </w:p>
    <w:p w14:paraId="2ED2C6C6" w14:textId="77777777" w:rsidR="00665156" w:rsidRPr="001D0B09" w:rsidRDefault="00665156" w:rsidP="00665156">
      <w:pPr>
        <w:rPr>
          <w:sz w:val="16"/>
        </w:rPr>
      </w:pPr>
      <w:r w:rsidRPr="000075D0">
        <w:rPr>
          <w:rStyle w:val="Emphasis"/>
        </w:rPr>
        <w:t>Gibson</w:t>
      </w:r>
      <w:r w:rsidRPr="001D0B09">
        <w:rPr>
          <w:sz w:val="16"/>
        </w:rPr>
        <w:t xml:space="preserve"> Kantian Constitutivism: Problems and Prospects By Kyle Gibson https://ir.canterbury.ac.nz/bitstream/handle/10092/100707/Gibson,%20Kyle_Final%20PhD%20Thesis.pdf?sequence=1</w:t>
      </w:r>
    </w:p>
    <w:p w14:paraId="672070EB" w14:textId="77777777" w:rsidR="00665156" w:rsidRPr="001D0B09" w:rsidRDefault="00665156" w:rsidP="00665156">
      <w:pPr>
        <w:rPr>
          <w:sz w:val="16"/>
        </w:rPr>
      </w:pPr>
      <w:r w:rsidRPr="000A6CF5">
        <w:rPr>
          <w:sz w:val="16"/>
        </w:rPr>
        <w:t xml:space="preserve">The sense of agency required to establish scalar deontology is the sense that only exists in the subject as they undertake the activity constitutive of agency (making decisions, the ongoing attempt to unify themselves). Notice that this is </w:t>
      </w:r>
      <w:r w:rsidRPr="002137A0">
        <w:rPr>
          <w:rStyle w:val="Emphasis"/>
        </w:rPr>
        <w:t xml:space="preserve">the same sense of agency that both Kant and Korsgaard utilise to establish that people have value: they do </w:t>
      </w:r>
      <w:r w:rsidRPr="002137A0">
        <w:rPr>
          <w:rStyle w:val="Emphasis"/>
          <w:highlight w:val="yellow"/>
        </w:rPr>
        <w:t>not</w:t>
      </w:r>
      <w:r w:rsidRPr="002137A0">
        <w:rPr>
          <w:rStyle w:val="Emphasis"/>
        </w:rPr>
        <w:t xml:space="preserve"> argue that </w:t>
      </w:r>
      <w:r w:rsidRPr="002137A0">
        <w:rPr>
          <w:rStyle w:val="Emphasis"/>
          <w:highlight w:val="yellow"/>
        </w:rPr>
        <w:t>only people who successfully unify themselves have value</w:t>
      </w:r>
      <w:r w:rsidRPr="002137A0">
        <w:rPr>
          <w:rStyle w:val="Emphasis"/>
        </w:rPr>
        <w:t xml:space="preserve">, they argue that </w:t>
      </w:r>
      <w:r w:rsidRPr="002137A0">
        <w:rPr>
          <w:rStyle w:val="Emphasis"/>
          <w:highlight w:val="yellow"/>
        </w:rPr>
        <w:t>all people have value because</w:t>
      </w:r>
      <w:r w:rsidRPr="002137A0">
        <w:rPr>
          <w:rStyle w:val="Emphasis"/>
        </w:rPr>
        <w:t xml:space="preserve">, like you, </w:t>
      </w:r>
      <w:r w:rsidRPr="002137A0">
        <w:rPr>
          <w:rStyle w:val="Emphasis"/>
          <w:highlight w:val="yellow"/>
        </w:rPr>
        <w:t>they all face the problem of self unification</w:t>
      </w:r>
      <w:r w:rsidRPr="000A6CF5">
        <w:rPr>
          <w:sz w:val="16"/>
        </w:rPr>
        <w:t xml:space="preserve">. You would, after all, have value even if you never unified yourself successfully. </w:t>
      </w:r>
      <w:r w:rsidRPr="002137A0">
        <w:rPr>
          <w:rStyle w:val="Emphasis"/>
        </w:rPr>
        <w:t xml:space="preserve">Scalar deontology is established on the notion of agency that exists from the perspective of a subject facing the problem of agency (the problem of unifying oneself by deciding what to do) but establishing scalar deontology on these grounds is not a problem because </w:t>
      </w:r>
      <w:r w:rsidRPr="002137A0">
        <w:rPr>
          <w:rStyle w:val="Emphasis"/>
          <w:highlight w:val="yellow"/>
        </w:rPr>
        <w:t>the value of humanity requires that same sense of agency</w:t>
      </w:r>
      <w:r w:rsidRPr="000A6CF5">
        <w:rPr>
          <w:sz w:val="16"/>
        </w:rPr>
        <w:t xml:space="preserve">. So, while measuring one’s agency in a past sense, examining whether a particular decision unified you or not, does not allow for a scalar measure of value that is not problematic for scalar deontology because such a sense of agency also does not allow for the valuing of subjects that failed to unify themselves; that is to say, our value (the value of persons) comes from the sense of 142 agency grounded in the perspective of the active subject, so it is no surprise that the scalar nature of value comes from this same sense of agency. </w:t>
      </w:r>
      <w:r w:rsidRPr="000A6CF5">
        <w:rPr>
          <w:rStyle w:val="Emphasis"/>
        </w:rPr>
        <w:t xml:space="preserve">Another way of explaining the point, the sense in which agency as conceived by Kant and Korsgaard entails a scalar understanding of value, is </w:t>
      </w:r>
      <w:r w:rsidRPr="000A6CF5">
        <w:rPr>
          <w:rStyle w:val="Emphasis"/>
          <w:highlight w:val="yellow"/>
        </w:rPr>
        <w:t>that</w:t>
      </w:r>
      <w:r w:rsidRPr="000A6CF5">
        <w:rPr>
          <w:rStyle w:val="Emphasis"/>
        </w:rPr>
        <w:t xml:space="preserve"> the </w:t>
      </w:r>
      <w:r w:rsidRPr="000A6CF5">
        <w:rPr>
          <w:rStyle w:val="Emphasis"/>
          <w:highlight w:val="yellow"/>
        </w:rPr>
        <w:t>value of non-unified agents is found in the extent to which they are engaged in the</w:t>
      </w:r>
      <w:r w:rsidRPr="000A6CF5">
        <w:rPr>
          <w:rStyle w:val="Emphasis"/>
        </w:rPr>
        <w:t xml:space="preserve"> ongoing </w:t>
      </w:r>
      <w:r w:rsidRPr="000A6CF5">
        <w:rPr>
          <w:rStyle w:val="Emphasis"/>
          <w:highlight w:val="yellow"/>
        </w:rPr>
        <w:t>activity of becoming unified</w:t>
      </w:r>
      <w:r w:rsidRPr="000A6CF5">
        <w:rPr>
          <w:sz w:val="16"/>
        </w:rPr>
        <w:t xml:space="preserve">. It does not matter whether they ultimately succeed at that goal or not, they have value because they are engaged in the activity of trying to constitute themselves; furthermore, </w:t>
      </w:r>
      <w:r w:rsidRPr="000A6CF5">
        <w:rPr>
          <w:rStyle w:val="Emphasis"/>
        </w:rPr>
        <w:t xml:space="preserve">from the perspective of the subject engaged in this activity </w:t>
      </w:r>
      <w:r w:rsidRPr="000A6CF5">
        <w:rPr>
          <w:rStyle w:val="Emphasis"/>
          <w:highlight w:val="yellow"/>
        </w:rPr>
        <w:t>it is never the case that one actually does become</w:t>
      </w:r>
      <w:r w:rsidRPr="000A6CF5">
        <w:rPr>
          <w:rStyle w:val="Emphasis"/>
        </w:rPr>
        <w:t xml:space="preserve"> fully </w:t>
      </w:r>
      <w:r w:rsidRPr="000A6CF5">
        <w:rPr>
          <w:rStyle w:val="Emphasis"/>
          <w:highlight w:val="yellow"/>
        </w:rPr>
        <w:t>unified</w:t>
      </w:r>
      <w:r w:rsidRPr="000A6CF5">
        <w:rPr>
          <w:rStyle w:val="Emphasis"/>
        </w:rPr>
        <w:t xml:space="preserve">, but this is not problematic because their value, </w:t>
      </w:r>
      <w:r w:rsidRPr="000A6CF5">
        <w:rPr>
          <w:rStyle w:val="Emphasis"/>
          <w:highlight w:val="yellow"/>
        </w:rPr>
        <w:t>as an agent</w:t>
      </w:r>
      <w:r w:rsidRPr="000A6CF5">
        <w:rPr>
          <w:rStyle w:val="Emphasis"/>
        </w:rPr>
        <w:t xml:space="preserve"> (a person), </w:t>
      </w:r>
      <w:r w:rsidRPr="000A6CF5">
        <w:rPr>
          <w:rStyle w:val="Emphasis"/>
          <w:highlight w:val="yellow"/>
        </w:rPr>
        <w:t>is established by partaking in the activity</w:t>
      </w:r>
      <w:r w:rsidRPr="000A6CF5">
        <w:rPr>
          <w:rStyle w:val="Emphasis"/>
        </w:rPr>
        <w:t>.</w:t>
      </w:r>
      <w:r w:rsidRPr="000A6CF5">
        <w:rPr>
          <w:sz w:val="16"/>
        </w:rPr>
        <w:t xml:space="preserve"> This is a different way of explaining the same argument for the value of humanity put forward by Kant and Korsgaard which is why I am arguing that their positions, broadly understood in relation to their grounding in the nature of agency, are compatible with scalar deontology. </w:t>
      </w:r>
      <w:r w:rsidRPr="000A6CF5">
        <w:rPr>
          <w:rStyle w:val="Emphasis"/>
        </w:rPr>
        <w:t xml:space="preserve">From the perspective of the subject, the agent, engaged in self constitution, they never actually become unified because the activity is never complete: </w:t>
      </w:r>
      <w:r w:rsidRPr="000A6CF5">
        <w:rPr>
          <w:rStyle w:val="Emphasis"/>
          <w:highlight w:val="yellow"/>
        </w:rPr>
        <w:t>there is always another decision to make</w:t>
      </w:r>
      <w:r w:rsidRPr="000A6CF5">
        <w:rPr>
          <w:sz w:val="16"/>
        </w:rPr>
        <w:t xml:space="preserve">. </w:t>
      </w:r>
      <w:r w:rsidRPr="000A6CF5">
        <w:rPr>
          <w:rStyle w:val="Emphasis"/>
          <w:highlight w:val="yellow"/>
        </w:rPr>
        <w:t>One might argue that their unity could be measured in isolated cases</w:t>
      </w:r>
      <w:r w:rsidRPr="000A6CF5">
        <w:rPr>
          <w:rStyle w:val="Emphasis"/>
        </w:rPr>
        <w:t xml:space="preserve">, such as reflecting on one particular decision or when they have died, </w:t>
      </w:r>
      <w:r w:rsidRPr="000A6CF5">
        <w:rPr>
          <w:rStyle w:val="Emphasis"/>
          <w:highlight w:val="yellow"/>
        </w:rPr>
        <w:t>but that entails considering agency in a different sense than the sense in which agency is the source of value;</w:t>
      </w:r>
      <w:r w:rsidRPr="000A6CF5">
        <w:rPr>
          <w:rStyle w:val="Emphasis"/>
        </w:rPr>
        <w:t xml:space="preserve"> because agency is the source of value in the sense that agency explains the perspective of a subject attempting to unify themselves.</w:t>
      </w:r>
      <w:r w:rsidRPr="000A6CF5">
        <w:rPr>
          <w:sz w:val="16"/>
        </w:rPr>
        <w:t xml:space="preserve"> My point is that there is an element to agency that Korsgaard has not </w:t>
      </w:r>
      <w:r w:rsidRPr="000A6CF5">
        <w:rPr>
          <w:sz w:val="16"/>
        </w:rPr>
        <w:lastRenderedPageBreak/>
        <w:t xml:space="preserve">fully appreciated: the extent to which one is coherently self constituted is not absolute, one is not simply coherent or not. </w:t>
      </w:r>
      <w:r w:rsidRPr="000A6CF5">
        <w:rPr>
          <w:rStyle w:val="Emphasis"/>
        </w:rPr>
        <w:t xml:space="preserve">Rather, one seeks to become coherent and the reason for this is that </w:t>
      </w:r>
      <w:r w:rsidRPr="000A6CF5">
        <w:rPr>
          <w:rStyle w:val="Emphasis"/>
          <w:highlight w:val="yellow"/>
        </w:rPr>
        <w:t>autonomy itself has a goal, there is something it is aiming at, and that goal is not so much finished as furthered</w:t>
      </w:r>
      <w:r w:rsidRPr="000A6CF5">
        <w:rPr>
          <w:sz w:val="16"/>
        </w:rPr>
        <w:t xml:space="preserve">. This claim, that the extent to which one is coherently self constituted is not absolute, is not compatible with Korsgaard’s constitutivism, on the face of the matter, because, as Korsgaard explains, one has either acted according to the correct principle or one has not. This, apparent, incompatibility can be overcome when the importance of the temporal element of agency is considered: the claim, put more accurately, is that the extent to which one is coherently self constituted is not absolute when considering the agent over time which is, after all, how the agent sees themselves and the context in which the agent attempts to constitute themselves (not as a finished project, but as an ongoing one). Another way to explain this point, that may help in clarifying the issue, is that value exists when considering the agent that faces the problem of self constitution rather than considering the agent that has already acted. Remember, freedom exists when making the choice rather than after the fact and, according to Kant and Korsgaard, value is derived from autonomy accordingly. </w:t>
      </w:r>
      <w:r w:rsidRPr="000A6CF5">
        <w:rPr>
          <w:rStyle w:val="Emphasis"/>
          <w:highlight w:val="yellow"/>
        </w:rPr>
        <w:t>We must value our own autonomy,</w:t>
      </w:r>
      <w:r w:rsidRPr="000A6CF5">
        <w:rPr>
          <w:rStyle w:val="Emphasis"/>
        </w:rPr>
        <w:t xml:space="preserve"> by exercising it, because that is a necessity from the perspective of the subject; </w:t>
      </w:r>
      <w:r w:rsidRPr="000A6CF5">
        <w:rPr>
          <w:rStyle w:val="Emphasis"/>
          <w:highlight w:val="yellow"/>
        </w:rPr>
        <w:t>one cannot be in the position of making a decision without</w:t>
      </w:r>
      <w:r w:rsidRPr="000A6CF5">
        <w:rPr>
          <w:rStyle w:val="Emphasis"/>
        </w:rPr>
        <w:t xml:space="preserve"> 143 also </w:t>
      </w:r>
      <w:r w:rsidRPr="000A6CF5">
        <w:rPr>
          <w:rStyle w:val="Emphasis"/>
          <w:highlight w:val="yellow"/>
        </w:rPr>
        <w:t>valuing one’s ability to make a decision</w:t>
      </w:r>
      <w:r w:rsidRPr="000A6CF5">
        <w:rPr>
          <w:rStyle w:val="Emphasis"/>
        </w:rPr>
        <w:t>.</w:t>
      </w:r>
      <w:r w:rsidRPr="000A6CF5">
        <w:rPr>
          <w:sz w:val="16"/>
        </w:rPr>
        <w:t xml:space="preserve"> The subject’s perspective during the activity of 62 reflection/deliberation is also the position from which one values self constitution; or, rather, it is because of this perspective that one is faced with the problem of unifying oneself. Because it is from this perspective that this activity, self unification, exists it is also from this perspective that normativity exists (remember that, according to Korsgaard, normativity is grounded in autonomy which is the process of self unification). This entails a scalar understanding of value because from this perspective unifying oneself is not something one has done but it is something that one is doing. Notice that the crucial element of this line of argument is establishing that the constitutive activity of normativity is an ongoing activity. Once this is established a scalar understanding of value follows because it limits the understanding of value to what facilitates the aims of the activity more or less (because the activity can no longer be considered something that is accomplished or not). This can also be explained, in Korsgaard’s terms, by referring to the sense in which obligations exist as reactions to threats to one’s identity (see Korsgaard (1996b pp. 102-103). In order for failure to unify oneself to be a threat to my identity it must be my mistake. An ‘error’ in self unification is possible because I find my agency in the problem facing me, the problem of agency (deciding what to do in the context of reflection), and that problem is what exists over time. It exists over time because agency exists over time and the mistakes made in attempting to solve that problem are mine because agency exists over time; because autonomy and freedom, and therefore normativity, exists over time. It is the solving of this problem that can be furthered more or less because it is not an activity that is completed. Although particular problems that are faced may be solved the ongoing problem of unifying oneself is not and it is this point that is the ‘evidence’ of my claim. By evidence I intend to invoke the same manner of justification employed by Korsgaard (1996b) when she argues that the structure of conscious thought, the necessary elements of reasoning, that supports her explanation of agency and its constitutive elements (pp. 92-93). My point is that the same structural elements of agency identified by Korsgaard in this manner also demonstrates that agency is an ongoing activity. We find, in the structure of our own mind, that we face the problem of reflection (what to do and how to utilise practical reason in order to make that decision), as Korsgaard argues, but we also find that this is an ongoing process.</w:t>
      </w:r>
    </w:p>
    <w:p w14:paraId="6298E327" w14:textId="77777777" w:rsidR="00665156" w:rsidRDefault="00665156" w:rsidP="00665156">
      <w:pPr>
        <w:pStyle w:val="Heading4"/>
      </w:pPr>
      <w:r>
        <w:lastRenderedPageBreak/>
        <w:t xml:space="preserve">Only evaluate Intents: </w:t>
      </w:r>
    </w:p>
    <w:p w14:paraId="1E4F2BB5" w14:textId="77777777" w:rsidR="00665156" w:rsidRPr="007829B3" w:rsidRDefault="00665156" w:rsidP="00665156">
      <w:pPr>
        <w:pStyle w:val="Heading4"/>
        <w:rPr>
          <w:rFonts w:cs="Times New Roman"/>
        </w:rPr>
      </w:pPr>
      <w:r>
        <w:rPr>
          <w:rFonts w:cs="Times New Roman"/>
        </w:rPr>
        <w:t xml:space="preserve">[1] </w:t>
      </w:r>
      <w:r w:rsidRPr="00CA6479">
        <w:rPr>
          <w:rFonts w:cs="Times New Roman"/>
          <w:color w:val="000000" w:themeColor="text1"/>
        </w:rPr>
        <w:t>Otherwise ethical theories hold agents responsible for consequences external to their will which removes any reason to be moral because agents cannot control what they are being punished for</w:t>
      </w:r>
      <w:r>
        <w:rPr>
          <w:rFonts w:cs="Times New Roman"/>
        </w:rPr>
        <w:t xml:space="preserve"> </w:t>
      </w:r>
    </w:p>
    <w:p w14:paraId="5E4C7EBE" w14:textId="77777777" w:rsidR="00665156" w:rsidRDefault="00665156" w:rsidP="00665156">
      <w:pPr>
        <w:pStyle w:val="Heading4"/>
      </w:pPr>
      <w:r>
        <w:t>[2]</w:t>
      </w:r>
      <w:r w:rsidRPr="00945D06">
        <w:t xml:space="preserve"> </w:t>
      </w:r>
      <w:r>
        <w:t xml:space="preserve">Induction fails – it’s incoherent to justify the past to justify the future because there’s no logical certainty that what has happened before will happen again </w:t>
      </w:r>
    </w:p>
    <w:p w14:paraId="37A71D82" w14:textId="77777777" w:rsidR="00665156" w:rsidRDefault="00665156" w:rsidP="00665156">
      <w:pPr>
        <w:pStyle w:val="Heading4"/>
        <w:rPr>
          <w:rFonts w:eastAsia="SimSun"/>
          <w:lang w:eastAsia="zh-CN"/>
        </w:rPr>
      </w:pPr>
      <w:r>
        <w:rPr>
          <w:rFonts w:eastAsia="SimSun"/>
          <w:lang w:eastAsia="zh-CN"/>
        </w:rPr>
        <w:t xml:space="preserve">[3] Since it requires evaluating end-states we can’t know whether the action was good until after it was taken which means the judge cannot determine whether the aff is good </w:t>
      </w:r>
    </w:p>
    <w:p w14:paraId="2123DFF1" w14:textId="77777777" w:rsidR="00665156" w:rsidRPr="00841E17" w:rsidRDefault="00665156" w:rsidP="00665156">
      <w:pPr>
        <w:pStyle w:val="Heading4"/>
        <w:rPr>
          <w:rFonts w:cs="Times New Roman"/>
        </w:rPr>
      </w:pPr>
      <w:r>
        <w:rPr>
          <w:rFonts w:eastAsia="SimSun"/>
          <w:lang w:eastAsia="zh-CN"/>
        </w:rPr>
        <w:t xml:space="preserve">[4] Consequences empirically impossible to predict. </w:t>
      </w:r>
      <w:r w:rsidRPr="0009494A">
        <w:rPr>
          <w:rFonts w:eastAsia="Calibri" w:cs="Times New Roman"/>
          <w:sz w:val="24"/>
          <w:u w:val="single"/>
        </w:rPr>
        <w:t>Menand 05,</w:t>
      </w:r>
      <w:r w:rsidRPr="0070502F">
        <w:rPr>
          <w:rFonts w:eastAsia="Calibri" w:cs="Times New Roman"/>
          <w:sz w:val="12"/>
          <w:szCs w:val="22"/>
        </w:rPr>
        <w:t xml:space="preserve"> </w:t>
      </w:r>
      <w:r w:rsidRPr="0070502F">
        <w:rPr>
          <w:rFonts w:eastAsia="Calibri" w:cs="Times New Roman"/>
          <w:sz w:val="12"/>
          <w:szCs w:val="12"/>
        </w:rPr>
        <w:t xml:space="preserve"> Louis Menand (the Anne T. and Robert M. Bass Professor of English at Harvard University) “Everybody’s An Expert” The New Yorker 2005 </w:t>
      </w:r>
      <w:hyperlink r:id="rId12" w:history="1">
        <w:r w:rsidRPr="0070502F">
          <w:rPr>
            <w:rStyle w:val="Hyperlink"/>
            <w:rFonts w:eastAsia="Calibri" w:cs="Times New Roman"/>
            <w:sz w:val="12"/>
            <w:szCs w:val="12"/>
          </w:rPr>
          <w:t>http://www.newyorker.com/magazine/2005/12/05/everybodys-an-expert//</w:t>
        </w:r>
      </w:hyperlink>
      <w:r w:rsidRPr="0070502F">
        <w:rPr>
          <w:rFonts w:eastAsia="Calibri" w:cs="Times New Roman"/>
          <w:sz w:val="12"/>
          <w:szCs w:val="22"/>
        </w:rPr>
        <w:t xml:space="preserve"> </w:t>
      </w:r>
      <w:r w:rsidRPr="0070502F">
        <w:rPr>
          <w:rFonts w:eastAsia="Calibri" w:cs="Times New Roman"/>
          <w:sz w:val="12"/>
          <w:szCs w:val="12"/>
        </w:rPr>
        <w:t xml:space="preserve">“Expert Political Judgment” is not a work of media criticism. Tetlock is a psychologist—he teaches at Berkeley—and his conclusions are based on </w:t>
      </w:r>
      <w:r w:rsidRPr="00294956">
        <w:rPr>
          <w:rFonts w:eastAsia="Calibri" w:cs="Times New Roman"/>
          <w:sz w:val="24"/>
          <w:highlight w:val="yellow"/>
          <w:u w:val="single"/>
        </w:rPr>
        <w:t>a long-term study</w:t>
      </w:r>
      <w:r w:rsidRPr="0070502F">
        <w:rPr>
          <w:rFonts w:eastAsia="Calibri" w:cs="Times New Roman"/>
          <w:sz w:val="12"/>
        </w:rPr>
        <w:t xml:space="preserve"> that he </w:t>
      </w:r>
      <w:r w:rsidRPr="0070502F">
        <w:rPr>
          <w:rFonts w:eastAsia="Calibri" w:cs="Times New Roman"/>
          <w:sz w:val="24"/>
          <w:u w:val="single"/>
        </w:rPr>
        <w:t>began twenty years ago</w:t>
      </w:r>
      <w:r w:rsidRPr="0070502F">
        <w:rPr>
          <w:rFonts w:eastAsia="Calibri" w:cs="Times New Roman"/>
          <w:sz w:val="12"/>
        </w:rPr>
        <w:t xml:space="preserve">. He </w:t>
      </w:r>
      <w:r w:rsidRPr="00294956">
        <w:rPr>
          <w:rFonts w:eastAsia="Calibri" w:cs="Times New Roman"/>
          <w:sz w:val="24"/>
          <w:highlight w:val="yellow"/>
          <w:u w:val="single"/>
        </w:rPr>
        <w:t>picked two hundred</w:t>
      </w:r>
      <w:r w:rsidRPr="0070502F">
        <w:rPr>
          <w:rFonts w:eastAsia="Calibri" w:cs="Times New Roman"/>
          <w:sz w:val="12"/>
        </w:rPr>
        <w:t xml:space="preserve"> and </w:t>
      </w:r>
      <w:r w:rsidRPr="00294956">
        <w:rPr>
          <w:rFonts w:eastAsia="Calibri" w:cs="Times New Roman"/>
          <w:sz w:val="24"/>
          <w:highlight w:val="yellow"/>
          <w:u w:val="single"/>
        </w:rPr>
        <w:t>eighty-four people who made their living</w:t>
      </w:r>
      <w:r w:rsidRPr="0070502F">
        <w:rPr>
          <w:rFonts w:eastAsia="Calibri" w:cs="Times New Roman"/>
          <w:sz w:val="12"/>
        </w:rPr>
        <w:t xml:space="preserve"> “commenting or </w:t>
      </w:r>
      <w:r w:rsidRPr="00294956">
        <w:rPr>
          <w:rFonts w:eastAsia="Calibri" w:cs="Times New Roman"/>
          <w:sz w:val="24"/>
          <w:highlight w:val="yellow"/>
          <w:u w:val="single"/>
        </w:rPr>
        <w:t>offering advice on political and economic trends</w:t>
      </w:r>
      <w:r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294956">
        <w:rPr>
          <w:rFonts w:eastAsia="Calibri" w:cs="Times New Roman"/>
          <w:sz w:val="24"/>
          <w:highlight w:val="yellow"/>
          <w:u w:val="single"/>
        </w:rPr>
        <w:t>the experts</w:t>
      </w:r>
      <w:r w:rsidRPr="0070502F">
        <w:rPr>
          <w:rFonts w:eastAsia="Calibri" w:cs="Times New Roman"/>
          <w:sz w:val="12"/>
        </w:rPr>
        <w:t xml:space="preserve"> had </w:t>
      </w:r>
      <w:r w:rsidRPr="00294956">
        <w:rPr>
          <w:rFonts w:eastAsia="Calibri" w:cs="Times New Roman"/>
          <w:sz w:val="24"/>
          <w:highlight w:val="yellow"/>
          <w:u w:val="single"/>
        </w:rPr>
        <w:t>made 82,361 forecasts</w:t>
      </w:r>
      <w:r w:rsidRPr="0070502F">
        <w:rPr>
          <w:rFonts w:eastAsia="Calibri" w:cs="Times New Roman"/>
          <w:sz w:val="12"/>
        </w:rPr>
        <w:t xml:space="preserve">. Tetlock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Tetlock got a statistical handle on his task by putting most of the forecasting questions into a “three possible futures” form. </w:t>
      </w:r>
      <w:r w:rsidRPr="0070502F">
        <w:rPr>
          <w:rFonts w:eastAsia="Calibri" w:cs="Times New Roman"/>
          <w:sz w:val="24"/>
          <w:u w:val="single"/>
        </w:rPr>
        <w:t>The respondents were asked to rate the probability of</w:t>
      </w:r>
      <w:r w:rsidRPr="0070502F">
        <w:rPr>
          <w:rFonts w:eastAsia="Calibri" w:cs="Times New Roman"/>
          <w:sz w:val="12"/>
        </w:rPr>
        <w:t xml:space="preserve"> three alternative outcomes:</w:t>
      </w:r>
      <w:r w:rsidRPr="0070502F">
        <w:rPr>
          <w:rFonts w:eastAsia="Calibri" w:cs="Times New Roman"/>
          <w:sz w:val="24"/>
          <w:u w:val="single"/>
        </w:rPr>
        <w:t xml:space="preserve"> the persistence of the status quo, more of something</w:t>
      </w:r>
      <w:r w:rsidRPr="0070502F">
        <w:rPr>
          <w:rFonts w:eastAsia="Calibri" w:cs="Times New Roman"/>
          <w:sz w:val="12"/>
        </w:rPr>
        <w:t xml:space="preserve"> (political freedom, </w:t>
      </w:r>
      <w:r w:rsidRPr="0070502F">
        <w:rPr>
          <w:rFonts w:eastAsia="Calibri" w:cs="Times New Roman"/>
          <w:sz w:val="24"/>
          <w:u w:val="single"/>
        </w:rPr>
        <w:t>[e.g.] economic growth), or less of something</w:t>
      </w:r>
      <w:r w:rsidRPr="0070502F">
        <w:rPr>
          <w:rFonts w:eastAsia="Calibri" w:cs="Times New Roman"/>
          <w:sz w:val="12"/>
        </w:rPr>
        <w:t xml:space="preserve"> (repression, </w:t>
      </w:r>
      <w:r w:rsidRPr="0070502F">
        <w:rPr>
          <w:rFonts w:eastAsia="Calibri" w:cs="Times New Roman"/>
          <w:sz w:val="24"/>
          <w:u w:val="single"/>
        </w:rPr>
        <w:t>[e.g.] recession</w:t>
      </w:r>
      <w:r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294956">
        <w:rPr>
          <w:rFonts w:eastAsia="Calibri" w:cs="Times New Roman"/>
          <w:sz w:val="24"/>
          <w:highlight w:val="yellow"/>
          <w:u w:val="single"/>
        </w:rPr>
        <w:t>the experts performed worse than</w:t>
      </w:r>
      <w:r w:rsidRPr="0070502F">
        <w:rPr>
          <w:rFonts w:eastAsia="Calibri" w:cs="Times New Roman"/>
          <w:sz w:val="12"/>
        </w:rPr>
        <w:t xml:space="preserve"> they would have </w:t>
      </w:r>
      <w:r w:rsidRPr="00294956">
        <w:rPr>
          <w:rFonts w:eastAsia="Calibri" w:cs="Times New Roman"/>
          <w:sz w:val="24"/>
          <w:highlight w:val="yellow"/>
          <w:u w:val="single"/>
        </w:rPr>
        <w:t>if they</w:t>
      </w:r>
      <w:r w:rsidRPr="0070502F">
        <w:rPr>
          <w:rFonts w:eastAsia="Calibri" w:cs="Times New Roman"/>
          <w:sz w:val="12"/>
        </w:rPr>
        <w:t xml:space="preserve"> had simply </w:t>
      </w:r>
      <w:r w:rsidRPr="00294956">
        <w:rPr>
          <w:rFonts w:eastAsia="Calibri" w:cs="Times New Roman"/>
          <w:sz w:val="24"/>
          <w:highlight w:val="yellow"/>
          <w:u w:val="single"/>
        </w:rPr>
        <w:t>assigned an equal probability to all</w:t>
      </w:r>
      <w:r w:rsidRPr="0070502F">
        <w:rPr>
          <w:rFonts w:eastAsia="Calibri" w:cs="Times New Roman"/>
          <w:sz w:val="24"/>
          <w:u w:val="single"/>
        </w:rPr>
        <w:t xml:space="preserve"> three </w:t>
      </w:r>
      <w:r w:rsidRPr="00294956">
        <w:rPr>
          <w:rFonts w:eastAsia="Calibri" w:cs="Times New Roman"/>
          <w:sz w:val="24"/>
          <w:highlight w:val="yellow"/>
          <w:u w:val="single"/>
        </w:rPr>
        <w:t>outcomes</w:t>
      </w:r>
      <w:r w:rsidRPr="0070502F">
        <w:rPr>
          <w:rFonts w:eastAsia="Calibri" w:cs="Times New Roman"/>
          <w:sz w:val="12"/>
        </w:rPr>
        <w:t>—if they had given each possible future a thirty-three-per-cent chance of occurring. </w:t>
      </w:r>
      <w:r w:rsidRPr="00294956">
        <w:rPr>
          <w:rFonts w:eastAsia="Calibri" w:cs="Times New Roman"/>
          <w:sz w:val="24"/>
          <w:highlight w:val="yellow"/>
          <w:u w:val="single"/>
        </w:rPr>
        <w:t>Human beings</w:t>
      </w:r>
      <w:r w:rsidRPr="0070502F">
        <w:rPr>
          <w:rFonts w:eastAsia="Calibri" w:cs="Times New Roman"/>
          <w:sz w:val="12"/>
        </w:rPr>
        <w:t xml:space="preserve"> who spend their lives studying the state of the world, in other words, </w:t>
      </w:r>
      <w:r w:rsidRPr="00294956">
        <w:rPr>
          <w:rFonts w:eastAsia="Calibri" w:cs="Times New Roman"/>
          <w:sz w:val="24"/>
          <w:highlight w:val="yellow"/>
          <w:u w:val="single"/>
        </w:rPr>
        <w:t>are poorer forecasters than dart-throwing monkeys</w:t>
      </w:r>
      <w:r w:rsidRPr="0070502F">
        <w:rPr>
          <w:rFonts w:eastAsia="Calibri" w:cs="Times New Roman"/>
          <w:sz w:val="12"/>
        </w:rPr>
        <w:t>, who would have distributed their picks evenly over the three choices.</w:t>
      </w:r>
    </w:p>
    <w:p w14:paraId="7852E09D" w14:textId="77777777" w:rsidR="00665156" w:rsidRDefault="00665156" w:rsidP="00665156">
      <w:pPr>
        <w:pStyle w:val="Heading3"/>
      </w:pPr>
      <w:r>
        <w:lastRenderedPageBreak/>
        <w:t>Contention</w:t>
      </w:r>
    </w:p>
    <w:p w14:paraId="1E7FCC7E" w14:textId="77777777" w:rsidR="00665156" w:rsidRPr="002733C1" w:rsidRDefault="00665156" w:rsidP="00665156">
      <w:pPr>
        <w:pStyle w:val="Heading4"/>
        <w:rPr>
          <w:rFonts w:ascii="Times New Roman" w:hAnsi="Times New Roman" w:cs="Times New Roman"/>
          <w:sz w:val="24"/>
        </w:rPr>
      </w:pPr>
      <w:r>
        <w:t xml:space="preserve">I contend that </w:t>
      </w:r>
      <w:r w:rsidRPr="002733C1">
        <w:rPr>
          <w:bdr w:val="none" w:sz="0" w:space="0" w:color="auto" w:frame="1"/>
          <w:shd w:val="clear" w:color="auto" w:fill="FFFFFF"/>
        </w:rPr>
        <w:t>Resolved: The appropriation of outer space by private entities is unjust.</w:t>
      </w:r>
      <w:r>
        <w:rPr>
          <w:bdr w:val="none" w:sz="0" w:space="0" w:color="auto" w:frame="1"/>
          <w:shd w:val="clear" w:color="auto" w:fill="FFFFFF"/>
        </w:rPr>
        <w:t xml:space="preserve"> Check all questions of the advocacy in CX to prevent frivolous theory debates.</w:t>
      </w:r>
    </w:p>
    <w:p w14:paraId="27D4AF27" w14:textId="77777777" w:rsidR="00665156" w:rsidRDefault="00665156" w:rsidP="00665156">
      <w:pPr>
        <w:pStyle w:val="Heading4"/>
      </w:pPr>
      <w:r>
        <w:t>1] Astrobiology – Out of the possibility of extraterrestrial reasoners, we have an obligation to respect their habitats and not interfere through exploration.</w:t>
      </w:r>
    </w:p>
    <w:p w14:paraId="2550398B" w14:textId="77777777" w:rsidR="00665156" w:rsidRPr="005B0EF8" w:rsidRDefault="00665156" w:rsidP="00665156">
      <w:r w:rsidRPr="005B0EF8">
        <w:t xml:space="preserve">Brian Patrick </w:t>
      </w:r>
      <w:r w:rsidRPr="005B0EF8">
        <w:rPr>
          <w:rStyle w:val="Style13ptBold"/>
        </w:rPr>
        <w:t>Green</w:t>
      </w:r>
      <w:r w:rsidRPr="005B0EF8">
        <w:t xml:space="preserve"> </w:t>
      </w:r>
      <w:r>
        <w:t>20</w:t>
      </w:r>
      <w:r w:rsidRPr="005B0EF8">
        <w:rPr>
          <w:rStyle w:val="Style13ptBold"/>
        </w:rPr>
        <w:t>14</w:t>
      </w:r>
      <w:r w:rsidRPr="005B0EF8">
        <w:t>,</w:t>
      </w:r>
      <w:r>
        <w:t xml:space="preserve"> Santa Clara University, </w:t>
      </w:r>
      <w:r w:rsidRPr="005B0EF8">
        <w:t>"Ethical Approaches to Astrobiology and Space Exploration: Comparing Kant, Mill, and</w:t>
      </w:r>
      <w:r>
        <w:t xml:space="preserve"> </w:t>
      </w:r>
      <w:r w:rsidRPr="005B0EF8">
        <w:t>Aristotle," Scholar Commons,</w:t>
      </w:r>
      <w:r>
        <w:t xml:space="preserve"> </w:t>
      </w:r>
      <w:hyperlink r:id="rId13" w:history="1">
        <w:r w:rsidRPr="00CB5224">
          <w:rPr>
            <w:rStyle w:val="Hyperlink"/>
          </w:rPr>
          <w:t>https://scholarcommons.scu.edu/markkula/5/</w:t>
        </w:r>
      </w:hyperlink>
    </w:p>
    <w:p w14:paraId="11BC6330" w14:textId="77777777" w:rsidR="00665156" w:rsidRPr="0094243C" w:rsidRDefault="00665156" w:rsidP="00665156">
      <w:pPr>
        <w:rPr>
          <w:b/>
          <w:iCs/>
          <w:u w:val="single"/>
        </w:rPr>
      </w:pPr>
      <w:r w:rsidRPr="005B0EF8">
        <w:rPr>
          <w:sz w:val="12"/>
        </w:rPr>
        <w:t xml:space="preserve">But to assume that Kant has not considered these questions is an enormous mistake. In 1755, quite early in his career, Kant published the book Universal Natural History and Theory of the Heavens, where he described the solar nebular hypothesis (now the accepted theory for how the solar system formed).4 More than that, Kant not only allowed </w:t>
      </w:r>
      <w:r w:rsidRPr="00DE600B">
        <w:rPr>
          <w:rStyle w:val="Emphasis"/>
        </w:rPr>
        <w:t xml:space="preserve">that </w:t>
      </w:r>
      <w:r w:rsidRPr="005B0EF8">
        <w:rPr>
          <w:rStyle w:val="Emphasis"/>
          <w:highlight w:val="green"/>
        </w:rPr>
        <w:t>extraterrestrial intelligences might exist</w:t>
      </w:r>
      <w:r w:rsidRPr="00DE600B">
        <w:rPr>
          <w:rStyle w:val="Emphasis"/>
        </w:rPr>
        <w:t xml:space="preserve">, he believed that if they did not yet exist, that </w:t>
      </w:r>
      <w:r w:rsidRPr="005B0EF8">
        <w:rPr>
          <w:rStyle w:val="Emphasis"/>
          <w:highlight w:val="green"/>
        </w:rPr>
        <w:t>someday</w:t>
      </w:r>
      <w:r w:rsidRPr="00DE600B">
        <w:rPr>
          <w:rStyle w:val="Emphasis"/>
        </w:rPr>
        <w:t xml:space="preserve"> they would</w:t>
      </w:r>
      <w:r w:rsidRPr="005B0EF8">
        <w:rPr>
          <w:sz w:val="12"/>
        </w:rPr>
        <w:t xml:space="preserve">,5 and that some of </w:t>
      </w:r>
      <w:r w:rsidRPr="00DE600B">
        <w:rPr>
          <w:rStyle w:val="Emphasis"/>
        </w:rPr>
        <w:t xml:space="preserve">these ETIs would be </w:t>
      </w:r>
      <w:r w:rsidRPr="005B0EF8">
        <w:rPr>
          <w:rStyle w:val="Emphasis"/>
          <w:highlight w:val="green"/>
        </w:rPr>
        <w:t xml:space="preserve">inferior and </w:t>
      </w:r>
      <w:r w:rsidRPr="005B0EF8">
        <w:rPr>
          <w:rStyle w:val="Emphasis"/>
        </w:rPr>
        <w:t xml:space="preserve">some </w:t>
      </w:r>
      <w:r w:rsidRPr="005B0EF8">
        <w:rPr>
          <w:rStyle w:val="Emphasis"/>
          <w:highlight w:val="green"/>
        </w:rPr>
        <w:t>superior</w:t>
      </w:r>
      <w:r w:rsidRPr="00DE600B">
        <w:rPr>
          <w:rStyle w:val="Emphasis"/>
        </w:rPr>
        <w:t xml:space="preserve"> to humans </w:t>
      </w:r>
      <w:r w:rsidRPr="005B0EF8">
        <w:rPr>
          <w:rStyle w:val="Emphasis"/>
          <w:highlight w:val="green"/>
        </w:rPr>
        <w:t>in intelligence</w:t>
      </w:r>
      <w:r w:rsidRPr="005B0EF8">
        <w:rPr>
          <w:sz w:val="12"/>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DE600B">
        <w:rPr>
          <w:rStyle w:val="Emphasis"/>
        </w:rPr>
        <w:t>Kant is explicit – he is not just discussing humans, but “</w:t>
      </w:r>
      <w:r w:rsidRPr="005B0EF8">
        <w:rPr>
          <w:rStyle w:val="Emphasis"/>
          <w:highlight w:val="green"/>
        </w:rPr>
        <w:t>all rational beings</w:t>
      </w:r>
      <w:r w:rsidRPr="00DE600B">
        <w:rPr>
          <w:rStyle w:val="Emphasis"/>
        </w:rPr>
        <w:t>.</w:t>
      </w:r>
      <w:r w:rsidRPr="005B0EF8">
        <w:rPr>
          <w:sz w:val="12"/>
        </w:rPr>
        <w:t xml:space="preserve">” 7 So with respect deontology and extraterrestrial intelligent life, Case 1) on the chart, </w:t>
      </w:r>
      <w:r w:rsidRPr="00DE600B">
        <w:rPr>
          <w:rStyle w:val="Emphasis"/>
        </w:rPr>
        <w:t xml:space="preserve">Kant would </w:t>
      </w:r>
      <w:r w:rsidRPr="005B0EF8">
        <w:rPr>
          <w:rStyle w:val="Emphasis"/>
          <w:highlight w:val="green"/>
        </w:rPr>
        <w:t>extend</w:t>
      </w:r>
      <w:r w:rsidRPr="00DE600B">
        <w:rPr>
          <w:rStyle w:val="Emphasis"/>
        </w:rPr>
        <w:t xml:space="preserve"> the same </w:t>
      </w:r>
      <w:r w:rsidRPr="005B0EF8">
        <w:rPr>
          <w:rStyle w:val="Emphasis"/>
          <w:highlight w:val="green"/>
        </w:rPr>
        <w:t>full dignity</w:t>
      </w:r>
      <w:r w:rsidRPr="00DE600B">
        <w:rPr>
          <w:rStyle w:val="Emphasis"/>
        </w:rPr>
        <w:t xml:space="preserve"> and respect </w:t>
      </w:r>
      <w:r w:rsidRPr="005B0EF8">
        <w:rPr>
          <w:rStyle w:val="Emphasis"/>
          <w:highlight w:val="green"/>
        </w:rPr>
        <w:t>to ETIs</w:t>
      </w:r>
      <w:r w:rsidRPr="00DE600B">
        <w:rPr>
          <w:rStyle w:val="Emphasis"/>
        </w:rPr>
        <w:t xml:space="preserve"> which humans owe to each other</w:t>
      </w:r>
      <w:r w:rsidRPr="005B0EF8">
        <w:rPr>
          <w:sz w:val="12"/>
        </w:rPr>
        <w:t xml:space="preserve">, in accord with his categorical imperative, which requires the universalizability of moral norms8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then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there is an odd exception to this conclusion which is worth mentioning (and which I note with a star in the table). </w:t>
      </w:r>
      <w:r w:rsidRPr="00DE600B">
        <w:rPr>
          <w:rStyle w:val="Emphasis"/>
        </w:rPr>
        <w:t xml:space="preserve">Kant believed that </w:t>
      </w:r>
      <w:r w:rsidRPr="005B0EF8">
        <w:rPr>
          <w:rStyle w:val="Emphasis"/>
          <w:highlight w:val="green"/>
        </w:rPr>
        <w:t>if other planets were not</w:t>
      </w:r>
      <w:r w:rsidRPr="00DE600B">
        <w:rPr>
          <w:rStyle w:val="Emphasis"/>
        </w:rPr>
        <w:t xml:space="preserve"> yet </w:t>
      </w:r>
      <w:r w:rsidRPr="005B0EF8">
        <w:rPr>
          <w:rStyle w:val="Emphasis"/>
          <w:highlight w:val="green"/>
        </w:rPr>
        <w:t>inhabited, they someday would</w:t>
      </w:r>
      <w:r w:rsidRPr="00DE600B">
        <w:rPr>
          <w:rStyle w:val="Emphasis"/>
        </w:rPr>
        <w:t xml:space="preserve"> be. If this is the case, then what of planets currently without intelligent life but which may someday have it?</w:t>
      </w:r>
      <w:r w:rsidRPr="005B0EF8">
        <w:rPr>
          <w:sz w:val="12"/>
        </w:rPr>
        <w:t xml:space="preserve"> </w:t>
      </w:r>
      <w:r w:rsidRPr="005B0EF8">
        <w:rPr>
          <w:rStyle w:val="Emphasis"/>
          <w:highlight w:val="green"/>
        </w:rPr>
        <w:t>Ought we</w:t>
      </w:r>
      <w:r w:rsidRPr="00DE600B">
        <w:rPr>
          <w:rStyle w:val="Emphasis"/>
        </w:rPr>
        <w:t xml:space="preserve"> to </w:t>
      </w:r>
      <w:r w:rsidRPr="005B0EF8">
        <w:rPr>
          <w:rStyle w:val="Emphasis"/>
          <w:highlight w:val="green"/>
        </w:rPr>
        <w:t>anticipate these intelligent creatures and therefore respect them proactively by respecting their prospective goods?</w:t>
      </w:r>
      <w:r w:rsidRPr="00DE600B">
        <w:rPr>
          <w:rStyle w:val="Emphasis"/>
        </w:rPr>
        <w:t xml:space="preserve"> </w:t>
      </w:r>
      <w:r w:rsidRPr="005B0EF8">
        <w:rPr>
          <w:sz w:val="12"/>
        </w:rPr>
        <w:t xml:space="preserve">Kant does not say (perhaps because he was not interested in speculating or because humans were, in his time, far from being in a position to affect the futures of these planets). However, </w:t>
      </w:r>
      <w:r w:rsidRPr="005B0EF8">
        <w:rPr>
          <w:rStyle w:val="Emphasis"/>
          <w:highlight w:val="green"/>
        </w:rPr>
        <w:t>given the importance of</w:t>
      </w:r>
      <w:r w:rsidRPr="00DE600B">
        <w:rPr>
          <w:rStyle w:val="Emphasis"/>
        </w:rPr>
        <w:t xml:space="preserve"> rational beings in Kant’s system (</w:t>
      </w:r>
      <w:r w:rsidRPr="005B0EF8">
        <w:rPr>
          <w:rStyle w:val="Emphasis"/>
          <w:highlight w:val="green"/>
        </w:rPr>
        <w:t>rationality</w:t>
      </w:r>
      <w:r w:rsidRPr="00DE600B">
        <w:rPr>
          <w:rStyle w:val="Emphasis"/>
        </w:rPr>
        <w:t>, teleology, and morality are the purpose of universe</w:t>
      </w:r>
      <w:r>
        <w:rPr>
          <w:rStyle w:val="Emphasis"/>
        </w:rPr>
        <w:t>)</w:t>
      </w:r>
      <w:r w:rsidRPr="00DE600B">
        <w:rPr>
          <w:rStyle w:val="Emphasis"/>
        </w:rPr>
        <w:t xml:space="preserve"> </w:t>
      </w:r>
      <w:r w:rsidRPr="005B0EF8">
        <w:rPr>
          <w:rStyle w:val="Emphasis"/>
          <w:highlight w:val="green"/>
        </w:rPr>
        <w:t>the answer is</w:t>
      </w:r>
      <w:r w:rsidRPr="00DE600B">
        <w:rPr>
          <w:rStyle w:val="Emphasis"/>
        </w:rPr>
        <w:t xml:space="preserve"> possibly, or even probably, </w:t>
      </w:r>
      <w:r w:rsidRPr="005B0EF8">
        <w:rPr>
          <w:rStyle w:val="Emphasis"/>
          <w:highlight w:val="green"/>
        </w:rPr>
        <w:t>yes</w:t>
      </w:r>
      <w:r w:rsidRPr="00DE600B">
        <w:rPr>
          <w:rStyle w:val="Emphasis"/>
        </w:rPr>
        <w:t>.</w:t>
      </w:r>
    </w:p>
    <w:p w14:paraId="0335EC2D" w14:textId="77777777" w:rsidR="00665156" w:rsidRDefault="00665156" w:rsidP="00665156">
      <w:pPr>
        <w:pStyle w:val="Heading4"/>
      </w:pPr>
      <w:r>
        <w:t>2] Communalism – Private entities are incapable of making omnilateral decisions as privatization entails that they withhold information which limits deliberation over making maxims.</w:t>
      </w:r>
    </w:p>
    <w:p w14:paraId="46B2359E" w14:textId="77777777" w:rsidR="00665156" w:rsidRPr="00D90DB7" w:rsidRDefault="00665156" w:rsidP="00665156">
      <w:r w:rsidRPr="00D90DB7">
        <w:t xml:space="preserve">Chiara </w:t>
      </w:r>
      <w:r w:rsidRPr="00D90DB7">
        <w:rPr>
          <w:rStyle w:val="Style13ptBold"/>
        </w:rPr>
        <w:t>Cordelli</w:t>
      </w:r>
      <w:r w:rsidRPr="00D90DB7">
        <w:t xml:space="preserve"> 20</w:t>
      </w:r>
      <w:r w:rsidRPr="00D90DB7">
        <w:rPr>
          <w:rStyle w:val="Style13ptBold"/>
        </w:rPr>
        <w:t>16</w:t>
      </w:r>
      <w:r w:rsidRPr="00D90DB7">
        <w:t xml:space="preserve">, University of Chicago, Political Science &amp; the College </w:t>
      </w:r>
      <w:hyperlink r:id="rId14" w:history="1">
        <w:r w:rsidRPr="00D90DB7">
          <w:rPr>
            <w:rStyle w:val="Hyperlink"/>
          </w:rPr>
          <w:t>cordelli@uchicago.edu</w:t>
        </w:r>
      </w:hyperlink>
      <w:r w:rsidRPr="00D90DB7">
        <w:t xml:space="preserve"> </w:t>
      </w:r>
      <w:hyperlink r:id="rId15" w:history="1">
        <w:r w:rsidRPr="00CB5224">
          <w:rPr>
            <w:rStyle w:val="Hyperlink"/>
          </w:rPr>
          <w:t>https://www.law.berkeley.edu/wp-content/uploads/2016/01/What-is-Wrong-With-Privatization_UCB.pdf</w:t>
        </w:r>
      </w:hyperlink>
    </w:p>
    <w:p w14:paraId="3DBFBBE1" w14:textId="77777777" w:rsidR="00665156" w:rsidRPr="0094243C" w:rsidRDefault="00665156" w:rsidP="00665156">
      <w:pPr>
        <w:rPr>
          <w:sz w:val="10"/>
        </w:rPr>
      </w:pPr>
      <w:r w:rsidRPr="007176D2">
        <w:rPr>
          <w:rStyle w:val="Emphasis"/>
          <w:highlight w:val="green"/>
        </w:rPr>
        <w:t>The intrinsic wrong of privatization</w:t>
      </w:r>
      <w:r w:rsidRPr="00832155">
        <w:rPr>
          <w:rStyle w:val="Emphasis"/>
        </w:rPr>
        <w:t xml:space="preserve">, I will suggest, rather </w:t>
      </w:r>
      <w:r w:rsidRPr="007176D2">
        <w:rPr>
          <w:rStyle w:val="Emphasis"/>
          <w:highlight w:val="green"/>
        </w:rPr>
        <w:t>consists in</w:t>
      </w:r>
      <w:r w:rsidRPr="00832155">
        <w:rPr>
          <w:rStyle w:val="Emphasis"/>
        </w:rPr>
        <w:t xml:space="preserve"> the creation of </w:t>
      </w:r>
      <w:r w:rsidRPr="007176D2">
        <w:rPr>
          <w:rStyle w:val="Emphasis"/>
          <w:highlight w:val="green"/>
        </w:rPr>
        <w:t>an institutional arrangement that</w:t>
      </w:r>
      <w:r w:rsidRPr="007176D2">
        <w:rPr>
          <w:rStyle w:val="Emphasis"/>
        </w:rPr>
        <w:t>, by it</w:t>
      </w:r>
      <w:r w:rsidRPr="00832155">
        <w:rPr>
          <w:rStyle w:val="Emphasis"/>
        </w:rPr>
        <w:t xml:space="preserve">s very constitution, </w:t>
      </w:r>
      <w:r w:rsidRPr="007176D2">
        <w:rPr>
          <w:rStyle w:val="Emphasis"/>
          <w:highlight w:val="green"/>
        </w:rPr>
        <w:t>denies</w:t>
      </w:r>
      <w:r w:rsidRPr="00832155">
        <w:rPr>
          <w:rStyle w:val="Emphasis"/>
        </w:rPr>
        <w:t xml:space="preserve"> those who are subject to it </w:t>
      </w:r>
      <w:r w:rsidRPr="007176D2">
        <w:rPr>
          <w:rStyle w:val="Emphasis"/>
          <w:highlight w:val="green"/>
        </w:rPr>
        <w:t>equal freedom</w:t>
      </w:r>
      <w:r w:rsidRPr="007176D2">
        <w:rPr>
          <w:sz w:val="10"/>
        </w:rPr>
        <w:t xml:space="preserve">. I understand freedom as an interpersonal relationship of reciprocal independence. To be free is not to be subordinated to another person’s unilateral will. By building on an analytical reconstruction of </w:t>
      </w:r>
      <w:r w:rsidRPr="00832155">
        <w:rPr>
          <w:rStyle w:val="Emphasis"/>
        </w:rPr>
        <w:t xml:space="preserve">Kant’s Doctrine of Right, I will argue that current forms of </w:t>
      </w:r>
      <w:r w:rsidRPr="007176D2">
        <w:rPr>
          <w:rStyle w:val="Emphasis"/>
          <w:highlight w:val="green"/>
        </w:rPr>
        <w:t>privatization reproduce</w:t>
      </w:r>
      <w:r w:rsidRPr="00832155">
        <w:rPr>
          <w:rStyle w:val="Emphasis"/>
        </w:rPr>
        <w:t xml:space="preserve"> </w:t>
      </w:r>
      <w:r w:rsidRPr="007176D2">
        <w:rPr>
          <w:sz w:val="10"/>
        </w:rPr>
        <w:t xml:space="preserve">(to a different degree) within a civil condition the very same defects that Kant attributes to </w:t>
      </w:r>
      <w:r w:rsidRPr="007176D2">
        <w:rPr>
          <w:rStyle w:val="Emphasis"/>
          <w:highlight w:val="green"/>
        </w:rPr>
        <w:t>the state of nature</w:t>
      </w:r>
      <w:r w:rsidRPr="007176D2">
        <w:rPr>
          <w:sz w:val="10"/>
        </w:rPr>
        <w:t xml:space="preserve">, or to a pre-civil condition, thereby making a rightful condition of reciprocal independence impossible. Importantly, this is so even if private actors are publicly authorized through contract and subject to regulations, and even if they are committed to reason in accordance with the public good. The reason for this, as I will explain, derives from the fact that </w:t>
      </w:r>
      <w:r w:rsidRPr="007176D2">
        <w:rPr>
          <w:rStyle w:val="Emphasis"/>
          <w:highlight w:val="green"/>
        </w:rPr>
        <w:t>private agents are</w:t>
      </w:r>
      <w:r w:rsidRPr="00507433">
        <w:rPr>
          <w:rStyle w:val="Emphasis"/>
        </w:rPr>
        <w:t xml:space="preserve"> constitutionally </w:t>
      </w:r>
      <w:r w:rsidRPr="007176D2">
        <w:rPr>
          <w:rStyle w:val="Emphasis"/>
          <w:highlight w:val="green"/>
        </w:rPr>
        <w:t>incapable of acting omnilaterally</w:t>
      </w:r>
      <w:r w:rsidRPr="00507433">
        <w:rPr>
          <w:rStyle w:val="Emphasis"/>
        </w:rPr>
        <w:t xml:space="preserve">, </w:t>
      </w:r>
      <w:r w:rsidRPr="007176D2">
        <w:rPr>
          <w:rStyle w:val="Emphasis"/>
          <w:highlight w:val="green"/>
        </w:rPr>
        <w:t>even if</w:t>
      </w:r>
      <w:r w:rsidRPr="00507433">
        <w:rPr>
          <w:rStyle w:val="Emphasis"/>
        </w:rPr>
        <w:t xml:space="preserve"> their actions are omnilaterally </w:t>
      </w:r>
      <w:r w:rsidRPr="007176D2">
        <w:rPr>
          <w:rStyle w:val="Emphasis"/>
          <w:highlight w:val="green"/>
        </w:rPr>
        <w:t>authorized by government</w:t>
      </w:r>
      <w:r w:rsidRPr="00507433">
        <w:rPr>
          <w:rStyle w:val="Emphasis"/>
        </w:rPr>
        <w:t xml:space="preserve"> through some </w:t>
      </w:r>
      <w:r w:rsidRPr="00507433">
        <w:rPr>
          <w:rStyle w:val="Emphasis"/>
        </w:rPr>
        <w:lastRenderedPageBreak/>
        <w:t>delegation mechanism</w:t>
      </w:r>
      <w:r w:rsidRPr="007176D2">
        <w:rPr>
          <w:sz w:val="10"/>
        </w:rPr>
        <w:t xml:space="preserve">, e.g. a voluntary contract. Omnilateralness,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omnilateral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omnilateral will, as far as the execution of rules and the concrete definition of entitlements are concerned. Together, these two requirements are necessary, (whether they are also sufficient is a different question), to make an action the omnilateral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507433">
        <w:rPr>
          <w:rStyle w:val="Emphasis"/>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7176D2">
        <w:rPr>
          <w:rStyle w:val="Emphasis"/>
          <w:highlight w:val="green"/>
        </w:rPr>
        <w:t>their decisions</w:t>
      </w:r>
      <w:r w:rsidRPr="00507433">
        <w:rPr>
          <w:rStyle w:val="Emphasis"/>
        </w:rPr>
        <w:t xml:space="preserve">, even if well intentioned and authorized through contract, </w:t>
      </w:r>
      <w:r w:rsidRPr="007176D2">
        <w:rPr>
          <w:rStyle w:val="Emphasis"/>
          <w:highlight w:val="green"/>
        </w:rPr>
        <w:t>cannot count as omnilateral</w:t>
      </w:r>
      <w:r w:rsidRPr="00507433">
        <w:rPr>
          <w:rStyle w:val="Emphasis"/>
        </w:rPr>
        <w:t xml:space="preserve"> acts of the state.</w:t>
      </w:r>
      <w:r w:rsidRPr="007176D2">
        <w:rPr>
          <w:sz w:val="10"/>
        </w:rPr>
        <w:t xml:space="preserve"> They rather and necessarily remain unilateral acts of men. Hence, I will conclude, for the very same reasons that </w:t>
      </w:r>
      <w:r w:rsidRPr="007176D2">
        <w:rPr>
          <w:rStyle w:val="Emphasis"/>
          <w:highlight w:val="green"/>
        </w:rPr>
        <w:t>we have</w:t>
      </w:r>
      <w:r w:rsidRPr="00507433">
        <w:rPr>
          <w:rStyle w:val="Emphasis"/>
        </w:rPr>
        <w:t xml:space="preserve">, following Kant, </w:t>
      </w:r>
      <w:r w:rsidRPr="007176D2">
        <w:rPr>
          <w:rStyle w:val="Emphasis"/>
          <w:highlight w:val="green"/>
        </w:rPr>
        <w:t>a duty to exit the state of nature</w:t>
      </w:r>
      <w:r w:rsidRPr="007176D2">
        <w:rPr>
          <w:sz w:val="10"/>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Rorty’s nonfoundational defense of bureaucracy as stated in the opening epigraph, since only agents who are appropriately embedded within a bureaucratic structure, properly understood, are, in many cases, capable of acting omnilaterally. The “bosses” I am here concerned with are not primarily those who 5 can unilaterally impose their will on us in their capacity as private employers, but rather any private actor who acts unilaterally while in the garb of the state.</w:t>
      </w:r>
    </w:p>
    <w:p w14:paraId="7F976A2C" w14:textId="77777777" w:rsidR="00665156" w:rsidRDefault="00665156" w:rsidP="00665156">
      <w:pPr>
        <w:pStyle w:val="Heading4"/>
      </w:pPr>
      <w:r>
        <w:t>3] Space Exploration is non universalizable - a).  Entails that everyone leaves Earth which means that no one would be around to create the means to leave earth b) Assumes all agents have access to the resources to fund a space trip, and is thus exclusionary.</w:t>
      </w:r>
    </w:p>
    <w:p w14:paraId="6ED1061A" w14:textId="77777777" w:rsidR="00665156" w:rsidRPr="00F36345" w:rsidRDefault="00665156" w:rsidP="00665156">
      <w:pPr>
        <w:pStyle w:val="Heading4"/>
      </w:pPr>
      <w:r>
        <w:t>4] Space is not subject to property rights – a). It has no physical manifestation as space is by definition the absence of matter which means it cannot be measured, bordered, or divided, thus it cannot be owned b). Owning unexplored planets/space is incoherent –it can’t be deemed an agents property unless agents have a rational conception of it</w:t>
      </w:r>
    </w:p>
    <w:p w14:paraId="63E417D7" w14:textId="77777777" w:rsidR="00665156" w:rsidRPr="008F5337" w:rsidRDefault="00665156" w:rsidP="00665156">
      <w:pPr>
        <w:pStyle w:val="Heading4"/>
      </w:pPr>
      <w:r>
        <w:t xml:space="preserve">5] </w:t>
      </w:r>
      <w:r w:rsidRPr="008F5337">
        <w:t>Privatization of outer space runs counter to international law</w:t>
      </w:r>
      <w:r>
        <w:t xml:space="preserve">. And, </w:t>
      </w:r>
      <w:r w:rsidRPr="008F5337">
        <w:t xml:space="preserve">Violating </w:t>
      </w:r>
      <w:r>
        <w:t>I-</w:t>
      </w:r>
      <w:r w:rsidRPr="008F5337">
        <w:t>law is non-universalizable</w:t>
      </w:r>
      <w:r>
        <w:t xml:space="preserve"> as it entails breaking a promise or contract that states rationally agreed upon</w:t>
      </w:r>
    </w:p>
    <w:p w14:paraId="407391CF" w14:textId="77777777" w:rsidR="00665156" w:rsidRPr="008F5337" w:rsidRDefault="00665156" w:rsidP="00665156">
      <w:r w:rsidRPr="008F5337">
        <w:rPr>
          <w:rStyle w:val="StyleUnderline"/>
        </w:rPr>
        <w:t>van Eijk 20</w:t>
      </w:r>
      <w:r w:rsidRPr="008F5337">
        <w:t xml:space="preserve"> [(Cristian, finishing an accelerated BA in Law at the University of Cambridge. He holds a BA cum laude in International Justice and an LLM in Public International Law from Leiden University, and has previously worked at the T.M.C. Asser Institute and the International Commission on Missing Persons.) “Sorry, Elon: Mars is not a legal vacuum – and it’s not yours, either,” 5/11/20, Völkerrechtsblog, </w:t>
      </w:r>
      <w:hyperlink r:id="rId16" w:history="1">
        <w:r w:rsidRPr="008F5337">
          <w:rPr>
            <w:rStyle w:val="Hyperlink"/>
          </w:rPr>
          <w:t>https://voelkerrechtsblog.org/sorry-elon-mars-is-not-a-legal-vacuum-and-its-not-yours-either</w:t>
        </w:r>
      </w:hyperlink>
      <w:r w:rsidRPr="008F5337">
        <w:t>]</w:t>
      </w:r>
    </w:p>
    <w:p w14:paraId="2CAD91F6" w14:textId="77777777" w:rsidR="00665156" w:rsidRPr="00F36345" w:rsidRDefault="00665156" w:rsidP="00665156">
      <w:pPr>
        <w:rPr>
          <w:u w:val="single"/>
        </w:rPr>
      </w:pPr>
      <w:r w:rsidRPr="00E0503E">
        <w:rPr>
          <w:sz w:val="14"/>
        </w:rPr>
        <w:t xml:space="preserve">On October 28th, Elon Musk’s company SpaceX published its Terms of Service for the beta test of its Starlink broadband megaconstellation. If successful, the project purports to offer internet connection to the entire globe – an admirable, albeit aspirational, mission. I must confess: Starlink’s terrestrial impact is a pet issue of mine. But this time, something else caught my attention. Buried in said Terms of Service, under a section called “Governing Law”, I discovered this curious paragraph: “Services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 </w:t>
      </w:r>
      <w:r w:rsidRPr="008F5337">
        <w:rPr>
          <w:rStyle w:val="StyleUnderline"/>
        </w:rPr>
        <w:t xml:space="preserve">CAN HE DO THAT? In short, the answer is a resounding “no”. </w:t>
      </w:r>
      <w:r w:rsidRPr="00E0503E">
        <w:rPr>
          <w:rStyle w:val="StyleUnderline"/>
          <w:highlight w:val="green"/>
        </w:rPr>
        <w:t>Outer space is already subject</w:t>
      </w:r>
      <w:r w:rsidRPr="008F5337">
        <w:rPr>
          <w:rStyle w:val="StyleUnderline"/>
        </w:rPr>
        <w:t xml:space="preserve"> </w:t>
      </w:r>
      <w:r w:rsidRPr="00E0503E">
        <w:rPr>
          <w:rStyle w:val="StyleUnderline"/>
          <w:highlight w:val="green"/>
        </w:rPr>
        <w:t>to</w:t>
      </w:r>
      <w:r w:rsidRPr="008F5337">
        <w:rPr>
          <w:rStyle w:val="StyleUnderline"/>
        </w:rPr>
        <w:t xml:space="preserve"> a system of </w:t>
      </w:r>
      <w:r w:rsidRPr="00E0503E">
        <w:rPr>
          <w:rStyle w:val="StyleUnderline"/>
          <w:highlight w:val="green"/>
        </w:rPr>
        <w:t>international law,</w:t>
      </w:r>
      <w:r w:rsidRPr="008F5337">
        <w:rPr>
          <w:rStyle w:val="StyleUnderline"/>
        </w:rPr>
        <w:t xml:space="preserve"> and even Elon Musk cannot colombus a new one.</w:t>
      </w:r>
      <w:r>
        <w:rPr>
          <w:rStyle w:val="StyleUnderline"/>
        </w:rPr>
        <w:t xml:space="preserve"> </w:t>
      </w:r>
      <w:r w:rsidRPr="00E0503E">
        <w:rPr>
          <w:sz w:val="14"/>
        </w:rPr>
        <w:t xml:space="preserve">Who’s responsible for Elon Musk? </w:t>
      </w:r>
      <w:r w:rsidRPr="008F5337">
        <w:rPr>
          <w:rStyle w:val="StyleUnderline"/>
        </w:rPr>
        <w:t>Two provisions of the Outer Space Treaty (OST), both also customary, are particularly relevant here.</w:t>
      </w:r>
      <w:r>
        <w:rPr>
          <w:rStyle w:val="StyleUnderline"/>
        </w:rPr>
        <w:t xml:space="preserve"> </w:t>
      </w:r>
      <w:r w:rsidRPr="008F5337">
        <w:rPr>
          <w:rStyle w:val="StyleUnderline"/>
        </w:rPr>
        <w:t>OST article II: “</w:t>
      </w:r>
      <w:r w:rsidRPr="00E0503E">
        <w:rPr>
          <w:rStyle w:val="StyleUnderline"/>
          <w:highlight w:val="green"/>
        </w:rPr>
        <w:t>Outer space</w:t>
      </w:r>
      <w:r w:rsidRPr="008F5337">
        <w:rPr>
          <w:rStyle w:val="StyleUnderline"/>
        </w:rPr>
        <w:t xml:space="preserve">, including the moon and other celestial bodies, </w:t>
      </w:r>
      <w:r w:rsidRPr="00E0503E">
        <w:rPr>
          <w:rStyle w:val="StyleUnderline"/>
          <w:highlight w:val="green"/>
        </w:rPr>
        <w:t>is not subject to</w:t>
      </w:r>
      <w:r w:rsidRPr="008F5337">
        <w:rPr>
          <w:rStyle w:val="StyleUnderline"/>
        </w:rPr>
        <w:t xml:space="preserve"> national </w:t>
      </w:r>
      <w:r w:rsidRPr="00E0503E">
        <w:rPr>
          <w:rStyle w:val="StyleUnderline"/>
          <w:highlight w:val="green"/>
        </w:rPr>
        <w:t>appropriation</w:t>
      </w:r>
      <w:r w:rsidRPr="008F5337">
        <w:rPr>
          <w:rStyle w:val="StyleUnderline"/>
        </w:rPr>
        <w:t xml:space="preserve"> by claim of sovereignty, by means of use or occupation, or by any other means.”</w:t>
      </w:r>
      <w:r>
        <w:rPr>
          <w:rStyle w:val="StyleUnderline"/>
        </w:rPr>
        <w:t xml:space="preserve"> </w:t>
      </w:r>
      <w:r w:rsidRPr="008F5337">
        <w:rPr>
          <w:rStyle w:val="StyleUnderline"/>
        </w:rPr>
        <w:t xml:space="preserve">OST article III: “States… shall carry on activities in the </w:t>
      </w:r>
      <w:r w:rsidRPr="008F5337">
        <w:rPr>
          <w:rStyle w:val="StyleUnderline"/>
        </w:rPr>
        <w:lastRenderedPageBreak/>
        <w:t>exploration and use of outer space, including (…) celestial bodies, in accordance with international law”.</w:t>
      </w:r>
      <w:r>
        <w:rPr>
          <w:rStyle w:val="StyleUnderline"/>
        </w:rPr>
        <w:t xml:space="preserve"> </w:t>
      </w:r>
      <w:r w:rsidRPr="008F5337">
        <w:rPr>
          <w:rStyle w:val="StyleUnderline"/>
        </w:rPr>
        <w:t xml:space="preserve">SpaceX is a </w:t>
      </w:r>
      <w:r w:rsidRPr="00E0503E">
        <w:rPr>
          <w:rStyle w:val="StyleUnderline"/>
          <w:highlight w:val="green"/>
        </w:rPr>
        <w:t>private entity</w:t>
      </w:r>
      <w:r w:rsidRPr="008F5337">
        <w:rPr>
          <w:rStyle w:val="StyleUnderline"/>
        </w:rPr>
        <w:t xml:space="preserve">, and is not bound by the Outer Space Treaty – but that </w:t>
      </w:r>
      <w:r w:rsidRPr="00E0503E">
        <w:rPr>
          <w:rStyle w:val="StyleUnderline"/>
          <w:highlight w:val="green"/>
        </w:rPr>
        <w:t>does not</w:t>
      </w:r>
      <w:r w:rsidRPr="008F5337">
        <w:rPr>
          <w:rStyle w:val="StyleUnderline"/>
        </w:rPr>
        <w:t xml:space="preserve"> mean it can </w:t>
      </w:r>
      <w:r w:rsidRPr="00E0503E">
        <w:rPr>
          <w:rStyle w:val="StyleUnderline"/>
          <w:highlight w:val="green"/>
        </w:rPr>
        <w:t>opt out.</w:t>
      </w:r>
      <w:r w:rsidRPr="008F5337">
        <w:rPr>
          <w:rStyle w:val="StyleUnderline"/>
        </w:rPr>
        <w:t xml:space="preserve"> Its actions in space could have consequences for the United States</w:t>
      </w:r>
      <w:r w:rsidRPr="00E0503E">
        <w:rPr>
          <w:sz w:val="14"/>
        </w:rPr>
        <w:t xml:space="preserve"> in three ways. </w:t>
      </w:r>
      <w:r w:rsidRPr="008F5337">
        <w:rPr>
          <w:rStyle w:val="StyleUnderline"/>
        </w:rPr>
        <w:t xml:space="preserve">First, </w:t>
      </w:r>
      <w:r w:rsidRPr="00E0503E">
        <w:rPr>
          <w:rStyle w:val="StyleUnderline"/>
        </w:rPr>
        <w:t>the US</w:t>
      </w:r>
      <w:r w:rsidRPr="008F5337">
        <w:rPr>
          <w:rStyle w:val="StyleUnderline"/>
        </w:rPr>
        <w:t>, as SpaceX’s launch state, bears fault-based liability for injury or damage</w:t>
      </w:r>
      <w:r w:rsidRPr="00E0503E">
        <w:rPr>
          <w:sz w:val="14"/>
        </w:rPr>
        <w:t xml:space="preserve"> SpaceX’s space objects cause to other states’ persons or property (OST article VII, Liability Convention articles I, III). </w:t>
      </w:r>
      <w:r w:rsidRPr="008F5337">
        <w:rPr>
          <w:rStyle w:val="StyleUnderline"/>
        </w:rPr>
        <w:t>Second, the US, as SpaceX’s state of registry, is the sole state that retains jurisdiction and control</w:t>
      </w:r>
      <w:r w:rsidRPr="00E0503E">
        <w:rPr>
          <w:sz w:val="14"/>
        </w:rPr>
        <w:t xml:space="preserve"> over SpaceX objects (OST article VIII, Registration Convention article II). Both refer to objects in space and are irrelevant. </w:t>
      </w:r>
      <w:r w:rsidRPr="008F5337">
        <w:rPr>
          <w:rStyle w:val="StyleUnderline"/>
        </w:rPr>
        <w:t xml:space="preserve">According to article VI OST, </w:t>
      </w:r>
      <w:r w:rsidRPr="00E0503E">
        <w:rPr>
          <w:rStyle w:val="StyleUnderline"/>
          <w:highlight w:val="green"/>
        </w:rPr>
        <w:t>States “bear</w:t>
      </w:r>
      <w:r w:rsidRPr="008F5337">
        <w:rPr>
          <w:rStyle w:val="StyleUnderline"/>
        </w:rPr>
        <w:t xml:space="preserve"> international </w:t>
      </w:r>
      <w:r w:rsidRPr="00E0503E">
        <w:rPr>
          <w:rStyle w:val="StyleUnderline"/>
          <w:highlight w:val="green"/>
        </w:rPr>
        <w:t>responsibility</w:t>
      </w:r>
      <w:r w:rsidRPr="008F5337">
        <w:rPr>
          <w:rStyle w:val="StyleUnderline"/>
        </w:rPr>
        <w:t xml:space="preserve"> for national activities in outer space”, including Mars, including those </w:t>
      </w:r>
      <w:r w:rsidRPr="00E0503E">
        <w:rPr>
          <w:rStyle w:val="StyleUnderline"/>
          <w:highlight w:val="green"/>
        </w:rPr>
        <w:t>by “non-governmental entities</w:t>
      </w:r>
      <w:r w:rsidRPr="008F5337">
        <w:rPr>
          <w:rStyle w:val="StyleUnderline"/>
        </w:rPr>
        <w:t xml:space="preserve">”. The US, as SpaceX’s state of incorporation, must authorise and continuously supervise SpaceX’s actions in space to ensure compliance with the OST </w:t>
      </w:r>
      <w:r w:rsidRPr="00E0503E">
        <w:rPr>
          <w:sz w:val="14"/>
        </w:rPr>
        <w:t xml:space="preserve">(OST article VI) and international law (OST article III). In practice, this task is done by the US Federal Communications Commission, which licenses and regulates SpaceX. Article VI OST sets a specific rule of attribution, supplementing the customary rules of state responsibility (Stubbe 2017, pp. 85-104). SpaceX acts with US authorisation, and its conduct in space within and beyond that authorisation is attributable to the US (ARSIWA articles 5, 7). In the absence of circumstances precluding wrongfulness, the result is straightforward. </w:t>
      </w:r>
      <w:r w:rsidRPr="008F5337">
        <w:rPr>
          <w:rStyle w:val="StyleUnderline"/>
        </w:rPr>
        <w:t>If SpaceX breaches a US obligation under international law, the US bears responsibility for an internationally wrongful act.</w:t>
      </w:r>
      <w:r>
        <w:t>.</w:t>
      </w:r>
    </w:p>
    <w:p w14:paraId="19C54317" w14:textId="77777777" w:rsidR="00665156" w:rsidRPr="008F5337" w:rsidRDefault="00665156" w:rsidP="00665156">
      <w:pPr>
        <w:pStyle w:val="Heading4"/>
      </w:pPr>
      <w:r>
        <w:t xml:space="preserve">6] </w:t>
      </w:r>
      <w:r w:rsidRPr="008F5337">
        <w:t>Libertarianism turns don’t apply</w:t>
      </w:r>
      <w:r>
        <w:t xml:space="preserve"> – </w:t>
      </w:r>
      <w:r w:rsidRPr="008F5337">
        <w:t>Privatization of space inherently relies on an anti-libertarian state-based model</w:t>
      </w:r>
    </w:p>
    <w:p w14:paraId="3FAB9017" w14:textId="77777777" w:rsidR="00665156" w:rsidRPr="008F5337" w:rsidRDefault="00665156" w:rsidP="00665156">
      <w:r w:rsidRPr="008F5337">
        <w:rPr>
          <w:rStyle w:val="StyleUnderline"/>
          <w:bCs/>
        </w:rPr>
        <w:t>Shammas and Holen 19</w:t>
      </w:r>
      <w:r w:rsidRPr="008F5337">
        <w:t xml:space="preserve"> [(Victor L. Oslo Metropolitan University, Tomas B. Independent scholar) “One giant leap for capitalistkind: private enterprise in outer space,” Palgrave Communications, 1-29-19, https://www.nature.com/articles/s41599-019-0218-9] TDI</w:t>
      </w:r>
    </w:p>
    <w:p w14:paraId="33C387D1" w14:textId="77777777" w:rsidR="00665156" w:rsidRPr="00AC51AA" w:rsidRDefault="00665156" w:rsidP="00665156">
      <w:pPr>
        <w:rPr>
          <w:sz w:val="10"/>
        </w:rPr>
      </w:pPr>
      <w:r w:rsidRPr="008F5337">
        <w:rPr>
          <w:rStyle w:val="StyleUnderline"/>
        </w:rPr>
        <w:t xml:space="preserve">But the entrepreneurial </w:t>
      </w:r>
      <w:r w:rsidRPr="002A4607">
        <w:rPr>
          <w:rStyle w:val="StyleUnderline"/>
          <w:highlight w:val="green"/>
        </w:rPr>
        <w:t>libertarianism</w:t>
      </w:r>
      <w:r w:rsidRPr="008F5337">
        <w:rPr>
          <w:rStyle w:val="StyleUnderline"/>
        </w:rPr>
        <w:t xml:space="preserve"> of capitalistkind is </w:t>
      </w:r>
      <w:r w:rsidRPr="002A4607">
        <w:rPr>
          <w:rStyle w:val="StyleUnderline"/>
          <w:highlight w:val="green"/>
        </w:rPr>
        <w:t xml:space="preserve">undermined by the reliance of </w:t>
      </w:r>
      <w:r w:rsidRPr="002A4607">
        <w:rPr>
          <w:rStyle w:val="StyleUnderline"/>
        </w:rPr>
        <w:t xml:space="preserve">the entire </w:t>
      </w:r>
      <w:r w:rsidRPr="002A4607">
        <w:rPr>
          <w:rStyle w:val="StyleUnderline"/>
          <w:highlight w:val="green"/>
        </w:rPr>
        <w:t xml:space="preserve">NewSpace </w:t>
      </w:r>
      <w:r w:rsidRPr="002A4607">
        <w:rPr>
          <w:rStyle w:val="StyleUnderline"/>
        </w:rPr>
        <w:t>complex</w:t>
      </w:r>
      <w:r w:rsidRPr="002A4607">
        <w:rPr>
          <w:rStyle w:val="StyleUnderline"/>
          <w:highlight w:val="green"/>
        </w:rPr>
        <w:t xml:space="preserve"> on</w:t>
      </w:r>
      <w:r w:rsidRPr="008F5337">
        <w:rPr>
          <w:rStyle w:val="StyleUnderline"/>
        </w:rPr>
        <w:t xml:space="preserve"> extensive support from </w:t>
      </w:r>
      <w:r w:rsidRPr="002A4607">
        <w:rPr>
          <w:rStyle w:val="StyleUnderline"/>
          <w:highlight w:val="green"/>
        </w:rPr>
        <w:t>the state</w:t>
      </w:r>
      <w:r w:rsidRPr="008F5337">
        <w:rPr>
          <w:rStyle w:val="StyleUnderline"/>
        </w:rPr>
        <w:t xml:space="preserve">, ‘a public-private financing model underpinning long-shot start-ups' that in the case of Musk’s three main companies (SpaceX, SolarCity Corp., and Tesla) has been </w:t>
      </w:r>
      <w:r w:rsidRPr="002A4607">
        <w:rPr>
          <w:rStyle w:val="StyleUnderline"/>
          <w:highlight w:val="green"/>
        </w:rPr>
        <w:t>underpinned by</w:t>
      </w:r>
      <w:r w:rsidRPr="008F5337">
        <w:rPr>
          <w:rStyle w:val="StyleUnderline"/>
        </w:rPr>
        <w:t xml:space="preserve"> $4.9 billion dollars in </w:t>
      </w:r>
      <w:r w:rsidRPr="002A4607">
        <w:rPr>
          <w:rStyle w:val="StyleUnderline"/>
          <w:highlight w:val="green"/>
        </w:rPr>
        <w:t>government subsidies</w:t>
      </w:r>
      <w:r w:rsidRPr="002A4607">
        <w:rPr>
          <w:sz w:val="10"/>
        </w:rPr>
        <w:t xml:space="preserve"> (Hirsch, 2015). In the nascent field of space tourism, Cohen (2017) argues that </w:t>
      </w:r>
      <w:r w:rsidRPr="008F5337">
        <w:rPr>
          <w:rStyle w:val="StyleUnderline"/>
        </w:rPr>
        <w:t xml:space="preserve">what began as an almost entirely private venture quickly ground to a halt </w:t>
      </w:r>
      <w:r w:rsidRPr="002A4607">
        <w:rPr>
          <w:rStyle w:val="StyleUnderline"/>
          <w:highlight w:val="green"/>
        </w:rPr>
        <w:t>in the face of insurmountable</w:t>
      </w:r>
      <w:r w:rsidRPr="008F5337">
        <w:rPr>
          <w:rStyle w:val="StyleUnderline"/>
        </w:rPr>
        <w:t xml:space="preserve"> technical and financial </w:t>
      </w:r>
      <w:r w:rsidRPr="002A4607">
        <w:rPr>
          <w:rStyle w:val="StyleUnderline"/>
          <w:highlight w:val="green"/>
        </w:rPr>
        <w:t>obstacles</w:t>
      </w:r>
      <w:r w:rsidRPr="008F5337">
        <w:rPr>
          <w:rStyle w:val="StyleUnderline"/>
        </w:rPr>
        <w:t>, only solved by piggybacking on large state-run projects</w:t>
      </w:r>
      <w:r w:rsidRPr="002A4607">
        <w:rPr>
          <w:sz w:val="10"/>
        </w:rPr>
        <w:t xml:space="preserve">, such as selling trips to the International Space Station, against the objections of NASA scientists. </w:t>
      </w:r>
      <w:r w:rsidRPr="008F5337">
        <w:rPr>
          <w:rStyle w:val="StyleUnderline"/>
        </w:rPr>
        <w:t>The business model of NewSpace depends on the taxpayer’s dollar while making pretensions to individual self-reliance.</w:t>
      </w:r>
      <w:r w:rsidRPr="002A4607">
        <w:rPr>
          <w:sz w:val="10"/>
        </w:rPr>
        <w:t xml:space="preserve"> The vast majority of present-day clients of private aerospace corporations are government clients, usually military in origin. Furthermore, the bulk of rocket launches in the United States take place on government property, usually operated by the US Air Force or NASA.Footnote13 </w:t>
      </w:r>
      <w:r w:rsidRPr="008F5337">
        <w:rPr>
          <w:rStyle w:val="StyleUnderlin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2A4607">
        <w:rPr>
          <w:sz w:val="10"/>
        </w:rPr>
        <w:t xml:space="preserve"> (Wacquant, 2012). As Lazzarato writes, ‘To be able to be “laissez-faire”, it is necessary to intervene a great deal' (2017, p. 7). </w:t>
      </w:r>
      <w:r w:rsidRPr="002A4607">
        <w:rPr>
          <w:rStyle w:val="StyleUnderline"/>
          <w:highlight w:val="green"/>
        </w:rPr>
        <w:t>Space libertarianism is libertarian in name only</w:t>
      </w:r>
      <w:r w:rsidRPr="008F5337">
        <w:rPr>
          <w:rStyle w:val="StyleUnderline"/>
        </w:rPr>
        <w:t xml:space="preserve">: </w:t>
      </w:r>
      <w:r w:rsidRPr="002A4607">
        <w:rPr>
          <w:rStyle w:val="StyleUnderline"/>
          <w:highlight w:val="green"/>
        </w:rPr>
        <w:t>behind every</w:t>
      </w:r>
      <w:r w:rsidRPr="008F5337">
        <w:rPr>
          <w:rStyle w:val="StyleUnderline"/>
        </w:rPr>
        <w:t xml:space="preserve"> New</w:t>
      </w:r>
      <w:r w:rsidRPr="002A4607">
        <w:rPr>
          <w:rStyle w:val="StyleUnderline"/>
          <w:highlight w:val="green"/>
        </w:rPr>
        <w:t>Space</w:t>
      </w:r>
      <w:r w:rsidRPr="008F5337">
        <w:rPr>
          <w:rStyle w:val="StyleUnderline"/>
        </w:rPr>
        <w:t xml:space="preserve"> </w:t>
      </w:r>
      <w:r w:rsidRPr="002A4607">
        <w:rPr>
          <w:rStyle w:val="StyleUnderline"/>
          <w:highlight w:val="green"/>
        </w:rPr>
        <w:t>venture looms</w:t>
      </w:r>
      <w:r w:rsidRPr="008F5337">
        <w:rPr>
          <w:rStyle w:val="StyleUnderline"/>
        </w:rPr>
        <w:t xml:space="preserve"> a thick web of </w:t>
      </w:r>
      <w:r w:rsidRPr="002A4607">
        <w:rPr>
          <w:rStyle w:val="StyleUnderline"/>
          <w:highlight w:val="green"/>
        </w:rPr>
        <w:t>government</w:t>
      </w:r>
      <w:r w:rsidRPr="008F5337">
        <w:rPr>
          <w:rStyle w:val="StyleUnderline"/>
        </w:rPr>
        <w:t xml:space="preserve"> spending </w:t>
      </w:r>
      <w:r w:rsidRPr="002A4607">
        <w:rPr>
          <w:rStyle w:val="StyleUnderline"/>
          <w:highlight w:val="green"/>
        </w:rPr>
        <w:t>programs</w:t>
      </w:r>
      <w:r w:rsidRPr="008F5337">
        <w:rPr>
          <w:rStyle w:val="StyleUnderline"/>
        </w:rPr>
        <w:t>, regulatory agencies, public infrastructure, and universities bolstered by research grants from the state.</w:t>
      </w:r>
      <w:r w:rsidRPr="002A4607">
        <w:rPr>
          <w:sz w:val="10"/>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29C022CC" w14:textId="0947456F" w:rsidR="00665156" w:rsidRDefault="00265B3C" w:rsidP="00265B3C">
      <w:pPr>
        <w:pStyle w:val="Heading3"/>
      </w:pPr>
      <w:r>
        <w:lastRenderedPageBreak/>
        <w:t>UV</w:t>
      </w:r>
    </w:p>
    <w:p w14:paraId="344E7601" w14:textId="77777777" w:rsidR="00265B3C" w:rsidRPr="00AA0D5B" w:rsidRDefault="00265B3C" w:rsidP="00265B3C">
      <w:pPr>
        <w:pStyle w:val="Heading4"/>
        <w:rPr>
          <w:lang w:bidi="en-US"/>
        </w:rPr>
      </w:pPr>
      <w:r w:rsidRPr="00A8282F">
        <w:t>Psychoanalysis is non-</w:t>
      </w:r>
      <w:r>
        <w:t xml:space="preserve">verifiable – the studies that warrant their theory are </w:t>
      </w:r>
      <w:r w:rsidRPr="00A8282F">
        <w:t>vacuous</w:t>
      </w:r>
    </w:p>
    <w:p w14:paraId="4111CFF7" w14:textId="77777777" w:rsidR="00265B3C" w:rsidRPr="00AA0D5B" w:rsidRDefault="00265B3C" w:rsidP="00265B3C">
      <w:pPr>
        <w:rPr>
          <w:sz w:val="14"/>
          <w:szCs w:val="16"/>
        </w:rPr>
      </w:pPr>
      <w:r w:rsidRPr="00E42EEE">
        <w:rPr>
          <w:rStyle w:val="Style13ptBold"/>
        </w:rPr>
        <w:t>Mahrer 99</w:t>
      </w:r>
      <w:r>
        <w:t xml:space="preserve"> </w:t>
      </w:r>
      <w:r w:rsidRPr="00A8282F">
        <w:rPr>
          <w:sz w:val="16"/>
          <w:szCs w:val="16"/>
        </w:rPr>
        <w:t>(</w:t>
      </w:r>
      <w:r w:rsidRPr="00901BE3">
        <w:rPr>
          <w:sz w:val="14"/>
        </w:rPr>
        <w:t xml:space="preserve">Alvin R., professor emeritus at the University of Ottawa School of Psychology, “Embarrassing Problems for the Field of Psychotherapy” </w:t>
      </w:r>
      <w:r w:rsidRPr="00901BE3">
        <w:rPr>
          <w:rFonts w:cs="Univers-Light"/>
          <w:sz w:val="14"/>
          <w:szCs w:val="18"/>
        </w:rPr>
        <w:t>John Wiley</w:t>
      </w:r>
      <w:r w:rsidRPr="00901BE3">
        <w:rPr>
          <w:sz w:val="14"/>
          <w:szCs w:val="16"/>
        </w:rPr>
        <w:t>&amp; Sons, Inc. J Clin Psychol 55: 1147–1156, 1999. p. 1151, via Wiley Inter Science</w:t>
      </w:r>
      <w:r>
        <w:rPr>
          <w:sz w:val="14"/>
          <w:szCs w:val="16"/>
        </w:rPr>
        <w:t>)</w:t>
      </w:r>
    </w:p>
    <w:p w14:paraId="63641B22" w14:textId="77777777" w:rsidR="00265B3C" w:rsidRDefault="00265B3C" w:rsidP="00265B3C">
      <w:r w:rsidRPr="001C6D84">
        <w:rPr>
          <w:rStyle w:val="StyleUnderline"/>
          <w:highlight w:val="yellow"/>
        </w:rPr>
        <w:t>Most scientists believe that if something is real, it can be measured. Psychotherapists are</w:t>
      </w:r>
      <w:r w:rsidRPr="00925281">
        <w:rPr>
          <w:sz w:val="16"/>
        </w:rPr>
        <w:t xml:space="preserve"> quixotically </w:t>
      </w:r>
      <w:r w:rsidRPr="001C6D84">
        <w:rPr>
          <w:rStyle w:val="StyleUnderline"/>
          <w:highlight w:val="yellow"/>
        </w:rPr>
        <w:t>unique in their certainty that if they can devise a measure of it, then it must of course be real. We have the idea backwards</w:t>
      </w:r>
      <w:r w:rsidRPr="00925281">
        <w:rPr>
          <w:sz w:val="16"/>
        </w:rPr>
        <w:t xml:space="preserve">, but we are energetic at our pseudoscience. </w:t>
      </w:r>
      <w:r w:rsidRPr="001C6D84">
        <w:rPr>
          <w:rStyle w:val="StyleUnderline"/>
          <w:highlight w:val="yellow"/>
        </w:rPr>
        <w:t>We are convinced that there really are things like</w:t>
      </w:r>
      <w:r w:rsidRPr="00925281">
        <w:rPr>
          <w:sz w:val="16"/>
        </w:rPr>
        <w:t xml:space="preserve"> schizophrenia, altruism, introversion, </w:t>
      </w:r>
      <w:r w:rsidRPr="001C6D84">
        <w:rPr>
          <w:rStyle w:val="StyleUnderline"/>
          <w:highlight w:val="yellow"/>
        </w:rPr>
        <w:t>conceptual schemata, egos, and</w:t>
      </w:r>
      <w:r w:rsidRPr="00925281">
        <w:rPr>
          <w:sz w:val="16"/>
        </w:rPr>
        <w:t xml:space="preserve"> hundreds of </w:t>
      </w:r>
      <w:r w:rsidRPr="001C6D84">
        <w:rPr>
          <w:rStyle w:val="StyleUnderline"/>
          <w:highlight w:val="yellow"/>
        </w:rPr>
        <w:t>other things</w:t>
      </w:r>
      <w:r w:rsidRPr="00925281">
        <w:rPr>
          <w:sz w:val="16"/>
        </w:rPr>
        <w:t xml:space="preserve"> mainly </w:t>
      </w:r>
      <w:r w:rsidRPr="001C6D84">
        <w:rPr>
          <w:rStyle w:val="StyleUnderline"/>
          <w:highlight w:val="yellow"/>
        </w:rPr>
        <w:t>because we have</w:t>
      </w:r>
      <w:r w:rsidRPr="00925281">
        <w:rPr>
          <w:sz w:val="16"/>
        </w:rPr>
        <w:t xml:space="preserve"> thousands of </w:t>
      </w:r>
      <w:r w:rsidRPr="001C6D84">
        <w:rPr>
          <w:rStyle w:val="StyleUnderline"/>
          <w:highlight w:val="yellow"/>
        </w:rPr>
        <w:t>measures</w:t>
      </w:r>
      <w:r w:rsidRPr="00925281">
        <w:rPr>
          <w:sz w:val="16"/>
        </w:rPr>
        <w:t xml:space="preserve">, scales, </w:t>
      </w:r>
      <w:r w:rsidRPr="001C6D84">
        <w:rPr>
          <w:rStyle w:val="StyleUnderline"/>
          <w:highlight w:val="yellow"/>
        </w:rPr>
        <w:t>and tests</w:t>
      </w:r>
      <w:r w:rsidRPr="00925281">
        <w:rPr>
          <w:sz w:val="16"/>
        </w:rPr>
        <w:t xml:space="preserve">, all of which are subjected to the highest rigorous standards of science. Set our scientific measure-makers on the task, and they can prove the existence of schizophrenia, devil possession, elves and goblins, witches and warlocks. No problem. We have scientific measures. While the emperor’s tailors are measuring the sleeve-length of the garment with impeccable precision, psychotherapists are using rigorous measures to measure the emperor’s ego defect. Both the tailors and our intrepid psychotherapists know that anything measured with scientific precision must therefore be real. But the psychotherapists are on much safer ground. A little boy in the crowd can see that the emperor has no clothes. Just let that little boy try to convince the crowd that the emperor has no ego! </w:t>
      </w:r>
      <w:r w:rsidRPr="001C6D84">
        <w:rPr>
          <w:rStyle w:val="StyleUnderline"/>
          <w:highlight w:val="yellow"/>
        </w:rPr>
        <w:t>Psychotherapists are still fooling the crowds by wrapping themselves in a pseudoscience of nonexisting unrealities, measured with rigorous precision</w:t>
      </w:r>
      <w:r w:rsidRPr="00925281">
        <w:rPr>
          <w:sz w:val="16"/>
        </w:rPr>
        <w:t xml:space="preserve">. Our field is a public relations success story. </w:t>
      </w:r>
    </w:p>
    <w:p w14:paraId="1271D07B" w14:textId="77777777" w:rsidR="00265B3C" w:rsidRPr="00AA0D5B" w:rsidRDefault="00265B3C" w:rsidP="00265B3C">
      <w:pPr>
        <w:pStyle w:val="Heading4"/>
      </w:pPr>
      <w:r w:rsidRPr="008E77C8">
        <w:rPr>
          <w:u w:val="single"/>
        </w:rPr>
        <w:t>Turn</w:t>
      </w:r>
      <w:r>
        <w:t xml:space="preserve">—Diagnosing the aff </w:t>
      </w:r>
      <w:r>
        <w:rPr>
          <w:u w:val="single"/>
        </w:rPr>
        <w:t>naturalizes</w:t>
      </w:r>
      <w:r>
        <w:t xml:space="preserve"> the psychic drives that makes their impacts </w:t>
      </w:r>
      <w:r>
        <w:rPr>
          <w:u w:val="single"/>
        </w:rPr>
        <w:t>inevitable</w:t>
      </w:r>
    </w:p>
    <w:p w14:paraId="3357AC17" w14:textId="77777777" w:rsidR="00265B3C" w:rsidRPr="00AA0D5B" w:rsidRDefault="00265B3C" w:rsidP="00265B3C">
      <w:r>
        <w:rPr>
          <w:rStyle w:val="Style13ptBold"/>
        </w:rPr>
        <w:t xml:space="preserve">Dean </w:t>
      </w:r>
      <w:r w:rsidRPr="009B12BC">
        <w:rPr>
          <w:rStyle w:val="Style13ptBold"/>
        </w:rPr>
        <w:t>2</w:t>
      </w:r>
      <w:r>
        <w:t xml:space="preserve"> </w:t>
      </w:r>
      <w:r w:rsidRPr="00E35B2F">
        <w:rPr>
          <w:sz w:val="16"/>
          <w:szCs w:val="16"/>
        </w:rPr>
        <w:t>(Tim – dept of English and the Center for the Study of Psychoanalysis and Culture at SUNY-Buffalo, "Art as Symptom: Žižek and the Ethics of Psychoanalytic Criticism," Diacritics, v. 32, pp. 22-23)</w:t>
      </w:r>
    </w:p>
    <w:p w14:paraId="0E3F7A96" w14:textId="398732EC" w:rsidR="00265B3C" w:rsidRPr="00265B3C" w:rsidRDefault="00265B3C" w:rsidP="00265B3C">
      <w:pPr>
        <w:rPr>
          <w:b/>
          <w:u w:val="single"/>
        </w:rPr>
      </w:pPr>
      <w:r w:rsidRPr="001C6D84">
        <w:rPr>
          <w:rStyle w:val="underline"/>
          <w:highlight w:val="yellow"/>
        </w:rPr>
        <w:t>If</w:t>
      </w:r>
      <w:r w:rsidRPr="00E35B2F">
        <w:rPr>
          <w:b/>
          <w:sz w:val="16"/>
          <w:szCs w:val="16"/>
          <w:u w:val="single"/>
        </w:rPr>
        <w:t>,</w:t>
      </w:r>
      <w:r w:rsidRPr="00E35B2F">
        <w:rPr>
          <w:sz w:val="16"/>
          <w:szCs w:val="16"/>
        </w:rPr>
        <w:t xml:space="preserve"> according to Lacan at the end of his career,</w:t>
      </w:r>
      <w:r w:rsidRPr="00E35B2F">
        <w:rPr>
          <w:sz w:val="24"/>
        </w:rPr>
        <w:t xml:space="preserve"> </w:t>
      </w:r>
      <w:r w:rsidRPr="001C6D84">
        <w:rPr>
          <w:rStyle w:val="underline"/>
          <w:highlight w:val="yellow"/>
        </w:rPr>
        <w:t>the symptom has become a condition of</w:t>
      </w:r>
      <w:r w:rsidRPr="008E77C8">
        <w:rPr>
          <w:sz w:val="16"/>
          <w:szCs w:val="16"/>
        </w:rPr>
        <w:t xml:space="preserve"> subjective </w:t>
      </w:r>
      <w:r w:rsidRPr="001C6D84">
        <w:rPr>
          <w:rStyle w:val="underline"/>
          <w:highlight w:val="yellow"/>
        </w:rPr>
        <w:t>existence rather than a contingent problem, then there can be no possibility of curing symptoms</w:t>
      </w:r>
      <w:r w:rsidRPr="00E35B2F">
        <w:rPr>
          <w:sz w:val="16"/>
          <w:szCs w:val="16"/>
        </w:rPr>
        <w:t xml:space="preserve"> in the manner that Freud envisioned when he invented psychoanalysis. Yet</w:t>
      </w:r>
      <w:r w:rsidRPr="008E77C8">
        <w:rPr>
          <w:sz w:val="16"/>
          <w:szCs w:val="16"/>
        </w:rPr>
        <w:t xml:space="preserve"> while this</w:t>
      </w:r>
      <w:r w:rsidRPr="001C6D84">
        <w:rPr>
          <w:rStyle w:val="underline"/>
          <w:highlight w:val="yellow"/>
        </w:rPr>
        <w:t xml:space="preserve"> universalizing</w:t>
      </w:r>
      <w:r w:rsidRPr="008E77C8">
        <w:rPr>
          <w:sz w:val="16"/>
          <w:szCs w:val="16"/>
        </w:rPr>
        <w:t xml:space="preserve"> of </w:t>
      </w:r>
      <w:r w:rsidRPr="001C6D84">
        <w:rPr>
          <w:rStyle w:val="underline"/>
          <w:highlight w:val="yellow"/>
        </w:rPr>
        <w:t>symptomatology</w:t>
      </w:r>
      <w:r w:rsidRPr="008E77C8">
        <w:rPr>
          <w:sz w:val="16"/>
          <w:szCs w:val="16"/>
        </w:rPr>
        <w:t xml:space="preserve"> sidelines the question of cure, it </w:t>
      </w:r>
      <w:r w:rsidRPr="001C6D84">
        <w:rPr>
          <w:rStyle w:val="underline"/>
          <w:highlight w:val="yellow"/>
        </w:rPr>
        <w:t>does nothing to diminish the psychoanalytic zeal for diagnosi</w:t>
      </w:r>
      <w:r w:rsidRPr="001C6D84">
        <w:rPr>
          <w:rStyle w:val="StyleUnderline"/>
          <w:highlight w:val="yellow"/>
        </w:rPr>
        <w:t>s and</w:t>
      </w:r>
      <w:r w:rsidRPr="008E77C8">
        <w:rPr>
          <w:sz w:val="16"/>
          <w:szCs w:val="16"/>
        </w:rPr>
        <w:t xml:space="preserve"> interpretation.</w:t>
      </w:r>
      <w:r w:rsidRPr="00E35B2F">
        <w:rPr>
          <w:sz w:val="16"/>
          <w:szCs w:val="16"/>
        </w:rPr>
        <w:t xml:space="preserve"> Instead, the opposite is true: </w:t>
      </w:r>
      <w:r w:rsidRPr="00AF2846">
        <w:rPr>
          <w:sz w:val="16"/>
          <w:szCs w:val="16"/>
        </w:rPr>
        <w:t xml:space="preserve">universalizing the symptom </w:t>
      </w:r>
      <w:r w:rsidRPr="001C6D84">
        <w:rPr>
          <w:rStyle w:val="underline"/>
          <w:highlight w:val="yellow"/>
        </w:rPr>
        <w:t>fuels the motive</w:t>
      </w:r>
      <w:r w:rsidRPr="00AF2846">
        <w:rPr>
          <w:sz w:val="16"/>
          <w:szCs w:val="16"/>
        </w:rPr>
        <w:t xml:space="preserve"> for diagnosis and interpretation,</w:t>
      </w:r>
      <w:r w:rsidRPr="001C6D84">
        <w:rPr>
          <w:rStyle w:val="underline"/>
          <w:highlight w:val="yellow"/>
        </w:rPr>
        <w:t xml:space="preserve"> since symptoms are</w:t>
      </w:r>
      <w:r w:rsidRPr="00AF2846">
        <w:rPr>
          <w:sz w:val="16"/>
          <w:szCs w:val="16"/>
        </w:rPr>
        <w:t xml:space="preserve"> no longer localized and self-evident but </w:t>
      </w:r>
      <w:r w:rsidRPr="001C6D84">
        <w:rPr>
          <w:rStyle w:val="underline"/>
          <w:highlight w:val="yellow"/>
        </w:rPr>
        <w:t>lurking everywhere.</w:t>
      </w:r>
      <w:r w:rsidRPr="00E35B2F">
        <w:rPr>
          <w:rStyle w:val="underline"/>
        </w:rPr>
        <w:t xml:space="preserve"> </w:t>
      </w:r>
    </w:p>
    <w:sectPr w:rsidR="00265B3C" w:rsidRPr="00265B3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Univers-Light">
    <w:panose1 w:val="020B0604020202020204"/>
    <w:charset w:val="00"/>
    <w:family w:val="swiss"/>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C2A2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5B3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5156"/>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2A27"/>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BF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062D6B"/>
  <w14:defaultImageDpi w14:val="300"/>
  <w15:docId w15:val="{FFA571E7-FF4F-974B-A50C-D72F26C4D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C2A2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C2A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C2A2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C2A2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tag,t,T"/>
    <w:basedOn w:val="Normal"/>
    <w:next w:val="Normal"/>
    <w:link w:val="Heading4Char"/>
    <w:uiPriority w:val="9"/>
    <w:unhideWhenUsed/>
    <w:qFormat/>
    <w:rsid w:val="009C2A2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C2A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2A27"/>
  </w:style>
  <w:style w:type="character" w:customStyle="1" w:styleId="Heading1Char">
    <w:name w:val="Heading 1 Char"/>
    <w:aliases w:val="Pocket Char"/>
    <w:basedOn w:val="DefaultParagraphFont"/>
    <w:link w:val="Heading1"/>
    <w:uiPriority w:val="9"/>
    <w:rsid w:val="009C2A2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C2A2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C2A27"/>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9C2A2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C2A27"/>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S,8"/>
    <w:basedOn w:val="DefaultParagraphFont"/>
    <w:uiPriority w:val="1"/>
    <w:qFormat/>
    <w:rsid w:val="009C2A27"/>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20"/>
    <w:qFormat/>
    <w:rsid w:val="009C2A2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C2A27"/>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
    <w:basedOn w:val="DefaultParagraphFont"/>
    <w:uiPriority w:val="99"/>
    <w:unhideWhenUsed/>
    <w:rsid w:val="009C2A27"/>
    <w:rPr>
      <w:color w:val="auto"/>
      <w:u w:val="none"/>
    </w:rPr>
  </w:style>
  <w:style w:type="paragraph" w:styleId="DocumentMap">
    <w:name w:val="Document Map"/>
    <w:basedOn w:val="Normal"/>
    <w:link w:val="DocumentMapChar"/>
    <w:uiPriority w:val="99"/>
    <w:semiHidden/>
    <w:unhideWhenUsed/>
    <w:rsid w:val="009C2A2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C2A27"/>
    <w:rPr>
      <w:rFonts w:ascii="Lucida Grande" w:hAnsi="Lucida Grande" w:cs="Lucida Grande"/>
    </w:rPr>
  </w:style>
  <w:style w:type="paragraph" w:customStyle="1" w:styleId="textbold">
    <w:name w:val="text bold"/>
    <w:basedOn w:val="Normal"/>
    <w:link w:val="Emphasis"/>
    <w:uiPriority w:val="20"/>
    <w:qFormat/>
    <w:rsid w:val="00665156"/>
    <w:pPr>
      <w:spacing w:after="0" w:line="240" w:lineRule="auto"/>
      <w:ind w:left="720"/>
      <w:contextualSpacing/>
      <w:jc w:val="both"/>
    </w:pPr>
    <w:rPr>
      <w:b/>
      <w:iCs/>
      <w:u w:val="single"/>
    </w:rPr>
  </w:style>
  <w:style w:type="character" w:customStyle="1" w:styleId="underline">
    <w:name w:val="underline"/>
    <w:basedOn w:val="DefaultParagraphFont"/>
    <w:qFormat/>
    <w:rsid w:val="00265B3C"/>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holarcommons.scu.edu/markkula/5/"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ewyorker.com/magazine/2005/12/05/everybodys-an-exper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voelkerrechtsblog.org/sorry-elon-mars-is-not-a-legal-vacuum-and-its-not-yours-either%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itt.edu/~mthompso/readings/geach2.pdf" TargetMode="External"/><Relationship Id="rId5" Type="http://schemas.openxmlformats.org/officeDocument/2006/relationships/numbering" Target="numbering.xml"/><Relationship Id="rId15" Type="http://schemas.openxmlformats.org/officeDocument/2006/relationships/hyperlink" Target="https://www.law.berkeley.edu/wp-content/uploads/2016/01/What-is-Wrong-With-Privatization_UCB.pdf" TargetMode="External"/><Relationship Id="rId10" Type="http://schemas.openxmlformats.org/officeDocument/2006/relationships/hyperlink" Target="https://philarchive.org/archive/KATCAP" TargetMode="External"/><Relationship Id="rId4" Type="http://schemas.openxmlformats.org/officeDocument/2006/relationships/customXml" Target="../customXml/item4.xml"/><Relationship Id="rId9" Type="http://schemas.openxmlformats.org/officeDocument/2006/relationships/hyperlink" Target="https://dictionary.cambridge.org/us/dictionary/english/unjust" TargetMode="External"/><Relationship Id="rId14" Type="http://schemas.openxmlformats.org/officeDocument/2006/relationships/hyperlink" Target="mailto:cordelli@uchicago.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bastianfraz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14</Pages>
  <Words>6873</Words>
  <Characters>39179</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45961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Sebastian Frazier</cp:lastModifiedBy>
  <cp:revision>3</cp:revision>
  <dcterms:created xsi:type="dcterms:W3CDTF">2022-01-15T22:34:00Z</dcterms:created>
  <dcterms:modified xsi:type="dcterms:W3CDTF">2022-01-15T23:06:00Z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