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84CFC" w14:textId="77777777" w:rsidR="00CB43A7" w:rsidRDefault="00CB43A7" w:rsidP="00CB43A7">
      <w:pPr>
        <w:pStyle w:val="Heading1"/>
      </w:pPr>
      <w:r>
        <w:t>Util</w:t>
      </w:r>
    </w:p>
    <w:p w14:paraId="7E2E13B2" w14:textId="77777777" w:rsidR="00CB43A7" w:rsidRDefault="00CB43A7" w:rsidP="00CB43A7">
      <w:pPr>
        <w:pStyle w:val="Heading2"/>
      </w:pPr>
      <w:r>
        <w:lastRenderedPageBreak/>
        <w:t>NC</w:t>
      </w:r>
    </w:p>
    <w:p w14:paraId="48B67DB0" w14:textId="77777777" w:rsidR="00CB43A7" w:rsidRDefault="00CB43A7" w:rsidP="00CB43A7">
      <w:pPr>
        <w:pStyle w:val="Heading4"/>
      </w:pPr>
      <w:r>
        <w:t>The meta ethic is consistency with empiricism. Prefer-</w:t>
      </w:r>
    </w:p>
    <w:p w14:paraId="1C00A3AE" w14:textId="77777777" w:rsidR="00CB43A7" w:rsidRPr="00666FC8" w:rsidRDefault="00CB43A7" w:rsidP="00CB43A7">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5F93FC69" w14:textId="77777777" w:rsidR="00CB43A7" w:rsidRPr="00666FC8" w:rsidRDefault="00CB43A7" w:rsidP="00CB43A7">
      <w:r w:rsidRPr="00666FC8">
        <w:rPr>
          <w:rStyle w:val="Style13ptBold"/>
        </w:rPr>
        <w:t>Papinau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http://plato.stanford.edu/entries/naturalism/</w:t>
        </w:r>
      </w:hyperlink>
      <w:r w:rsidRPr="00666FC8">
        <w:t> 2007)</w:t>
      </w:r>
    </w:p>
    <w:p w14:paraId="4B473CCF" w14:textId="77777777" w:rsidR="00CB43A7" w:rsidRPr="00666FC8" w:rsidRDefault="00CB43A7" w:rsidP="00CB43A7">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follow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06F4A3ED" w14:textId="77777777" w:rsidR="00CB43A7" w:rsidRDefault="00CB43A7" w:rsidP="00CB43A7">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72415C96" w14:textId="77777777" w:rsidR="00CB43A7" w:rsidRPr="00D97350" w:rsidRDefault="00CB43A7" w:rsidP="00CB43A7">
      <w:pPr>
        <w:pStyle w:val="Heading4"/>
      </w:pPr>
      <w:r>
        <w:t>3] If something happens 100 times we know it will happen again because of probability and mathematical analysis – only empirical processes can allow us to accurately make deductive predictions. Descionmakers have to use naturalism since its grounded in empirics, science, and facts while other moral theories can’t be reliably used.</w:t>
      </w:r>
    </w:p>
    <w:p w14:paraId="5089EE1D" w14:textId="77777777" w:rsidR="00CB43A7" w:rsidRPr="00656FAA" w:rsidRDefault="00CB43A7" w:rsidP="00CB43A7">
      <w:pPr>
        <w:pStyle w:val="Heading4"/>
      </w:pPr>
      <w:r>
        <w:t>Thus, the standard is maximizing expected utility. Prefer-</w:t>
      </w:r>
    </w:p>
    <w:p w14:paraId="56809FAE" w14:textId="77777777" w:rsidR="00CB43A7" w:rsidRPr="00AF6396" w:rsidRDefault="00CB43A7" w:rsidP="00CB43A7">
      <w:pPr>
        <w:pStyle w:val="Heading4"/>
      </w:pPr>
      <w:r>
        <w:t>1] P</w:t>
      </w:r>
      <w:r w:rsidRPr="00AF6396">
        <w:t>leasure</w:t>
      </w:r>
      <w:r>
        <w:t>/</w:t>
      </w:r>
      <w:r w:rsidRPr="00AF6396">
        <w:t xml:space="preserve">pain </w:t>
      </w:r>
      <w:r>
        <w:t>is</w:t>
      </w:r>
      <w:r w:rsidRPr="00AF6396">
        <w:t xml:space="preserve"> intrinsically valuable</w:t>
      </w:r>
    </w:p>
    <w:p w14:paraId="1F7ACB8D" w14:textId="77777777" w:rsidR="00CB43A7" w:rsidRPr="00736CDE" w:rsidRDefault="00CB43A7" w:rsidP="00CB43A7">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44DFA4EF" w14:textId="77777777" w:rsidR="00CB43A7" w:rsidRPr="00736CDE" w:rsidRDefault="00CB43A7" w:rsidP="00CB43A7">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w:t>
      </w:r>
      <w:r w:rsidRPr="00410001">
        <w:rPr>
          <w:rStyle w:val="Emphasis"/>
        </w:rPr>
        <w:lastRenderedPageBreak/>
        <w:t>disvaluable</w:t>
      </w:r>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52C72DF4" w14:textId="77777777" w:rsidR="00CB43A7" w:rsidRPr="00666FC8" w:rsidRDefault="00CB43A7" w:rsidP="00CB43A7">
      <w:pPr>
        <w:pStyle w:val="Heading4"/>
        <w:rPr>
          <w:rFonts w:cs="Calibri"/>
        </w:rPr>
      </w:pPr>
      <w:r>
        <w:t xml:space="preserve">2] </w:t>
      </w:r>
      <w:r w:rsidRPr="00666FC8">
        <w:rPr>
          <w:rFonts w:cs="Calibri"/>
        </w:rPr>
        <w:t>There’s no act-omission distinction for states.</w:t>
      </w:r>
    </w:p>
    <w:p w14:paraId="3E3ACE45" w14:textId="77777777" w:rsidR="00CB43A7" w:rsidRPr="00666FC8" w:rsidRDefault="00CB43A7" w:rsidP="00CB43A7">
      <w:r w:rsidRPr="00666FC8">
        <w:rPr>
          <w:rStyle w:val="Emphasis"/>
        </w:rPr>
        <w:t>Sunstein et al 05</w:t>
      </w:r>
      <w:r w:rsidRPr="00666FC8">
        <w:t xml:space="preserve"> </w:t>
      </w:r>
      <w:r w:rsidRPr="00666FC8">
        <w:rPr>
          <w:rFonts w:eastAsia="MS Mincho"/>
        </w:rPr>
        <w:t>[Cass R. Sunstein and Adrian Vermeule. The University of Chicago Law School. “Is Capital Punishment Morally Required? The Relevance of Life</w:t>
      </w:r>
      <w:r w:rsidRPr="00666FC8">
        <w:rPr>
          <w:rFonts w:eastAsia="Calibri"/>
        </w:rPr>
        <w:t>‐</w:t>
      </w:r>
      <w:r w:rsidRPr="00666FC8">
        <w:rPr>
          <w:rFonts w:eastAsia="MS Mincho"/>
        </w:rPr>
        <w:t>Life Tradeoffs.” JOHN M. OLIN LAW &amp; ECONOMICS WORKING PAPER NO. 239. The Chicago Working Paper Series. March 2005]</w:t>
      </w:r>
    </w:p>
    <w:p w14:paraId="710804BB" w14:textId="77777777" w:rsidR="00CB43A7" w:rsidRPr="003C6EF8" w:rsidRDefault="00CB43A7" w:rsidP="00CB43A7">
      <w:pPr>
        <w:rPr>
          <w:rFonts w:eastAsia="MS Mincho"/>
          <w:b/>
          <w:szCs w:val="26"/>
          <w:u w:val="single"/>
        </w:rPr>
      </w:pPr>
      <w:r w:rsidRPr="00666FC8">
        <w:rPr>
          <w:rFonts w:eastAsia="MS Mincho"/>
          <w:szCs w:val="26"/>
        </w:rPr>
        <w:t xml:space="preserve">In our view, </w:t>
      </w:r>
      <w:r w:rsidRPr="00666FC8">
        <w:rPr>
          <w:rFonts w:eastAsia="MS Mincho"/>
          <w:b/>
          <w:szCs w:val="26"/>
          <w:u w:val="single"/>
        </w:rPr>
        <w:t xml:space="preserve">both the argument from causation and the argument from intention </w:t>
      </w:r>
      <w:r w:rsidRPr="00666FC8">
        <w:rPr>
          <w:rFonts w:eastAsia="MS Mincho"/>
          <w:szCs w:val="26"/>
        </w:rPr>
        <w:t xml:space="preserve">go wrong by </w:t>
      </w:r>
      <w:r w:rsidRPr="00666FC8">
        <w:rPr>
          <w:rFonts w:eastAsia="MS Mincho"/>
          <w:b/>
          <w:szCs w:val="26"/>
          <w:u w:val="single"/>
        </w:rPr>
        <w:t>overlook</w:t>
      </w:r>
      <w:r w:rsidRPr="00666FC8">
        <w:rPr>
          <w:rFonts w:eastAsia="MS Mincho"/>
          <w:szCs w:val="26"/>
        </w:rPr>
        <w:t xml:space="preserve">ing </w:t>
      </w:r>
      <w:r w:rsidRPr="00666FC8">
        <w:rPr>
          <w:rFonts w:eastAsia="MS Mincho"/>
          <w:b/>
          <w:szCs w:val="26"/>
          <w:u w:val="single"/>
        </w:rPr>
        <w:t xml:space="preserve">the distinctive features of government </w:t>
      </w:r>
      <w:r w:rsidRPr="00666FC8">
        <w:rPr>
          <w:rFonts w:eastAsia="MS Mincho"/>
          <w:szCs w:val="26"/>
        </w:rPr>
        <w:t>as a moral agent. Whatever the general status of the act-omission distinction as a matter of moral philosophy,38 the distinction is least impressive when applied to government.39 The most fundamental point is that</w:t>
      </w:r>
      <w:r w:rsidRPr="00666FC8">
        <w:rPr>
          <w:rFonts w:eastAsia="MS Mincho"/>
          <w:b/>
          <w:szCs w:val="26"/>
          <w:u w:val="single"/>
        </w:rPr>
        <w:t xml:space="preserve"> </w:t>
      </w:r>
      <w:r w:rsidRPr="00666FC8">
        <w:rPr>
          <w:rFonts w:eastAsia="MS Mincho"/>
          <w:b/>
          <w:szCs w:val="26"/>
          <w:highlight w:val="green"/>
          <w:u w:val="single"/>
        </w:rPr>
        <w:t>unlike individuals, governments always</w:t>
      </w:r>
      <w:r w:rsidRPr="00666FC8">
        <w:rPr>
          <w:rFonts w:eastAsia="MS Mincho"/>
          <w:b/>
          <w:szCs w:val="26"/>
          <w:u w:val="single"/>
        </w:rPr>
        <w:t xml:space="preserve"> and necessarily </w:t>
      </w:r>
      <w:r w:rsidRPr="00666FC8">
        <w:rPr>
          <w:rStyle w:val="Emphasis"/>
          <w:szCs w:val="26"/>
          <w:highlight w:val="green"/>
        </w:rPr>
        <w:t>face a choice</w:t>
      </w:r>
      <w:r w:rsidRPr="00666FC8">
        <w:rPr>
          <w:rFonts w:eastAsia="MS Mincho"/>
          <w:b/>
          <w:szCs w:val="26"/>
          <w:highlight w:val="green"/>
          <w:u w:val="single"/>
        </w:rPr>
        <w:t xml:space="preserve"> between</w:t>
      </w:r>
      <w:r w:rsidRPr="00666FC8">
        <w:rPr>
          <w:rFonts w:eastAsia="MS Mincho"/>
          <w:b/>
          <w:szCs w:val="26"/>
          <w:u w:val="single"/>
        </w:rPr>
        <w:t xml:space="preserve"> </w:t>
      </w:r>
      <w:r w:rsidRPr="00666FC8">
        <w:rPr>
          <w:rFonts w:eastAsia="MS Mincho"/>
          <w:szCs w:val="26"/>
        </w:rPr>
        <w:t>or among possible</w:t>
      </w:r>
      <w:r w:rsidRPr="00666FC8">
        <w:rPr>
          <w:rFonts w:eastAsia="MS Mincho"/>
          <w:b/>
          <w:szCs w:val="26"/>
          <w:u w:val="single"/>
        </w:rPr>
        <w:t xml:space="preserve"> policies for </w:t>
      </w:r>
      <w:r w:rsidRPr="00666FC8">
        <w:rPr>
          <w:rFonts w:eastAsia="MS Mincho"/>
          <w:b/>
          <w:szCs w:val="26"/>
          <w:highlight w:val="green"/>
          <w:u w:val="single"/>
        </w:rPr>
        <w:t>regulating third parties</w:t>
      </w:r>
      <w:r w:rsidRPr="00666FC8">
        <w:rPr>
          <w:rFonts w:eastAsia="MS Mincho"/>
          <w:b/>
          <w:szCs w:val="26"/>
          <w:u w:val="single"/>
        </w:rPr>
        <w:t xml:space="preserve">. </w:t>
      </w:r>
      <w:r w:rsidRPr="00666FC8">
        <w:rPr>
          <w:rFonts w:eastAsia="MS Mincho"/>
          <w:szCs w:val="26"/>
        </w:rPr>
        <w:t xml:space="preserve">The distinction between acts and omissions </w:t>
      </w:r>
      <w:r w:rsidRPr="00666FC8">
        <w:rPr>
          <w:rFonts w:eastAsia="MS Mincho"/>
          <w:szCs w:val="26"/>
        </w:rPr>
        <w:lastRenderedPageBreak/>
        <w:t>may not be intelligible in this context, and even if it is, the distinction does not make a morally relevant difference. Most generally,</w:t>
      </w:r>
      <w:r w:rsidRPr="00666FC8">
        <w:rPr>
          <w:rFonts w:eastAsia="MS Mincho"/>
          <w:b/>
          <w:szCs w:val="26"/>
          <w:u w:val="single"/>
        </w:rPr>
        <w:t xml:space="preserve"> government </w:t>
      </w:r>
      <w:r w:rsidRPr="00666FC8">
        <w:rPr>
          <w:rFonts w:eastAsia="MS Mincho"/>
          <w:szCs w:val="26"/>
        </w:rPr>
        <w:t xml:space="preserve">is in the business of </w:t>
      </w:r>
      <w:r w:rsidRPr="00666FC8">
        <w:rPr>
          <w:rFonts w:eastAsia="MS Mincho"/>
          <w:b/>
          <w:szCs w:val="26"/>
          <w:u w:val="single"/>
        </w:rPr>
        <w:t>creat</w:t>
      </w:r>
      <w:r w:rsidRPr="00666FC8">
        <w:rPr>
          <w:rFonts w:eastAsia="MS Mincho"/>
          <w:szCs w:val="26"/>
        </w:rPr>
        <w:t>ing</w:t>
      </w:r>
      <w:r w:rsidRPr="00666FC8">
        <w:rPr>
          <w:rFonts w:eastAsia="MS Mincho"/>
          <w:b/>
          <w:szCs w:val="26"/>
          <w:u w:val="single"/>
        </w:rPr>
        <w:t xml:space="preserve"> permissions and prohibitions. </w:t>
      </w:r>
      <w:r w:rsidRPr="00666FC8">
        <w:rPr>
          <w:rFonts w:eastAsia="MS Mincho"/>
          <w:b/>
          <w:szCs w:val="26"/>
          <w:highlight w:val="green"/>
          <w:u w:val="single"/>
        </w:rPr>
        <w:t>When it</w:t>
      </w:r>
      <w:r w:rsidRPr="00666FC8">
        <w:rPr>
          <w:rFonts w:eastAsia="MS Mincho"/>
          <w:b/>
          <w:szCs w:val="26"/>
          <w:u w:val="single"/>
        </w:rPr>
        <w:t xml:space="preserve"> </w:t>
      </w:r>
      <w:r w:rsidRPr="00666FC8">
        <w:rPr>
          <w:rFonts w:eastAsia="MS Mincho"/>
          <w:szCs w:val="26"/>
        </w:rPr>
        <w:t>explicitly or</w:t>
      </w:r>
      <w:r w:rsidRPr="00666FC8">
        <w:rPr>
          <w:rFonts w:eastAsia="MS Mincho"/>
          <w:b/>
          <w:szCs w:val="26"/>
          <w:u w:val="single"/>
        </w:rPr>
        <w:t xml:space="preserve"> implicitly </w:t>
      </w:r>
      <w:r w:rsidRPr="00666FC8">
        <w:rPr>
          <w:rStyle w:val="Emphasis"/>
          <w:szCs w:val="26"/>
          <w:highlight w:val="green"/>
        </w:rPr>
        <w:t xml:space="preserve">authorizes private action, </w:t>
      </w:r>
      <w:r w:rsidRPr="00666FC8">
        <w:rPr>
          <w:rFonts w:eastAsia="MS Mincho"/>
          <w:b/>
          <w:szCs w:val="26"/>
          <w:highlight w:val="green"/>
          <w:u w:val="single"/>
        </w:rPr>
        <w:t>it is not</w:t>
      </w:r>
      <w:r w:rsidRPr="00666FC8">
        <w:rPr>
          <w:rFonts w:eastAsia="MS Mincho"/>
          <w:b/>
          <w:szCs w:val="26"/>
          <w:u w:val="single"/>
        </w:rPr>
        <w:t xml:space="preserve"> </w:t>
      </w:r>
      <w:r w:rsidRPr="00666FC8">
        <w:rPr>
          <w:rFonts w:eastAsia="MS Mincho"/>
          <w:szCs w:val="26"/>
        </w:rPr>
        <w:t>omitting to do anything, or</w:t>
      </w:r>
      <w:r w:rsidRPr="00666FC8">
        <w:rPr>
          <w:rFonts w:eastAsia="MS Mincho"/>
          <w:b/>
          <w:szCs w:val="26"/>
          <w:u w:val="single"/>
        </w:rPr>
        <w:t xml:space="preserve"> </w:t>
      </w:r>
      <w:r w:rsidRPr="00666FC8">
        <w:rPr>
          <w:rFonts w:eastAsia="MS Mincho"/>
          <w:b/>
          <w:szCs w:val="26"/>
          <w:highlight w:val="green"/>
          <w:u w:val="single"/>
        </w:rPr>
        <w:t>refusing to act.</w:t>
      </w:r>
      <w:r w:rsidRPr="00666FC8">
        <w:rPr>
          <w:rFonts w:eastAsia="MS Mincho"/>
          <w:szCs w:val="26"/>
        </w:rPr>
        <w:t>40</w:t>
      </w:r>
      <w:r w:rsidRPr="00666FC8">
        <w:rPr>
          <w:rFonts w:eastAsia="MS Mincho"/>
          <w:b/>
          <w:szCs w:val="26"/>
          <w:u w:val="single"/>
        </w:rPr>
        <w:t xml:space="preserve"> Moreover, </w:t>
      </w:r>
      <w:r w:rsidRPr="00666FC8">
        <w:rPr>
          <w:rFonts w:eastAsia="MS Mincho"/>
          <w:b/>
          <w:szCs w:val="26"/>
          <w:highlight w:val="green"/>
          <w:u w:val="single"/>
        </w:rPr>
        <w:t>the distinction between authorized and unauthorized</w:t>
      </w:r>
      <w:r w:rsidRPr="00666FC8">
        <w:rPr>
          <w:rFonts w:eastAsia="MS Mincho"/>
          <w:b/>
          <w:szCs w:val="26"/>
          <w:u w:val="single"/>
        </w:rPr>
        <w:t xml:space="preserve"> private </w:t>
      </w:r>
      <w:r w:rsidRPr="00666FC8">
        <w:rPr>
          <w:rFonts w:eastAsia="MS Mincho"/>
          <w:b/>
          <w:szCs w:val="26"/>
          <w:highlight w:val="green"/>
          <w:u w:val="single"/>
        </w:rPr>
        <w:t>action</w:t>
      </w:r>
      <w:r w:rsidRPr="00666FC8">
        <w:rPr>
          <w:rFonts w:eastAsia="MS Mincho"/>
          <w:b/>
          <w:szCs w:val="26"/>
          <w:u w:val="single"/>
        </w:rPr>
        <w:t>—for example, private killing—</w:t>
      </w:r>
      <w:r w:rsidRPr="00666FC8">
        <w:rPr>
          <w:rFonts w:eastAsia="MS Mincho"/>
          <w:b/>
          <w:szCs w:val="26"/>
          <w:highlight w:val="green"/>
          <w:u w:val="single"/>
        </w:rPr>
        <w:t xml:space="preserve">becomes obscure when the government formally </w:t>
      </w:r>
      <w:r w:rsidRPr="00666FC8">
        <w:rPr>
          <w:rStyle w:val="Emphasis"/>
          <w:szCs w:val="26"/>
          <w:highlight w:val="green"/>
        </w:rPr>
        <w:t xml:space="preserve">forbids private action, </w:t>
      </w:r>
      <w:r w:rsidRPr="00666FC8">
        <w:rPr>
          <w:rFonts w:eastAsia="MS Mincho"/>
          <w:b/>
          <w:szCs w:val="26"/>
          <w:highlight w:val="green"/>
          <w:u w:val="single"/>
        </w:rPr>
        <w:t>but</w:t>
      </w:r>
      <w:r w:rsidRPr="00666FC8">
        <w:rPr>
          <w:rFonts w:eastAsia="MS Mincho"/>
          <w:b/>
          <w:szCs w:val="26"/>
          <w:u w:val="single"/>
        </w:rPr>
        <w:t xml:space="preserve"> chooses a set of policy instruments that </w:t>
      </w:r>
      <w:r w:rsidRPr="00666FC8">
        <w:rPr>
          <w:rFonts w:eastAsia="MS Mincho"/>
          <w:b/>
          <w:szCs w:val="26"/>
          <w:highlight w:val="green"/>
          <w:u w:val="single"/>
        </w:rPr>
        <w:t xml:space="preserve">do not </w:t>
      </w:r>
      <w:r w:rsidRPr="00666FC8">
        <w:rPr>
          <w:rFonts w:eastAsia="MS Mincho"/>
          <w:szCs w:val="26"/>
        </w:rPr>
        <w:t>adequately or</w:t>
      </w:r>
      <w:r w:rsidRPr="00666FC8">
        <w:rPr>
          <w:rFonts w:eastAsia="MS Mincho"/>
          <w:b/>
          <w:szCs w:val="26"/>
          <w:u w:val="single"/>
        </w:rPr>
        <w:t xml:space="preserve"> </w:t>
      </w:r>
      <w:r w:rsidRPr="00666FC8">
        <w:rPr>
          <w:rFonts w:eastAsia="MS Mincho"/>
          <w:b/>
          <w:szCs w:val="26"/>
          <w:highlight w:val="green"/>
          <w:u w:val="single"/>
        </w:rPr>
        <w:t>fully discourage it</w:t>
      </w:r>
      <w:r w:rsidRPr="00666FC8">
        <w:rPr>
          <w:rFonts w:eastAsia="MS Mincho"/>
          <w:b/>
          <w:szCs w:val="26"/>
          <w:u w:val="single"/>
        </w:rPr>
        <w:t>.</w:t>
      </w:r>
    </w:p>
    <w:p w14:paraId="5BAA67B4" w14:textId="77777777" w:rsidR="00CB43A7" w:rsidRPr="00666FC8" w:rsidRDefault="00CB43A7" w:rsidP="00CB43A7">
      <w:pPr>
        <w:pStyle w:val="Heading4"/>
        <w:rPr>
          <w:rFonts w:cs="Calibri"/>
        </w:rPr>
      </w:pPr>
      <w:r>
        <w:rPr>
          <w:rFonts w:cs="Calibri"/>
        </w:rPr>
        <w:t xml:space="preserve">3] </w:t>
      </w:r>
      <w:r w:rsidRPr="00666FC8">
        <w:rPr>
          <w:rFonts w:cs="Calibri"/>
        </w:rPr>
        <w:t xml:space="preserve">Substitutability—only consequentialism explains necessary enablers. </w:t>
      </w:r>
    </w:p>
    <w:p w14:paraId="33594247" w14:textId="77777777" w:rsidR="00CB43A7" w:rsidRPr="00666FC8" w:rsidRDefault="00CB43A7" w:rsidP="00CB43A7">
      <w:r w:rsidRPr="00666FC8">
        <w:rPr>
          <w:rStyle w:val="Emphasis"/>
        </w:rPr>
        <w:t>Sinnott-Armstrong 92</w:t>
      </w:r>
      <w:r w:rsidRPr="00666FC8">
        <w:t xml:space="preserve"> [Walter, professor of practical ethics. “An Argument for Consequentialism” Dartmouth College Philosophical Perspectives. 1992.] </w:t>
      </w:r>
    </w:p>
    <w:p w14:paraId="02506820" w14:textId="77777777" w:rsidR="00CB43A7" w:rsidRPr="00656FAA" w:rsidRDefault="00CB43A7" w:rsidP="00CB43A7">
      <w:pPr>
        <w:rPr>
          <w:b/>
          <w:iCs/>
          <w:u w:val="single"/>
          <w:bdr w:val="single" w:sz="24" w:space="0" w:color="auto"/>
        </w:rPr>
      </w:pPr>
      <w:r w:rsidRPr="00666FC8">
        <w:rPr>
          <w:rStyle w:val="Emphasis"/>
          <w:highlight w:val="green"/>
        </w:rPr>
        <w:t>A moral reason</w:t>
      </w:r>
      <w:r w:rsidRPr="00666FC8">
        <w:rPr>
          <w:rStyle w:val="Emphasis"/>
        </w:rPr>
        <w:t xml:space="preserve"> to do an act </w:t>
      </w:r>
      <w:r w:rsidRPr="00666FC8">
        <w:rPr>
          <w:rStyle w:val="Emphasis"/>
          <w:highlight w:val="green"/>
        </w:rPr>
        <w:t>is consequential if</w:t>
      </w:r>
      <w:r w:rsidRPr="00666FC8">
        <w:rPr>
          <w:rStyle w:val="Emphasis"/>
        </w:rPr>
        <w:t xml:space="preserve"> and only if </w:t>
      </w:r>
      <w:r w:rsidRPr="00666FC8">
        <w:rPr>
          <w:rStyle w:val="Emphasis"/>
          <w:highlight w:val="green"/>
        </w:rPr>
        <w:t>the reason depends</w:t>
      </w:r>
      <w:r w:rsidRPr="00666FC8">
        <w:rPr>
          <w:rStyle w:val="Emphasis"/>
        </w:rPr>
        <w:t xml:space="preserve"> only </w:t>
      </w:r>
      <w:r w:rsidRPr="00666FC8">
        <w:rPr>
          <w:rStyle w:val="Emphasis"/>
          <w:highlight w:val="green"/>
        </w:rPr>
        <w:t>on the consequences</w:t>
      </w:r>
      <w:r w:rsidRPr="00666FC8">
        <w:rPr>
          <w:rStyle w:val="Emphasis"/>
        </w:rPr>
        <w:t xml:space="preserve"> of either doing the act or not doing the act.</w:t>
      </w:r>
      <w:r w:rsidRPr="00666FC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66FC8">
        <w:rPr>
          <w:rStyle w:val="Emphasis"/>
          <w:highlight w:val="green"/>
        </w:rPr>
        <w:t>a moral reason</w:t>
      </w:r>
      <w:r w:rsidRPr="00666FC8">
        <w:t xml:space="preserve"> to do an act</w:t>
      </w:r>
      <w:r w:rsidRPr="00666FC8">
        <w:rPr>
          <w:highlight w:val="green"/>
        </w:rPr>
        <w:t xml:space="preserve"> </w:t>
      </w:r>
      <w:r w:rsidRPr="00666FC8">
        <w:rPr>
          <w:rStyle w:val="Emphasis"/>
          <w:highlight w:val="green"/>
        </w:rPr>
        <w:t>is non-consequential if</w:t>
      </w:r>
      <w:r w:rsidRPr="00666FC8">
        <w:rPr>
          <w:rStyle w:val="Emphasis"/>
        </w:rPr>
        <w:t xml:space="preserve"> </w:t>
      </w:r>
      <w:r w:rsidRPr="00666FC8">
        <w:t>and only if</w:t>
      </w:r>
      <w:r w:rsidRPr="00666FC8">
        <w:rPr>
          <w:rStyle w:val="Emphasis"/>
        </w:rPr>
        <w:t xml:space="preserve"> </w:t>
      </w:r>
      <w:r w:rsidRPr="00666FC8">
        <w:rPr>
          <w:rStyle w:val="Emphasis"/>
          <w:highlight w:val="green"/>
        </w:rPr>
        <w:t>the reason depends</w:t>
      </w:r>
      <w:r w:rsidRPr="00666FC8">
        <w:rPr>
          <w:rStyle w:val="Emphasis"/>
        </w:rPr>
        <w:t xml:space="preserve"> even partly </w:t>
      </w:r>
      <w:r w:rsidRPr="00666FC8">
        <w:rPr>
          <w:rStyle w:val="Emphasis"/>
          <w:highlight w:val="green"/>
        </w:rPr>
        <w:t>on some property that the act has</w:t>
      </w:r>
      <w:r w:rsidRPr="00666FC8">
        <w:rPr>
          <w:rStyle w:val="Emphasis"/>
        </w:rPr>
        <w:t xml:space="preserve"> independently of its consequences. For example, an act can be a lie regardless of what happens as a result of the lie </w:t>
      </w:r>
      <w:r w:rsidRPr="00666FC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w:t>
      </w:r>
      <w:r w:rsidRPr="00666FC8">
        <w:lastRenderedPageBreak/>
        <w:t>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66FC8">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66FC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66FC8">
        <w:rPr>
          <w:rStyle w:val="Emphasis"/>
          <w:highlight w:val="green"/>
        </w:rPr>
        <w:t>if I promise to mow the grass, there is a moral reason for me to mow</w:t>
      </w:r>
      <w:r w:rsidRPr="00666FC8">
        <w:rPr>
          <w:rStyle w:val="Emphasis"/>
        </w:rPr>
        <w:t xml:space="preserve"> the grass, and this moral reason is </w:t>
      </w:r>
      <w:r w:rsidRPr="00666FC8">
        <w:rPr>
          <w:rStyle w:val="Emphasis"/>
          <w:highlight w:val="green"/>
        </w:rPr>
        <w:t>constituted by</w:t>
      </w:r>
      <w:r w:rsidRPr="00666FC8">
        <w:rPr>
          <w:rStyle w:val="Emphasis"/>
        </w:rPr>
        <w:t xml:space="preserve"> the fact that mowing the grass fulfills </w:t>
      </w:r>
      <w:r w:rsidRPr="00666FC8">
        <w:rPr>
          <w:rStyle w:val="Emphasis"/>
          <w:highlight w:val="green"/>
        </w:rPr>
        <w:t>my promise.</w:t>
      </w:r>
      <w:r w:rsidRPr="00666FC8">
        <w:rPr>
          <w:rStyle w:val="Emphasis"/>
        </w:rPr>
        <w:t xml:space="preserve"> </w:t>
      </w:r>
      <w:r w:rsidRPr="00666FC8">
        <w:t xml:space="preserve">This reason exists regardless of the consequences of mowing the grass, even though it might be overridden by certain bad consequences. </w:t>
      </w:r>
      <w:r w:rsidRPr="00666FC8">
        <w:rPr>
          <w:rStyle w:val="Emphasis"/>
          <w:highlight w:val="green"/>
        </w:rPr>
        <w:t>However</w:t>
      </w:r>
      <w:r w:rsidRPr="00666FC8">
        <w:t xml:space="preserve">, if this is why I have a moral reason to mow the grass, then, even </w:t>
      </w:r>
      <w:r w:rsidRPr="00666FC8">
        <w:rPr>
          <w:rStyle w:val="Emphasis"/>
          <w:highlight w:val="green"/>
        </w:rPr>
        <w:t>if I cannot mow the grass without starting my mower</w:t>
      </w:r>
      <w:r w:rsidRPr="00666FC8">
        <w:rPr>
          <w:rStyle w:val="Emphasis"/>
        </w:rPr>
        <w:t xml:space="preserve">, and starting the mower </w:t>
      </w:r>
      <w:r w:rsidRPr="00666FC8">
        <w:rPr>
          <w:rStyle w:val="Emphasis"/>
        </w:rPr>
        <w:lastRenderedPageBreak/>
        <w:t xml:space="preserve">would enable me to mow the grass, </w:t>
      </w:r>
      <w:r w:rsidRPr="00666FC8">
        <w:rPr>
          <w:rStyle w:val="Emphasis"/>
          <w:highlight w:val="green"/>
        </w:rPr>
        <w:t>it still would not follow that I have any</w:t>
      </w:r>
      <w:r w:rsidRPr="00666FC8">
        <w:rPr>
          <w:rStyle w:val="Emphasis"/>
        </w:rPr>
        <w:t xml:space="preserve"> moral </w:t>
      </w:r>
      <w:r w:rsidRPr="00666FC8">
        <w:rPr>
          <w:rStyle w:val="Emphasis"/>
          <w:highlight w:val="green"/>
        </w:rPr>
        <w:t>reason to start my mower</w:t>
      </w:r>
      <w:r w:rsidRPr="00666FC8">
        <w:rPr>
          <w:rStyle w:val="Emphasis"/>
        </w:rPr>
        <w:t>, since I did not promise to start my mower</w:t>
      </w:r>
      <w:r w:rsidRPr="00666FC8">
        <w:t xml:space="preserve">, and starting my mower does not fulfill my promise. Thus, </w:t>
      </w:r>
      <w:r w:rsidRPr="00666FC8">
        <w:rPr>
          <w:rStyle w:val="Emphasis"/>
          <w:highlight w:val="green"/>
        </w:rPr>
        <w:t>a moral theory cannot explain</w:t>
      </w:r>
      <w:r w:rsidRPr="00666FC8">
        <w:rPr>
          <w:rStyle w:val="Emphasis"/>
        </w:rPr>
        <w:t xml:space="preserve"> </w:t>
      </w:r>
      <w:r w:rsidRPr="00666FC8">
        <w:t>moral</w:t>
      </w:r>
      <w:r w:rsidRPr="00666FC8">
        <w:rPr>
          <w:rStyle w:val="Emphasis"/>
        </w:rPr>
        <w:t xml:space="preserve"> </w:t>
      </w:r>
      <w:r w:rsidRPr="00666FC8">
        <w:rPr>
          <w:rStyle w:val="Emphasis"/>
          <w:highlight w:val="green"/>
        </w:rPr>
        <w:t>substitutability if it claims that properties</w:t>
      </w:r>
      <w:r w:rsidRPr="00666FC8">
        <w:t xml:space="preserve"> like this</w:t>
      </w:r>
      <w:r w:rsidRPr="00666FC8">
        <w:rPr>
          <w:rStyle w:val="Emphasis"/>
        </w:rPr>
        <w:t xml:space="preserve"> </w:t>
      </w:r>
      <w:r w:rsidRPr="00666FC8">
        <w:rPr>
          <w:rStyle w:val="Emphasis"/>
          <w:highlight w:val="green"/>
        </w:rPr>
        <w:t>provide moral reasons.</w:t>
      </w:r>
    </w:p>
    <w:p w14:paraId="24190886" w14:textId="504375B4" w:rsidR="00E42E4C" w:rsidRDefault="00CB43A7" w:rsidP="00CB43A7">
      <w:pPr>
        <w:pStyle w:val="Heading2"/>
      </w:pPr>
      <w:r>
        <w:lastRenderedPageBreak/>
        <w:t>2</w:t>
      </w:r>
    </w:p>
    <w:p w14:paraId="6771FD7B" w14:textId="77777777" w:rsidR="00CB43A7" w:rsidRPr="00594A42" w:rsidRDefault="00CB43A7" w:rsidP="00CB43A7">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1B163E43" w14:textId="77777777" w:rsidR="00CB43A7" w:rsidRPr="00594A42" w:rsidRDefault="00CB43A7" w:rsidP="00CB43A7">
      <w:pPr>
        <w:pStyle w:val="Heading4"/>
        <w:rPr>
          <w:rFonts w:cs="Calibri"/>
        </w:rPr>
      </w:pPr>
      <w:r w:rsidRPr="00594A42">
        <w:rPr>
          <w:rFonts w:cs="Calibri"/>
        </w:rPr>
        <w:t>The United States should:</w:t>
      </w:r>
    </w:p>
    <w:p w14:paraId="3F5F5D5E" w14:textId="77777777" w:rsidR="00CB43A7" w:rsidRPr="00594A42" w:rsidRDefault="00CB43A7" w:rsidP="00CB43A7">
      <w:pPr>
        <w:pStyle w:val="Heading4"/>
        <w:rPr>
          <w:rFonts w:cs="Calibri"/>
          <w:b w:val="0"/>
          <w:bCs w:val="0"/>
        </w:rPr>
      </w:pPr>
      <w:r w:rsidRPr="00594A42">
        <w:rPr>
          <w:rFonts w:cs="Calibri"/>
          <w:b w:val="0"/>
          <w:bCs w:val="0"/>
        </w:rPr>
        <w:t>--Publicly rescind support for the WTO waiver</w:t>
      </w:r>
    </w:p>
    <w:p w14:paraId="488DAE7F" w14:textId="77777777" w:rsidR="00CB43A7" w:rsidRPr="00594A42" w:rsidRDefault="00CB43A7" w:rsidP="00CB43A7">
      <w:pPr>
        <w:pStyle w:val="Heading4"/>
        <w:rPr>
          <w:rFonts w:cs="Calibri"/>
          <w:b w:val="0"/>
          <w:bCs w:val="0"/>
        </w:rPr>
      </w:pPr>
      <w:r w:rsidRPr="00594A42">
        <w:rPr>
          <w:rFonts w:cs="Calibri"/>
          <w:b w:val="0"/>
          <w:bCs w:val="0"/>
        </w:rPr>
        <w:t>-- Veto this motion and refuse to comply</w:t>
      </w:r>
    </w:p>
    <w:p w14:paraId="7E6C25AF" w14:textId="77777777" w:rsidR="00CB43A7" w:rsidRPr="00594A42" w:rsidRDefault="00CB43A7" w:rsidP="00CB43A7">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15EEABD4" w14:textId="77777777" w:rsidR="00CB43A7" w:rsidRPr="00594A42" w:rsidRDefault="00CB43A7" w:rsidP="00CB43A7">
      <w:pPr>
        <w:pStyle w:val="Heading4"/>
        <w:rPr>
          <w:rFonts w:cs="Calibri"/>
        </w:rPr>
      </w:pPr>
      <w:r w:rsidRPr="00594A42">
        <w:rPr>
          <w:rFonts w:cs="Calibri"/>
        </w:rPr>
        <w:t xml:space="preserve">Counterplan competes --- </w:t>
      </w:r>
    </w:p>
    <w:p w14:paraId="0042A43C" w14:textId="77777777" w:rsidR="00CB43A7" w:rsidRPr="00594A42" w:rsidRDefault="00CB43A7" w:rsidP="00CB43A7">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17A33876" w14:textId="77777777" w:rsidR="00CB43A7" w:rsidRPr="00594A42" w:rsidRDefault="00CB43A7" w:rsidP="00CB43A7">
      <w:pPr>
        <w:rPr>
          <w:szCs w:val="22"/>
        </w:rPr>
      </w:pPr>
      <w:r w:rsidRPr="00594A42">
        <w:rPr>
          <w:b/>
          <w:bCs/>
          <w:szCs w:val="26"/>
        </w:rPr>
        <w:t>Collins Dictionary n.d.</w:t>
      </w:r>
      <w:r w:rsidRPr="00594A42">
        <w:t xml:space="preserve"> </w:t>
      </w:r>
      <w:r w:rsidRPr="00594A42">
        <w:rPr>
          <w:szCs w:val="22"/>
        </w:rPr>
        <w:t>“member nations” RJP, DebateDrills https://www.collinsdictionary.com/us/dictionary/english/member-nations</w:t>
      </w:r>
    </w:p>
    <w:p w14:paraId="6BB9D637" w14:textId="77777777" w:rsidR="00CB43A7" w:rsidRPr="00594A42" w:rsidRDefault="00CB43A7" w:rsidP="00CB43A7">
      <w:pPr>
        <w:rPr>
          <w:rStyle w:val="Emphasis"/>
          <w:szCs w:val="22"/>
        </w:rPr>
      </w:pPr>
      <w:r w:rsidRPr="00594A42">
        <w:rPr>
          <w:rStyle w:val="Emphasis"/>
          <w:szCs w:val="22"/>
        </w:rPr>
        <w:t>member nations</w:t>
      </w:r>
    </w:p>
    <w:p w14:paraId="535BF1E6" w14:textId="77777777" w:rsidR="00CB43A7" w:rsidRPr="00594A42" w:rsidRDefault="00CB43A7" w:rsidP="00CB43A7">
      <w:pPr>
        <w:rPr>
          <w:rStyle w:val="Style13ptBold"/>
          <w:b w:val="0"/>
          <w:bCs/>
          <w:sz w:val="22"/>
          <w:szCs w:val="22"/>
        </w:rPr>
      </w:pPr>
      <w:r w:rsidRPr="006F13BB">
        <w:rPr>
          <w:rStyle w:val="Style13ptBold"/>
          <w:rFonts w:eastAsiaTheme="majorEastAsia"/>
          <w:b w:val="0"/>
          <w:bCs/>
          <w:sz w:val="22"/>
          <w:szCs w:val="22"/>
          <w:highlight w:val="green"/>
        </w:rPr>
        <w:t>The </w:t>
      </w:r>
      <w:hyperlink r:id="rId10"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1"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2"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3"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095BE298" w14:textId="77777777" w:rsidR="00CB43A7" w:rsidRPr="00594A42" w:rsidRDefault="00CB43A7" w:rsidP="00CB43A7">
      <w:pPr>
        <w:rPr>
          <w:rStyle w:val="Style13ptBold"/>
          <w:rFonts w:eastAsiaTheme="majorEastAsia"/>
          <w:b w:val="0"/>
          <w:bCs/>
          <w:sz w:val="22"/>
          <w:szCs w:val="22"/>
        </w:rPr>
      </w:pPr>
      <w:r w:rsidRPr="00594A42">
        <w:rPr>
          <w:rStyle w:val="Style13ptBold"/>
          <w:b w:val="0"/>
          <w:bCs/>
          <w:sz w:val="22"/>
          <w:szCs w:val="22"/>
        </w:rPr>
        <w:t>Sociology (1995)</w:t>
      </w:r>
    </w:p>
    <w:p w14:paraId="2510931F" w14:textId="77777777" w:rsidR="00CB43A7" w:rsidRPr="00594A42" w:rsidRDefault="00CB43A7" w:rsidP="00CB43A7">
      <w:pPr>
        <w:rPr>
          <w:rStyle w:val="Style13ptBold"/>
          <w:b w:val="0"/>
          <w:bCs/>
          <w:sz w:val="22"/>
          <w:szCs w:val="22"/>
        </w:rPr>
      </w:pPr>
      <w:r w:rsidRPr="00594A42">
        <w:rPr>
          <w:rStyle w:val="Style13ptBold"/>
          <w:rFonts w:eastAsiaTheme="majorEastAsia"/>
          <w:b w:val="0"/>
          <w:bCs/>
          <w:sz w:val="22"/>
          <w:szCs w:val="22"/>
        </w:rPr>
        <w:t>At the Nato </w:t>
      </w:r>
      <w:hyperlink r:id="rId14"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5"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6"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7"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18"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hyperlink r:id="rId19" w:tooltip="Definition of defence" w:history="1">
        <w:r w:rsidRPr="00594A42">
          <w:rPr>
            <w:rStyle w:val="Style13ptBold"/>
            <w:rFonts w:eastAsiaTheme="majorEastAsia"/>
            <w:b w:val="0"/>
            <w:bCs/>
            <w:sz w:val="22"/>
            <w:szCs w:val="22"/>
          </w:rPr>
          <w:t>defence</w:t>
        </w:r>
      </w:hyperlink>
      <w:r w:rsidRPr="00594A42">
        <w:rPr>
          <w:rStyle w:val="Style13ptBold"/>
          <w:rFonts w:eastAsiaTheme="majorEastAsia"/>
          <w:b w:val="0"/>
          <w:bCs/>
          <w:sz w:val="22"/>
          <w:szCs w:val="22"/>
        </w:rPr>
        <w:t>.</w:t>
      </w:r>
    </w:p>
    <w:p w14:paraId="07E8E50E" w14:textId="77777777" w:rsidR="00CB43A7" w:rsidRPr="00594A42" w:rsidRDefault="00CB43A7" w:rsidP="00CB43A7">
      <w:pPr>
        <w:rPr>
          <w:rStyle w:val="Style13ptBold"/>
          <w:rFonts w:eastAsiaTheme="majorEastAsia"/>
          <w:b w:val="0"/>
          <w:bCs/>
          <w:sz w:val="22"/>
          <w:szCs w:val="22"/>
        </w:rPr>
      </w:pPr>
      <w:r w:rsidRPr="00594A42">
        <w:rPr>
          <w:rStyle w:val="Style13ptBold"/>
          <w:b w:val="0"/>
          <w:bCs/>
          <w:sz w:val="22"/>
          <w:szCs w:val="22"/>
        </w:rPr>
        <w:t>Times, Sunday Times (2015)</w:t>
      </w:r>
    </w:p>
    <w:p w14:paraId="0CA806EE" w14:textId="77777777" w:rsidR="00CB43A7" w:rsidRPr="00594A42" w:rsidRDefault="00CB43A7" w:rsidP="00CB43A7">
      <w:pPr>
        <w:rPr>
          <w:rStyle w:val="Style13ptBold"/>
          <w:b w:val="0"/>
          <w:bCs/>
          <w:sz w:val="22"/>
          <w:szCs w:val="22"/>
        </w:rPr>
      </w:pPr>
      <w:r w:rsidRPr="00594A42">
        <w:rPr>
          <w:rStyle w:val="Style13ptBold"/>
          <w:rFonts w:eastAsiaTheme="majorEastAsia"/>
          <w:b w:val="0"/>
          <w:bCs/>
          <w:sz w:val="22"/>
          <w:szCs w:val="22"/>
        </w:rPr>
        <w:t>The </w:t>
      </w:r>
      <w:hyperlink r:id="rId20"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21"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2"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251E9ED2" w14:textId="77777777" w:rsidR="00CB43A7" w:rsidRPr="00594A42" w:rsidRDefault="00CB43A7" w:rsidP="00CB43A7">
      <w:pPr>
        <w:rPr>
          <w:rStyle w:val="Style13ptBold"/>
          <w:rFonts w:eastAsiaTheme="majorEastAsia"/>
          <w:b w:val="0"/>
          <w:bCs/>
          <w:sz w:val="22"/>
          <w:szCs w:val="22"/>
        </w:rPr>
      </w:pPr>
      <w:r w:rsidRPr="00594A42">
        <w:rPr>
          <w:rStyle w:val="Style13ptBold"/>
          <w:b w:val="0"/>
          <w:bCs/>
          <w:sz w:val="22"/>
          <w:szCs w:val="22"/>
        </w:rPr>
        <w:t>Times, Sunday Times (2012)</w:t>
      </w:r>
    </w:p>
    <w:p w14:paraId="22BFA745" w14:textId="77777777" w:rsidR="00CB43A7" w:rsidRPr="00594A42" w:rsidRDefault="00CB43A7" w:rsidP="00CB43A7">
      <w:pPr>
        <w:rPr>
          <w:rStyle w:val="Emphasis"/>
        </w:rPr>
      </w:pPr>
      <w:r w:rsidRPr="006F13BB">
        <w:rPr>
          <w:rStyle w:val="Emphasis"/>
          <w:highlight w:val="green"/>
        </w:rPr>
        <w:t>Definition of 'nation'</w:t>
      </w:r>
    </w:p>
    <w:p w14:paraId="2D80D8C3" w14:textId="77777777" w:rsidR="00CB43A7" w:rsidRPr="00594A42" w:rsidRDefault="00CB43A7" w:rsidP="00CB43A7">
      <w:pPr>
        <w:rPr>
          <w:rStyle w:val="Style13ptBold"/>
          <w:b w:val="0"/>
          <w:bCs/>
          <w:sz w:val="22"/>
          <w:szCs w:val="22"/>
        </w:rPr>
      </w:pPr>
      <w:r w:rsidRPr="00594A42">
        <w:rPr>
          <w:rStyle w:val="Style13ptBold"/>
          <w:b w:val="0"/>
          <w:bCs/>
          <w:sz w:val="22"/>
          <w:szCs w:val="22"/>
        </w:rPr>
        <w:t>nation</w:t>
      </w:r>
    </w:p>
    <w:p w14:paraId="43086A63" w14:textId="77777777" w:rsidR="00CB43A7" w:rsidRPr="00594A42" w:rsidRDefault="00CB43A7" w:rsidP="00CB43A7">
      <w:pPr>
        <w:rPr>
          <w:rStyle w:val="Style13ptBold"/>
          <w:b w:val="0"/>
          <w:bCs/>
          <w:sz w:val="22"/>
          <w:szCs w:val="22"/>
        </w:rPr>
      </w:pPr>
      <w:r w:rsidRPr="00594A42">
        <w:rPr>
          <w:rStyle w:val="Style13ptBold"/>
          <w:b w:val="0"/>
          <w:bCs/>
          <w:sz w:val="22"/>
          <w:szCs w:val="22"/>
        </w:rPr>
        <w:t>(neɪʃən)</w:t>
      </w:r>
      <w:hyperlink r:id="rId23" w:history="1">
        <w:r w:rsidRPr="00594A42">
          <w:rPr>
            <w:rStyle w:val="Style13ptBold"/>
            <w:rFonts w:eastAsiaTheme="majorEastAsia"/>
            <w:b w:val="0"/>
            <w:bCs/>
            <w:sz w:val="22"/>
            <w:szCs w:val="22"/>
          </w:rPr>
          <w:t>Explore 'nation' in the dictionary</w:t>
        </w:r>
      </w:hyperlink>
    </w:p>
    <w:p w14:paraId="34E61EA0" w14:textId="77777777" w:rsidR="00CB43A7" w:rsidRPr="00594A42" w:rsidRDefault="00CB43A7" w:rsidP="00CB43A7">
      <w:pPr>
        <w:rPr>
          <w:rStyle w:val="Style13ptBold"/>
          <w:b w:val="0"/>
          <w:bCs/>
          <w:sz w:val="22"/>
          <w:szCs w:val="22"/>
        </w:rPr>
      </w:pPr>
      <w:r w:rsidRPr="00594A42">
        <w:rPr>
          <w:rStyle w:val="Style13ptBold"/>
          <w:b w:val="0"/>
          <w:bCs/>
          <w:sz w:val="22"/>
          <w:szCs w:val="22"/>
        </w:rPr>
        <w:t>COUNTABLE NOUN</w:t>
      </w:r>
    </w:p>
    <w:p w14:paraId="7B319E9D" w14:textId="77777777" w:rsidR="00CB43A7" w:rsidRPr="00594A42" w:rsidRDefault="00CB43A7" w:rsidP="00CB43A7">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399ED99B" w14:textId="77777777" w:rsidR="00CB43A7" w:rsidRPr="00594A42" w:rsidRDefault="00CB43A7" w:rsidP="00CB43A7"/>
    <w:p w14:paraId="1E0EF0CB" w14:textId="77777777" w:rsidR="00CB43A7" w:rsidRDefault="00CB43A7" w:rsidP="00CB43A7">
      <w:pPr>
        <w:pStyle w:val="Heading4"/>
        <w:rPr>
          <w:rStyle w:val="TitleChar"/>
          <w:rFonts w:cs="Calibri"/>
        </w:rPr>
      </w:pPr>
      <w:r>
        <w:rPr>
          <w:rFonts w:cs="Calibri"/>
        </w:rPr>
        <w:lastRenderedPageBreak/>
        <w:t>2</w:t>
      </w:r>
      <w:r w:rsidRPr="00594A42">
        <w:rPr>
          <w:rFonts w:cs="Calibri"/>
        </w:rPr>
        <w:t xml:space="preserve">] </w:t>
      </w:r>
      <w:r>
        <w:rPr>
          <w:rStyle w:val="TitleChar"/>
          <w:rFonts w:cs="Calibri"/>
        </w:rPr>
        <w:t>Immediacy</w:t>
      </w:r>
    </w:p>
    <w:p w14:paraId="3E385B49" w14:textId="77777777" w:rsidR="00CB43A7" w:rsidRPr="00647DD1" w:rsidRDefault="00CB43A7" w:rsidP="00CB43A7">
      <w:pPr>
        <w:pStyle w:val="Heading4"/>
        <w:rPr>
          <w:rFonts w:cs="Calibri"/>
          <w:bCs w:val="0"/>
          <w:u w:val="single"/>
        </w:rPr>
      </w:pPr>
      <w:r w:rsidRPr="00962D8C">
        <w:rPr>
          <w:rFonts w:cs="Calibri"/>
        </w:rPr>
        <w:t>Ought and should are used interchangeably.</w:t>
      </w:r>
    </w:p>
    <w:p w14:paraId="1312DA8F" w14:textId="77777777" w:rsidR="00CB43A7" w:rsidRPr="00962D8C" w:rsidRDefault="00CB43A7" w:rsidP="00CB43A7">
      <w:pPr>
        <w:rPr>
          <w:szCs w:val="22"/>
        </w:rPr>
      </w:pPr>
      <w:r w:rsidRPr="00962D8C">
        <w:rPr>
          <w:szCs w:val="22"/>
        </w:rPr>
        <w:t xml:space="preserve">Anastasia </w:t>
      </w:r>
      <w:r w:rsidRPr="00962D8C">
        <w:rPr>
          <w:b/>
          <w:bCs/>
          <w:szCs w:val="26"/>
        </w:rPr>
        <w:t>Koltai 18</w:t>
      </w:r>
      <w:r w:rsidRPr="00962D8C">
        <w:rPr>
          <w:szCs w:val="22"/>
        </w:rPr>
        <w:t xml:space="preserve">. CEO of MyEnglishTeacher, “Difference Between Ought to and Should,” MyEnglishTeacher, September 25, 2018, </w:t>
      </w:r>
      <w:hyperlink r:id="rId24" w:history="1">
        <w:r w:rsidRPr="00962D8C">
          <w:rPr>
            <w:rStyle w:val="Hyperlink"/>
            <w:szCs w:val="22"/>
          </w:rPr>
          <w:t>https://www.myenglishteacher.eu/blog/difference-between-ought-to-and-should/</w:t>
        </w:r>
      </w:hyperlink>
      <w:r w:rsidRPr="00962D8C">
        <w:rPr>
          <w:szCs w:val="22"/>
        </w:rPr>
        <w:t>, RJP, DebateDrills.</w:t>
      </w:r>
    </w:p>
    <w:p w14:paraId="55576E06" w14:textId="77777777" w:rsidR="00CB43A7" w:rsidRPr="00962D8C" w:rsidRDefault="00CB43A7" w:rsidP="00CB43A7"/>
    <w:p w14:paraId="1624C05D" w14:textId="77777777" w:rsidR="00CB43A7" w:rsidRPr="00962D8C" w:rsidRDefault="00CB43A7" w:rsidP="00CB43A7">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1AF45DA5" w14:textId="77777777" w:rsidR="00CB43A7" w:rsidRPr="00962D8C" w:rsidRDefault="00CB43A7" w:rsidP="00CB43A7"/>
    <w:p w14:paraId="2BB93CB6" w14:textId="77777777" w:rsidR="00CB43A7" w:rsidRPr="00962D8C" w:rsidRDefault="00CB43A7" w:rsidP="00CB43A7">
      <w:pPr>
        <w:pStyle w:val="Heading4"/>
        <w:rPr>
          <w:rFonts w:cs="Calibri"/>
        </w:rPr>
      </w:pPr>
      <w:r w:rsidRPr="00962D8C">
        <w:rPr>
          <w:rFonts w:cs="Calibri"/>
        </w:rPr>
        <w:t>“Should” is immediate</w:t>
      </w:r>
    </w:p>
    <w:p w14:paraId="7C5AEDAD" w14:textId="77777777" w:rsidR="00CB43A7" w:rsidRPr="00962D8C" w:rsidRDefault="00CB43A7" w:rsidP="00CB43A7">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475D04B3" w14:textId="77777777" w:rsidR="00CB43A7" w:rsidRPr="00962D8C" w:rsidRDefault="00CB43A7" w:rsidP="00CB43A7">
      <w:pPr>
        <w:pStyle w:val="CardIndented"/>
        <w:ind w:left="0"/>
      </w:pPr>
      <w:r w:rsidRPr="00962D8C">
        <w:t xml:space="preserve">¶4 </w:t>
      </w:r>
      <w:r w:rsidRPr="00962D8C">
        <w:rPr>
          <w:rStyle w:val="TitleChar"/>
          <w:rFonts w:eastAsia="Times New Roman"/>
        </w:rPr>
        <w:t>The legal question to be resolved by the court is whether the word "should"</w:t>
      </w:r>
      <w:hyperlink r:id="rId25"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6" w:anchor="marker3fn14" w:history="1">
        <w:r w:rsidRPr="00962D8C">
          <w:t>14</w:t>
        </w:r>
      </w:hyperlink>
      <w:r w:rsidRPr="00962D8C">
        <w:t xml:space="preserve"> The answer to this query is not to be divined from rules of grammar;</w:t>
      </w:r>
      <w:hyperlink r:id="rId27"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8" w:anchor="marker3fn16" w:history="1">
        <w:r w:rsidRPr="00962D8C">
          <w:t xml:space="preserve">16 </w:t>
        </w:r>
      </w:hyperlink>
    </w:p>
    <w:p w14:paraId="568A34CC" w14:textId="77777777" w:rsidR="00CB43A7" w:rsidRPr="00962D8C" w:rsidRDefault="00CB43A7" w:rsidP="00CB43A7">
      <w:pPr>
        <w:pStyle w:val="CardIndented"/>
        <w:ind w:left="0"/>
      </w:pPr>
      <w:r w:rsidRPr="00962D8C">
        <w:t>[CONTINUES – TO FOOTNOTE]</w:t>
      </w:r>
    </w:p>
    <w:p w14:paraId="0F1853EC" w14:textId="77777777" w:rsidR="00CB43A7" w:rsidRPr="00962D8C" w:rsidRDefault="00CB43A7" w:rsidP="00CB43A7">
      <w:pPr>
        <w:pStyle w:val="CardIndented"/>
        <w:ind w:left="0"/>
      </w:pPr>
      <w:hyperlink r:id="rId29"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30"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31"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32" w:history="1">
        <w:r w:rsidRPr="00962D8C">
          <w:t>106 U.S. 360</w:t>
        </w:r>
      </w:hyperlink>
      <w:r w:rsidRPr="00962D8C">
        <w:t>, 365, 1 S.Ct. 336, 337, 27 L.Ed. 201 (1882).</w:t>
      </w:r>
    </w:p>
    <w:p w14:paraId="33584819" w14:textId="77777777" w:rsidR="00CB43A7" w:rsidRPr="00962D8C" w:rsidRDefault="00CB43A7" w:rsidP="00CB43A7"/>
    <w:p w14:paraId="5CD2A5DF" w14:textId="77777777" w:rsidR="00CB43A7" w:rsidRPr="00594A42" w:rsidRDefault="00CB43A7" w:rsidP="00CB43A7"/>
    <w:p w14:paraId="18323E18" w14:textId="77777777" w:rsidR="00CB43A7" w:rsidRPr="00594A42" w:rsidRDefault="00CB43A7" w:rsidP="00CB43A7">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5A84EFA4" w14:textId="77777777" w:rsidR="00CB43A7" w:rsidRPr="00594A42" w:rsidRDefault="00CB43A7" w:rsidP="00CB43A7">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3"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RJP, DebateDrills</w:t>
      </w:r>
    </w:p>
    <w:p w14:paraId="38EA4703" w14:textId="77777777" w:rsidR="00CB43A7" w:rsidRPr="00594A42" w:rsidRDefault="00CB43A7" w:rsidP="00CB43A7"/>
    <w:p w14:paraId="0EB30F2A" w14:textId="77777777" w:rsidR="00CB43A7" w:rsidRPr="0082567E" w:rsidRDefault="00CB43A7" w:rsidP="00CB43A7">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06598645" w14:textId="77777777" w:rsidR="00CB43A7" w:rsidRPr="00647DD1" w:rsidRDefault="00CB43A7" w:rsidP="00CB43A7">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34"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3380A789" w14:textId="77777777" w:rsidR="00CB43A7" w:rsidRPr="00647DD1" w:rsidRDefault="00CB43A7" w:rsidP="00CB43A7">
      <w:pPr>
        <w:rPr>
          <w:rStyle w:val="Style13ptBold"/>
          <w:b w:val="0"/>
          <w:bCs/>
          <w:sz w:val="22"/>
          <w:szCs w:val="22"/>
        </w:rPr>
      </w:pPr>
      <w:r w:rsidRPr="00647DD1">
        <w:rPr>
          <w:rStyle w:val="Style13ptBold"/>
          <w:b w:val="0"/>
          <w:bCs/>
          <w:sz w:val="22"/>
          <w:szCs w:val="22"/>
        </w:rPr>
        <w:t>Will the U.S. require companies to share their know-how with others?</w:t>
      </w:r>
    </w:p>
    <w:p w14:paraId="69A7FB86" w14:textId="77777777" w:rsidR="00CB43A7" w:rsidRPr="00594A42" w:rsidRDefault="00CB43A7" w:rsidP="00CB43A7">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6C692BD4" w14:textId="77777777" w:rsidR="00CB43A7" w:rsidRPr="00594A42" w:rsidRDefault="00CB43A7" w:rsidP="00CB43A7">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19C3504A" w14:textId="77777777" w:rsidR="00CB43A7" w:rsidRPr="009B3872" w:rsidRDefault="00CB43A7" w:rsidP="00CB43A7">
      <w:r>
        <w:t xml:space="preserve">James </w:t>
      </w:r>
      <w:r w:rsidRPr="009B3872">
        <w:rPr>
          <w:b/>
          <w:bCs/>
          <w:szCs w:val="26"/>
        </w:rPr>
        <w:t>Bacchus 18</w:t>
      </w:r>
      <w:r>
        <w:t xml:space="preserve">. </w:t>
      </w:r>
      <w:r w:rsidRPr="00594A42">
        <w:rPr>
          <w:color w:val="1A1714"/>
          <w:szCs w:val="22"/>
          <w:shd w:val="clear" w:color="auto" w:fill="FFFFFF"/>
        </w:rPr>
        <w:t>Member of the </w:t>
      </w:r>
      <w:hyperlink r:id="rId35"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zCs w:val="22"/>
          <w:shd w:val="clear" w:color="auto" w:fill="FFFFFF"/>
        </w:rPr>
        <w:t xml:space="preserve"> “How the World Trade Organization Can Curb China’s Intellectual Property Transgressions,” CATO, March 22, 2018, </w:t>
      </w:r>
      <w:hyperlink r:id="rId36" w:history="1">
        <w:r w:rsidRPr="00CC2A6A">
          <w:rPr>
            <w:rStyle w:val="Hyperlink"/>
            <w:szCs w:val="22"/>
            <w:shd w:val="clear" w:color="auto" w:fill="FFFFFF"/>
          </w:rPr>
          <w:t>https://www.cato.org/blog/how-world-trade-organization-can-curb-chinas-intellectual-property-transgressions</w:t>
        </w:r>
      </w:hyperlink>
      <w:r>
        <w:rPr>
          <w:color w:val="1A1714"/>
          <w:szCs w:val="22"/>
          <w:shd w:val="clear" w:color="auto" w:fill="FFFFFF"/>
        </w:rPr>
        <w:t xml:space="preserve">, RJP, DebateDrills. </w:t>
      </w:r>
    </w:p>
    <w:p w14:paraId="74EBEC7D" w14:textId="77777777" w:rsidR="00CB43A7" w:rsidRPr="00594A42" w:rsidRDefault="00CB43A7" w:rsidP="00CB43A7">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xml:space="preserve">.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w:t>
      </w:r>
      <w:r w:rsidRPr="00647DD1">
        <w:lastRenderedPageBreak/>
        <w:t>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19DC6DCD" w14:textId="77777777" w:rsidR="00CB43A7" w:rsidRPr="00087942" w:rsidRDefault="00CB43A7" w:rsidP="00CB43A7">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r>
      <w:r w:rsidRPr="00594A42">
        <w:lastRenderedPageBreak/>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w:t>
      </w:r>
      <w:r w:rsidRPr="00594A42">
        <w:lastRenderedPageBreak/>
        <w:t xml:space="preserve">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 xml:space="preserve">As Trump’s trade lawyers will hasten to say, a systemic IP case against China in </w:t>
      </w:r>
      <w:r w:rsidRPr="00647DD1">
        <w:lastRenderedPageBreak/>
        <w:t>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386D04A6" w14:textId="77777777" w:rsidR="00CB43A7" w:rsidRDefault="00CB43A7" w:rsidP="00CB43A7">
      <w:pPr>
        <w:pStyle w:val="Heading4"/>
      </w:pPr>
      <w:r w:rsidRPr="0038293E">
        <w:t>Stopping tech stealing is key to avoid war</w:t>
      </w:r>
    </w:p>
    <w:p w14:paraId="49583077" w14:textId="77777777" w:rsidR="00CB43A7" w:rsidRPr="0038293E" w:rsidRDefault="00CB43A7" w:rsidP="00CB43A7">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47075ECB" w14:textId="0743EB8A" w:rsidR="00CB43A7" w:rsidRDefault="00CB43A7" w:rsidP="00CB43A7">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w:t>
      </w:r>
      <w:r w:rsidRPr="009B3872">
        <w:lastRenderedPageBreak/>
        <w:t xml:space="preserve">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 xml:space="preserve">Confidence in the proven U.S. </w:t>
      </w:r>
      <w:r w:rsidRPr="00647DD1">
        <w:rPr>
          <w:rStyle w:val="Emphasis"/>
        </w:rPr>
        <w:lastRenderedPageBreak/>
        <w:t>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w:t>
      </w:r>
      <w:r w:rsidRPr="009B3872">
        <w:lastRenderedPageBreak/>
        <w:t xml:space="preserve">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 xml:space="preserve">the deepening tensions increase the risks of miscalculation, </w:t>
      </w:r>
      <w:r w:rsidRPr="00647DD1">
        <w:rPr>
          <w:rStyle w:val="StyleUnderline"/>
        </w:rPr>
        <w:lastRenderedPageBreak/>
        <w:t>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w:t>
      </w:r>
      <w:r w:rsidRPr="009B3872">
        <w:rPr>
          <w:rStyle w:val="StyleUnderline"/>
        </w:rPr>
        <w:lastRenderedPageBreak/>
        <w:t xml:space="preserve">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w:t>
      </w:r>
      <w:r w:rsidRPr="009B3872">
        <w:lastRenderedPageBreak/>
        <w:t xml:space="preserve">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w:t>
      </w:r>
      <w:r w:rsidRPr="009B3872">
        <w:lastRenderedPageBreak/>
        <w:t xml:space="preserve">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w:t>
      </w:r>
      <w:r w:rsidRPr="009B3872">
        <w:lastRenderedPageBreak/>
        <w:t xml:space="preserve">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w:t>
      </w:r>
      <w:r w:rsidRPr="009B3872">
        <w:lastRenderedPageBreak/>
        <w:t xml:space="preserve">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hinese-led institutions. In 2014, Xi indirectly rebuked the United States for seeking to bolster its security leadership in the region, stating that “it is for the people of Asia to uphold the security of Asia.”3</w:t>
      </w:r>
    </w:p>
    <w:p w14:paraId="53AFC09C" w14:textId="187CF259" w:rsidR="00CB43A7" w:rsidRDefault="00CB43A7" w:rsidP="00CB43A7"/>
    <w:p w14:paraId="0C69F35D" w14:textId="2ACF520F" w:rsidR="00CB43A7" w:rsidRDefault="00CB43A7" w:rsidP="00CB43A7">
      <w:pPr>
        <w:pStyle w:val="Heading2"/>
      </w:pPr>
      <w:r>
        <w:lastRenderedPageBreak/>
        <w:t>3</w:t>
      </w:r>
    </w:p>
    <w:p w14:paraId="6E8BD56D" w14:textId="2A8E53D4" w:rsidR="00CB43A7" w:rsidRDefault="00CB43A7" w:rsidP="00CB43A7">
      <w:r>
        <w:t>Disclosure</w:t>
      </w:r>
    </w:p>
    <w:p w14:paraId="302D3756" w14:textId="77777777" w:rsidR="00CB43A7" w:rsidRDefault="00CB43A7" w:rsidP="00CB43A7">
      <w:pPr>
        <w:pStyle w:val="Heading4"/>
        <w:numPr>
          <w:ilvl w:val="0"/>
          <w:numId w:val="12"/>
        </w:numPr>
      </w:pPr>
      <w:r>
        <w:t xml:space="preserve">Interpretation: The affirmative debater must disclose the plan text and advantage area at least 30 minutes before the round. </w:t>
      </w:r>
    </w:p>
    <w:p w14:paraId="51B0A712" w14:textId="77777777" w:rsidR="00CB43A7" w:rsidRDefault="00CB43A7" w:rsidP="00CB43A7">
      <w:pPr>
        <w:pStyle w:val="Heading4"/>
        <w:numPr>
          <w:ilvl w:val="0"/>
          <w:numId w:val="12"/>
        </w:numPr>
      </w:pPr>
      <w:r>
        <w:t>Violation: Screenshots</w:t>
      </w:r>
    </w:p>
    <w:p w14:paraId="3931A5B0" w14:textId="77777777" w:rsidR="00CB43A7" w:rsidRDefault="00CB43A7" w:rsidP="00CB43A7">
      <w:pPr>
        <w:pStyle w:val="Heading4"/>
        <w:numPr>
          <w:ilvl w:val="0"/>
          <w:numId w:val="12"/>
        </w:numPr>
      </w:pPr>
      <w:r>
        <w:t>Vote neg –</w:t>
      </w:r>
    </w:p>
    <w:p w14:paraId="40AE2B9A" w14:textId="77777777" w:rsidR="00CB43A7" w:rsidRDefault="00CB43A7" w:rsidP="00CB43A7">
      <w:pPr>
        <w:pStyle w:val="Heading4"/>
        <w:numPr>
          <w:ilvl w:val="0"/>
          <w:numId w:val="14"/>
        </w:numPr>
      </w:pPr>
      <w:r>
        <w:t>Clash: Aff gets infinite prep to make the best aff and prep generics, but neg doesn’t get time to update them to apply to the aff</w:t>
      </w:r>
    </w:p>
    <w:p w14:paraId="74CB848A" w14:textId="77777777" w:rsidR="00CB43A7" w:rsidRDefault="00CB43A7" w:rsidP="00CB43A7">
      <w:pPr>
        <w:pStyle w:val="Heading4"/>
        <w:numPr>
          <w:ilvl w:val="0"/>
          <w:numId w:val="14"/>
        </w:numPr>
      </w:pPr>
      <w:r>
        <w:t xml:space="preserve">Quality of Research: Pre-round research is necessary to beat bad affs that aren’t inherent, topical, or intrinsic. Their interp incentivizes cheap-shot affs that rely on prep disparities to win and don’t reflect the literature </w:t>
      </w:r>
    </w:p>
    <w:p w14:paraId="3EA89AEB" w14:textId="77777777" w:rsidR="00CB43A7" w:rsidRDefault="00CB43A7" w:rsidP="00CB43A7">
      <w:pPr>
        <w:pStyle w:val="Heading4"/>
        <w:numPr>
          <w:ilvl w:val="0"/>
          <w:numId w:val="12"/>
        </w:numPr>
      </w:pPr>
      <w:r>
        <w:t>Paradigm issues –</w:t>
      </w:r>
    </w:p>
    <w:p w14:paraId="654BFBB7" w14:textId="77777777" w:rsidR="00CB43A7" w:rsidRDefault="00CB43A7" w:rsidP="00CB43A7">
      <w:pPr>
        <w:pStyle w:val="Heading4"/>
        <w:numPr>
          <w:ilvl w:val="0"/>
          <w:numId w:val="13"/>
        </w:numPr>
        <w:tabs>
          <w:tab w:val="num" w:pos="0"/>
        </w:tabs>
        <w:ind w:left="0" w:firstLine="0"/>
      </w:pPr>
      <w:r>
        <w:t>Reject the team – The round is irreparably skewed</w:t>
      </w:r>
    </w:p>
    <w:p w14:paraId="2F048D39" w14:textId="77777777" w:rsidR="00CB43A7" w:rsidRDefault="00CB43A7" w:rsidP="00CB43A7">
      <w:pPr>
        <w:pStyle w:val="Heading4"/>
        <w:numPr>
          <w:ilvl w:val="0"/>
          <w:numId w:val="13"/>
        </w:numPr>
        <w:tabs>
          <w:tab w:val="num" w:pos="0"/>
        </w:tabs>
        <w:ind w:left="0" w:firstLine="0"/>
      </w:pPr>
      <w:r>
        <w:t>Competing interpretations – Reasonability is arbitrary and invites judge intervention</w:t>
      </w:r>
    </w:p>
    <w:p w14:paraId="5CAA9334" w14:textId="77777777" w:rsidR="00CB43A7" w:rsidRDefault="00CB43A7" w:rsidP="00CB43A7">
      <w:pPr>
        <w:pStyle w:val="Heading4"/>
        <w:numPr>
          <w:ilvl w:val="0"/>
          <w:numId w:val="13"/>
        </w:numPr>
        <w:tabs>
          <w:tab w:val="num" w:pos="0"/>
        </w:tabs>
        <w:ind w:left="0" w:firstLine="0"/>
      </w:pPr>
      <w:r>
        <w:t xml:space="preserve">No RVIs – A] Substance – Forcing the negative to go for topicality avoids substantive clash B] Baiting – Encourages abusive affs that prep out topicality C] Outweighs – Frivolous shells can be beaten quickly </w:t>
      </w:r>
    </w:p>
    <w:p w14:paraId="16DE2762" w14:textId="77777777" w:rsidR="00CB43A7" w:rsidRDefault="00CB43A7" w:rsidP="00CB43A7">
      <w:pPr>
        <w:pStyle w:val="Heading4"/>
        <w:numPr>
          <w:ilvl w:val="0"/>
          <w:numId w:val="13"/>
        </w:numPr>
        <w:tabs>
          <w:tab w:val="num" w:pos="0"/>
        </w:tabs>
        <w:ind w:left="0" w:firstLine="0"/>
      </w:pPr>
      <w:r>
        <w:t>NC before 1AR procedurals – A] Scope – Affects more speeches B] Probability – More likely we're right if we win our interp since we had more speeches to debate it</w:t>
      </w:r>
    </w:p>
    <w:p w14:paraId="639986E2" w14:textId="77777777" w:rsidR="00CB43A7" w:rsidRPr="00B55AD5" w:rsidRDefault="00CB43A7" w:rsidP="00CB43A7"/>
    <w:p w14:paraId="3132B85E" w14:textId="77777777" w:rsidR="00CB43A7" w:rsidRPr="00CB43A7" w:rsidRDefault="00CB43A7" w:rsidP="00CB43A7"/>
    <w:sectPr w:rsidR="00CB43A7" w:rsidRPr="00CB43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23C3E"/>
    <w:multiLevelType w:val="hybridMultilevel"/>
    <w:tmpl w:val="F3ACA270"/>
    <w:lvl w:ilvl="0" w:tplc="DFC8A9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B556EB4"/>
    <w:multiLevelType w:val="hybridMultilevel"/>
    <w:tmpl w:val="002E3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E725AE"/>
    <w:multiLevelType w:val="hybridMultilevel"/>
    <w:tmpl w:val="CEBC8A86"/>
    <w:lvl w:ilvl="0" w:tplc="D7707D92">
      <w:start w:val="1"/>
      <w:numFmt w:val="decimal"/>
      <w:lvlText w:val="%1."/>
      <w:lvlJc w:val="left"/>
      <w:pPr>
        <w:ind w:left="1080" w:hanging="360"/>
      </w:pPr>
      <w:rPr>
        <w:rFonts w:ascii="Calibri" w:eastAsiaTheme="majorEastAsia" w:hAnsi="Calibri" w:cstheme="maj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43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B43A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4B7CE6"/>
  <w14:defaultImageDpi w14:val="300"/>
  <w15:docId w15:val="{FE9542C8-91D5-6549-8E05-0F3E9B6A4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43A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B43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43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43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B43A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B43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43A7"/>
  </w:style>
  <w:style w:type="character" w:customStyle="1" w:styleId="Heading1Char">
    <w:name w:val="Heading 1 Char"/>
    <w:aliases w:val="Pocket Char"/>
    <w:basedOn w:val="DefaultParagraphFont"/>
    <w:link w:val="Heading1"/>
    <w:uiPriority w:val="9"/>
    <w:rsid w:val="00CB43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43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43A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B43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43A7"/>
    <w:rPr>
      <w:b/>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
    <w:basedOn w:val="DefaultParagraphFont"/>
    <w:uiPriority w:val="1"/>
    <w:qFormat/>
    <w:rsid w:val="00CB43A7"/>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20"/>
    <w:qFormat/>
    <w:rsid w:val="00CB43A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B43A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CB43A7"/>
    <w:rPr>
      <w:color w:val="auto"/>
      <w:u w:val="none"/>
    </w:rPr>
  </w:style>
  <w:style w:type="paragraph" w:styleId="DocumentMap">
    <w:name w:val="Document Map"/>
    <w:basedOn w:val="Normal"/>
    <w:link w:val="DocumentMapChar"/>
    <w:uiPriority w:val="99"/>
    <w:semiHidden/>
    <w:unhideWhenUsed/>
    <w:rsid w:val="00CB43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43A7"/>
    <w:rPr>
      <w:rFonts w:ascii="Lucida Grande" w:hAnsi="Lucida Grande" w:cs="Lucida Grande"/>
    </w:rPr>
  </w:style>
  <w:style w:type="paragraph" w:customStyle="1" w:styleId="textbold">
    <w:name w:val="text bold"/>
    <w:basedOn w:val="Normal"/>
    <w:link w:val="Emphasis"/>
    <w:uiPriority w:val="20"/>
    <w:qFormat/>
    <w:rsid w:val="00CB43A7"/>
    <w:pPr>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CB43A7"/>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CB43A7"/>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CB43A7"/>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CB43A7"/>
    <w:pPr>
      <w:ind w:left="288"/>
    </w:pPr>
  </w:style>
  <w:style w:type="character" w:customStyle="1" w:styleId="CardIndentedChar">
    <w:name w:val="Card (Indented) Char"/>
    <w:basedOn w:val="DefaultParagraphFont"/>
    <w:link w:val="CardIndented"/>
    <w:rsid w:val="00CB43A7"/>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comprise" TargetMode="External"/><Relationship Id="rId18" Type="http://schemas.openxmlformats.org/officeDocument/2006/relationships/hyperlink" Target="https://www.collinsdictionary.com/us/dictionary/english/income" TargetMode="External"/><Relationship Id="rId26" Type="http://schemas.openxmlformats.org/officeDocument/2006/relationships/hyperlink" Target="http://www.oscn.net/applications/oscn/DeliverDocument.asp?CiteID=20287" TargetMode="External"/><Relationship Id="rId21" Type="http://schemas.openxmlformats.org/officeDocument/2006/relationships/hyperlink" Target="https://www.collinsdictionary.com/us/dictionary/english/limit" TargetMode="External"/><Relationship Id="rId34" Type="http://schemas.openxmlformats.org/officeDocument/2006/relationships/hyperlink" Target="https://www.iam-media.com/coronavirus/brazilian-senate-passes-compulsory-covid-19-know-how-licensing-bill" TargetMode="External"/><Relationship Id="rId7" Type="http://schemas.openxmlformats.org/officeDocument/2006/relationships/settings" Target="settings.xml"/><Relationship Id="rId12" Type="http://schemas.openxmlformats.org/officeDocument/2006/relationships/hyperlink" Target="https://www.collinsdictionary.com/us/dictionary/english/international" TargetMode="External"/><Relationship Id="rId17" Type="http://schemas.openxmlformats.org/officeDocument/2006/relationships/hyperlink" Target="https://www.collinsdictionary.com/us/dictionary/english/national"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blog.petrieflom.law.harvard.edu/2021/05/07/wto-waiver-intellectual-property-covid/"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llinsdictionary.com/us/dictionary/english/spend" TargetMode="External"/><Relationship Id="rId20" Type="http://schemas.openxmlformats.org/officeDocument/2006/relationships/hyperlink" Target="https://www.collinsdictionary.com/us/dictionary/english/beneficiary" TargetMode="External"/><Relationship Id="rId29"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linsdictionary.com/us/dictionary/english/nation" TargetMode="External"/><Relationship Id="rId24" Type="http://schemas.openxmlformats.org/officeDocument/2006/relationships/hyperlink" Target="https://www.myenglishteacher.eu/blog/difference-between-ought-to-and-should/" TargetMode="External"/><Relationship Id="rId32" Type="http://schemas.openxmlformats.org/officeDocument/2006/relationships/hyperlink" Target="http://www.oscn.net/applications/oscn/deliverdocument.asp?box1=106&amp;box2=U.S.&amp;box3=360"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ollinsdictionary.com/us/dictionary/english/pledge" TargetMode="External"/><Relationship Id="rId23" Type="http://schemas.openxmlformats.org/officeDocument/2006/relationships/hyperlink" Target="https://www.collinsdictionary.com/us/dictionary/english/nation"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blog/how-world-trade-organization-can-curb-chinas-intellectual-property-transgressions" TargetMode="External"/><Relationship Id="rId10" Type="http://schemas.openxmlformats.org/officeDocument/2006/relationships/hyperlink" Target="https://www.collinsdictionary.com/us/dictionary/english/unite" TargetMode="External"/><Relationship Id="rId19" Type="http://schemas.openxmlformats.org/officeDocument/2006/relationships/hyperlink" Target="https://www.collinsdictionary.com/us/dictionary/english/defence" TargetMode="External"/><Relationship Id="rId31"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www.collinsdictionary.com/us/dictionary/english/summit" TargetMode="External"/><Relationship Id="rId22" Type="http://schemas.openxmlformats.org/officeDocument/2006/relationships/hyperlink" Target="https://www.collinsdictionary.com/us/dictionary/english/worldwide"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802&amp;box2=P.2D&amp;box3=813" TargetMode="External"/><Relationship Id="rId35" Type="http://schemas.openxmlformats.org/officeDocument/2006/relationships/hyperlink" Target="https://www.cato.org/herbert-stiefel-center-trade-policy-studie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8717</Words>
  <Characters>49691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2021-10-08T16:50:00Z</dcterms:created>
  <dcterms:modified xsi:type="dcterms:W3CDTF">2021-10-08T16:53:00Z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