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773C2" w:rsidRDefault="004603E4">
      <w:pPr>
        <w:pStyle w:val="Heading1"/>
      </w:pPr>
      <w:bookmarkStart w:id="0" w:name="_2lsj5wxrqn2x" w:colFirst="0" w:colLast="0"/>
      <w:bookmarkEnd w:id="0"/>
      <w:r>
        <w:t>1NC Yale Doubles</w:t>
      </w:r>
    </w:p>
    <w:p w14:paraId="00000002" w14:textId="77777777" w:rsidR="005773C2" w:rsidRDefault="004603E4">
      <w:pPr>
        <w:pStyle w:val="Heading2"/>
      </w:pPr>
      <w:bookmarkStart w:id="1" w:name="_preyg52mm7ls" w:colFirst="0" w:colLast="0"/>
      <w:bookmarkEnd w:id="1"/>
      <w:r>
        <w:t>1</w:t>
      </w:r>
    </w:p>
    <w:p w14:paraId="00000003" w14:textId="77777777" w:rsidR="005773C2" w:rsidRDefault="004603E4">
      <w:pPr>
        <w:rPr>
          <w:b/>
          <w:sz w:val="26"/>
          <w:szCs w:val="26"/>
        </w:rPr>
      </w:pPr>
      <w:r>
        <w:rPr>
          <w:b/>
          <w:sz w:val="26"/>
          <w:szCs w:val="26"/>
        </w:rPr>
        <w:t>Interp: The aff must define which medicines they reduce intellectual property protections for with a delineated text in the 1ac</w:t>
      </w:r>
    </w:p>
    <w:p w14:paraId="00000004" w14:textId="77777777" w:rsidR="005773C2" w:rsidRDefault="005773C2">
      <w:pPr>
        <w:rPr>
          <w:b/>
          <w:sz w:val="26"/>
          <w:szCs w:val="26"/>
        </w:rPr>
      </w:pPr>
    </w:p>
    <w:p w14:paraId="00000005" w14:textId="77777777" w:rsidR="005773C2" w:rsidRDefault="004603E4">
      <w:pPr>
        <w:rPr>
          <w:b/>
          <w:sz w:val="26"/>
          <w:szCs w:val="26"/>
        </w:rPr>
      </w:pPr>
      <w:r>
        <w:rPr>
          <w:b/>
          <w:sz w:val="26"/>
          <w:szCs w:val="26"/>
        </w:rPr>
        <w:t>Medicines is a vague and broad term - no normal means</w:t>
      </w:r>
    </w:p>
    <w:p w14:paraId="00000006" w14:textId="77777777" w:rsidR="005773C2" w:rsidRDefault="004603E4">
      <w:r>
        <w:rPr>
          <w:b/>
          <w:sz w:val="26"/>
          <w:szCs w:val="26"/>
        </w:rPr>
        <w:t>Antoñanzas</w:t>
      </w:r>
      <w:r>
        <w:t xml:space="preserve">, F., Terkola, R. </w:t>
      </w:r>
      <w:r>
        <w:rPr>
          <w:b/>
          <w:sz w:val="26"/>
          <w:szCs w:val="26"/>
        </w:rPr>
        <w:t>&amp; Postma</w:t>
      </w:r>
      <w:r>
        <w:t xml:space="preserve">, M. The Value of </w:t>
      </w:r>
      <w:r>
        <w:rPr>
          <w:highlight w:val="cyan"/>
          <w:u w:val="single"/>
        </w:rPr>
        <w:t>Medicines: A Crucial but Vague Concept</w:t>
      </w:r>
      <w:r>
        <w:t>. PharmacoEconomics 34, 1227–1239 (</w:t>
      </w:r>
      <w:r>
        <w:rPr>
          <w:b/>
          <w:sz w:val="26"/>
          <w:szCs w:val="26"/>
        </w:rPr>
        <w:t>2016</w:t>
      </w:r>
      <w:r>
        <w:t xml:space="preserve">). </w:t>
      </w:r>
      <w:hyperlink r:id="rId5">
        <w:r>
          <w:rPr>
            <w:color w:val="1155CC"/>
            <w:u w:val="single"/>
          </w:rPr>
          <w:t>https://doi.org/10.1007/s40273-016-0434-8</w:t>
        </w:r>
      </w:hyperlink>
      <w:r>
        <w:t xml:space="preserve"> //SR</w:t>
      </w:r>
    </w:p>
    <w:p w14:paraId="00000007" w14:textId="77777777" w:rsidR="005773C2" w:rsidRDefault="004603E4">
      <w:r>
        <w:rPr>
          <w:sz w:val="16"/>
          <w:szCs w:val="16"/>
        </w:rPr>
        <w:t xml:space="preserve">Key Points for Decision Makers Although the value of healthcare products is commonly understood as a mix of effectiveness, safety and efficiency, </w:t>
      </w:r>
      <w:r>
        <w:rPr>
          <w:highlight w:val="cyan"/>
          <w:u w:val="single"/>
        </w:rPr>
        <w:t>there is no clear</w:t>
      </w:r>
      <w:r>
        <w:rPr>
          <w:u w:val="single"/>
        </w:rPr>
        <w:t xml:space="preserve"> and shared </w:t>
      </w:r>
      <w:r>
        <w:rPr>
          <w:highlight w:val="cyan"/>
          <w:u w:val="single"/>
        </w:rPr>
        <w:t>definition of this</w:t>
      </w:r>
      <w:r>
        <w:rPr>
          <w:u w:val="single"/>
        </w:rPr>
        <w:t xml:space="preserve"> abstract and </w:t>
      </w:r>
      <w:r>
        <w:rPr>
          <w:highlight w:val="cyan"/>
          <w:u w:val="single"/>
        </w:rPr>
        <w:t>multi-perspective concept</w:t>
      </w:r>
      <w:r>
        <w:rPr>
          <w:sz w:val="16"/>
          <w:szCs w:val="16"/>
        </w:rPr>
        <w:t xml:space="preserve">, potentially </w:t>
      </w:r>
      <w:r>
        <w:rPr>
          <w:highlight w:val="cyan"/>
          <w:u w:val="single"/>
        </w:rPr>
        <w:t>leading to inconsistent decisions</w:t>
      </w:r>
      <w:r>
        <w:rPr>
          <w:u w:val="single"/>
        </w:rPr>
        <w:t xml:space="preserve"> across</w:t>
      </w:r>
      <w:r>
        <w:rPr>
          <w:sz w:val="16"/>
          <w:szCs w:val="16"/>
        </w:rPr>
        <w:t xml:space="preserve"> jurisdictions regarding </w:t>
      </w:r>
      <w:r>
        <w:rPr>
          <w:u w:val="single"/>
        </w:rPr>
        <w:t>price, reimbursement, and access to those products</w:t>
      </w:r>
      <w:r>
        <w:rPr>
          <w:sz w:val="16"/>
          <w:szCs w:val="16"/>
        </w:rPr>
        <w:t xml:space="preserve">. </w:t>
      </w:r>
      <w:r>
        <w:rPr>
          <w:u w:val="single"/>
        </w:rPr>
        <w:t xml:space="preserve">Decision makers and </w:t>
      </w:r>
      <w:r>
        <w:rPr>
          <w:highlight w:val="cyan"/>
          <w:u w:val="single"/>
        </w:rPr>
        <w:t>health tech</w:t>
      </w:r>
      <w:r>
        <w:rPr>
          <w:u w:val="single"/>
        </w:rPr>
        <w:t xml:space="preserve">nology </w:t>
      </w:r>
      <w:r>
        <w:rPr>
          <w:highlight w:val="cyan"/>
          <w:u w:val="single"/>
        </w:rPr>
        <w:t>assessment bodies should</w:t>
      </w:r>
      <w:r>
        <w:rPr>
          <w:u w:val="single"/>
        </w:rPr>
        <w:t xml:space="preserve"> make efforts to </w:t>
      </w:r>
      <w:r>
        <w:rPr>
          <w:highlight w:val="cyan"/>
          <w:u w:val="single"/>
        </w:rPr>
        <w:t>explicitly specify</w:t>
      </w:r>
      <w:r>
        <w:rPr>
          <w:u w:val="single"/>
        </w:rPr>
        <w:t xml:space="preserve"> the </w:t>
      </w:r>
      <w:r>
        <w:rPr>
          <w:highlight w:val="cyan"/>
          <w:u w:val="single"/>
        </w:rPr>
        <w:t>criteria</w:t>
      </w:r>
      <w:r>
        <w:rPr>
          <w:u w:val="single"/>
        </w:rPr>
        <w:t xml:space="preserve"> used </w:t>
      </w:r>
      <w:r>
        <w:rPr>
          <w:highlight w:val="cyan"/>
          <w:u w:val="single"/>
        </w:rPr>
        <w:t>when appraising health tech</w:t>
      </w:r>
      <w:r>
        <w:rPr>
          <w:u w:val="single"/>
        </w:rPr>
        <w:t>nologies</w:t>
      </w:r>
      <w:r>
        <w:rPr>
          <w:sz w:val="16"/>
          <w:szCs w:val="16"/>
        </w:rPr>
        <w:t xml:space="preserve"> so that their value can be unambiguously conceptualized and measured. Several approaches are used to incorporate the concept of value without explicitly defining it, but </w:t>
      </w:r>
      <w:r>
        <w:rPr>
          <w:u w:val="single"/>
        </w:rPr>
        <w:t>adaptations to specific situations</w:t>
      </w:r>
      <w:r>
        <w:rPr>
          <w:sz w:val="16"/>
          <w:szCs w:val="16"/>
        </w:rPr>
        <w:t xml:space="preserve"> (through the weighting of assessment results according to various criteria) </w:t>
      </w:r>
      <w:r>
        <w:rPr>
          <w:u w:val="single"/>
        </w:rPr>
        <w:t>are frequently found in real-world practice</w:t>
      </w:r>
      <w:r>
        <w:rPr>
          <w:sz w:val="16"/>
          <w:szCs w:val="16"/>
        </w:rPr>
        <w:t xml:space="preserve">.  Table 2 Cost-effectiveness thresholds </w:t>
      </w:r>
      <w:r>
        <w:rPr>
          <w:highlight w:val="cyan"/>
          <w:u w:val="single"/>
        </w:rPr>
        <w:t>in</w:t>
      </w:r>
      <w:r>
        <w:rPr>
          <w:sz w:val="16"/>
          <w:szCs w:val="16"/>
        </w:rPr>
        <w:t xml:space="preserve"> selected European countries Country Affordability threshold (cost/QALY) Austria No [35] France No [23, 35, 43] Germany No [23, 35] Likely to range between €20,000 and €40,000, not formal [43] Hungary Technologies are considered cost effective below the threshold of 2 9 GDP per capita/QALY; technologies are not cost effective above the threshold of 3 9 GDP per capita/QALY [47] Italy No [35] </w:t>
      </w:r>
      <w:r>
        <w:rPr>
          <w:u w:val="single"/>
        </w:rPr>
        <w:t xml:space="preserve">The </w:t>
      </w:r>
      <w:r>
        <w:rPr>
          <w:highlight w:val="cyan"/>
          <w:u w:val="single"/>
        </w:rPr>
        <w:t>Netherlands</w:t>
      </w:r>
      <w:r>
        <w:rPr>
          <w:sz w:val="16"/>
          <w:szCs w:val="16"/>
        </w:rPr>
        <w:t xml:space="preserve"> </w:t>
      </w:r>
      <w:r>
        <w:rPr>
          <w:u w:val="single"/>
        </w:rPr>
        <w:t xml:space="preserve">Approximately €20,000, not fixed [47] Absolute maximum of €80,000 for severe diseases; however, </w:t>
      </w:r>
      <w:r>
        <w:rPr>
          <w:highlight w:val="cyan"/>
          <w:u w:val="single"/>
        </w:rPr>
        <w:t>orphan medicines</w:t>
      </w:r>
      <w:r>
        <w:rPr>
          <w:u w:val="single"/>
        </w:rPr>
        <w:t xml:space="preserve"> have been </w:t>
      </w:r>
      <w:r>
        <w:rPr>
          <w:highlight w:val="cyan"/>
          <w:u w:val="single"/>
        </w:rPr>
        <w:t>adopted</w:t>
      </w:r>
      <w:r>
        <w:rPr>
          <w:u w:val="single"/>
        </w:rPr>
        <w:t xml:space="preserve"> above this threshold</w:t>
      </w:r>
      <w:r>
        <w:rPr>
          <w:sz w:val="16"/>
          <w:szCs w:val="16"/>
        </w:rPr>
        <w:t xml:space="preserve"> [12] Between €10,000 and €80,000 depending on the burden of disease [37] Spain No [35] Evidence suggests that technologies less than €30,000 are considered efficient and greater than €120,000 as </w:t>
      </w:r>
      <w:r>
        <w:rPr>
          <w:highlight w:val="cyan"/>
          <w:u w:val="single"/>
        </w:rPr>
        <w:t>in</w:t>
      </w:r>
      <w:r>
        <w:rPr>
          <w:sz w:val="16"/>
          <w:szCs w:val="16"/>
        </w:rPr>
        <w:t xml:space="preserve">efficient [51] Sweden Approximately SEK500,000, not fixed [23] €45,000 used as guide, not fixed [35] Approximately €100,000 has been accepted for severe diseases between 2002 and 2007 [12] Likely range is between £25,000 and £40,000, not formal [43] Not explicit, but based on individuals’ willingness to pay [48] </w:t>
      </w:r>
      <w:r>
        <w:rPr>
          <w:highlight w:val="cyan"/>
          <w:u w:val="single"/>
        </w:rPr>
        <w:t>UK</w:t>
      </w:r>
      <w:r>
        <w:rPr>
          <w:sz w:val="16"/>
          <w:szCs w:val="16"/>
        </w:rPr>
        <w:t xml:space="preserve"> Yes, approximately £20,000–£30,000 [12, 23, 31, 35] </w:t>
      </w:r>
      <w:r>
        <w:rPr>
          <w:highlight w:val="cyan"/>
          <w:u w:val="single"/>
        </w:rPr>
        <w:t>Medicines meeting end-of-life criteria accepted</w:t>
      </w:r>
      <w:r>
        <w:rPr>
          <w:u w:val="single"/>
        </w:rPr>
        <w:t xml:space="preserve"> beyond this threshold</w:t>
      </w:r>
      <w:r>
        <w:rPr>
          <w:sz w:val="16"/>
          <w:szCs w:val="16"/>
        </w:rPr>
        <w:t xml:space="preserve"> [12] Evidence suggests between £20,000 and £30,000, not fixed [43, 52] </w:t>
      </w:r>
    </w:p>
    <w:p w14:paraId="00000008" w14:textId="77777777" w:rsidR="005773C2" w:rsidRDefault="005773C2"/>
    <w:p w14:paraId="00000009" w14:textId="77777777" w:rsidR="005773C2" w:rsidRDefault="004603E4">
      <w:pPr>
        <w:rPr>
          <w:b/>
          <w:sz w:val="26"/>
          <w:szCs w:val="26"/>
        </w:rPr>
      </w:pPr>
      <w:r>
        <w:rPr>
          <w:b/>
          <w:sz w:val="26"/>
          <w:szCs w:val="26"/>
        </w:rPr>
        <w:t>Standards:</w:t>
      </w:r>
    </w:p>
    <w:p w14:paraId="0000000A" w14:textId="77777777" w:rsidR="005773C2" w:rsidRDefault="004603E4">
      <w:pPr>
        <w:numPr>
          <w:ilvl w:val="0"/>
          <w:numId w:val="2"/>
        </w:numPr>
        <w:rPr>
          <w:b/>
          <w:sz w:val="26"/>
          <w:szCs w:val="26"/>
        </w:rPr>
      </w:pPr>
      <w:r>
        <w:rPr>
          <w:b/>
          <w:sz w:val="26"/>
          <w:szCs w:val="26"/>
        </w:rPr>
        <w:t>Strat Skew and Clash - 1ar’s can skirt clash and moot neg ground by no linking medicine specific disads or pics and making the normal means debate late breaking e.g. no vaccine diplomacy since vaccines being medicines is ambiguous or ayurveda pic if you don’t defend the field of medicine.</w:t>
      </w:r>
    </w:p>
    <w:p w14:paraId="0000000B" w14:textId="77777777" w:rsidR="005773C2" w:rsidRDefault="004603E4">
      <w:pPr>
        <w:numPr>
          <w:ilvl w:val="0"/>
          <w:numId w:val="2"/>
        </w:numPr>
        <w:rPr>
          <w:b/>
          <w:sz w:val="26"/>
          <w:szCs w:val="26"/>
        </w:rPr>
      </w:pPr>
      <w:r>
        <w:rPr>
          <w:b/>
          <w:sz w:val="26"/>
          <w:szCs w:val="26"/>
        </w:rPr>
        <w:t>Resolvability - judges can’t know who to vote for if they don’t understand what each side is defending which also denies negs to make rigorous and nuanced strategies. Outweighs - all arguments presume you can resolve them</w:t>
      </w:r>
    </w:p>
    <w:p w14:paraId="0000000C" w14:textId="77777777" w:rsidR="005773C2" w:rsidRDefault="004603E4">
      <w:pPr>
        <w:numPr>
          <w:ilvl w:val="0"/>
          <w:numId w:val="2"/>
        </w:numPr>
        <w:rPr>
          <w:b/>
          <w:sz w:val="26"/>
          <w:szCs w:val="26"/>
        </w:rPr>
      </w:pPr>
      <w:r>
        <w:rPr>
          <w:b/>
          <w:sz w:val="26"/>
          <w:szCs w:val="26"/>
        </w:rPr>
        <w:t>Worst case neg on presumption - policies inevitably fail if policymakers can’t hash out the specifics - our ev empirically proves</w:t>
      </w:r>
    </w:p>
    <w:p w14:paraId="0000000D" w14:textId="77777777" w:rsidR="005773C2" w:rsidRDefault="005773C2">
      <w:pPr>
        <w:rPr>
          <w:b/>
          <w:sz w:val="26"/>
          <w:szCs w:val="26"/>
        </w:rPr>
      </w:pPr>
    </w:p>
    <w:p w14:paraId="0000000E" w14:textId="77777777" w:rsidR="005773C2" w:rsidRDefault="004603E4">
      <w:pPr>
        <w:rPr>
          <w:b/>
          <w:sz w:val="26"/>
          <w:szCs w:val="26"/>
        </w:rPr>
      </w:pPr>
      <w:r>
        <w:rPr>
          <w:b/>
          <w:sz w:val="26"/>
          <w:szCs w:val="26"/>
        </w:rPr>
        <w:t xml:space="preserve">Cx doesn’t check - a] prep skew - we were forced to prep a 1NC that hedges around the potential of you not speccing and had to prep multiple case negs b] incentivizes infinite abuse and hope you don’t get called out since its no risk if we ask you and you </w:t>
      </w:r>
      <w:r>
        <w:rPr>
          <w:b/>
          <w:sz w:val="26"/>
          <w:szCs w:val="26"/>
        </w:rPr>
        <w:lastRenderedPageBreak/>
        <w:t>can strategically not meet then get extra time in cx to prep the shell since we asked c] non verifiable since judges don’t flow it d] no brightline to what constitutes a check</w:t>
      </w:r>
    </w:p>
    <w:p w14:paraId="0000000F" w14:textId="77777777" w:rsidR="005773C2" w:rsidRDefault="005773C2">
      <w:pPr>
        <w:rPr>
          <w:b/>
          <w:sz w:val="26"/>
          <w:szCs w:val="26"/>
        </w:rPr>
      </w:pPr>
    </w:p>
    <w:p w14:paraId="00000010" w14:textId="77777777" w:rsidR="005773C2" w:rsidRDefault="004603E4">
      <w:r>
        <w:rPr>
          <w:b/>
          <w:sz w:val="26"/>
          <w:szCs w:val="26"/>
        </w:rPr>
        <w:t>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 Evaluate the theory debate after the 2n so both of us get 2 speeches and its reciprocal. Neg theory outweighs - we were reactive and had to compensate the abuse you inflicted on us and the abuse came from the 1ac so outweighs on magnitude and probability since it affected more speeches and u had more time to respond so its more likely to be true</w:t>
      </w:r>
      <w:r>
        <w:rPr>
          <w:b/>
          <w:sz w:val="28"/>
          <w:szCs w:val="28"/>
        </w:rPr>
        <w:t xml:space="preserve">. </w:t>
      </w:r>
      <w:r>
        <w:rPr>
          <w:b/>
          <w:sz w:val="26"/>
          <w:szCs w:val="26"/>
        </w:rPr>
        <w:t>No weighing case a) theory controls our ability to engage in it b) the K presumes its evaluated fairly making theory a side constraint c) you don’t actually solve cap and can do it anywhere but you can rectify skews which is irreversible</w:t>
      </w:r>
    </w:p>
    <w:p w14:paraId="00000011" w14:textId="77777777" w:rsidR="005773C2" w:rsidRDefault="004603E4">
      <w:r>
        <w:br w:type="page"/>
      </w:r>
    </w:p>
    <w:p w14:paraId="00000012" w14:textId="77777777" w:rsidR="005773C2" w:rsidRDefault="004603E4">
      <w:pPr>
        <w:pStyle w:val="Heading2"/>
      </w:pPr>
      <w:bookmarkStart w:id="2" w:name="_oobpcjg5uesf" w:colFirst="0" w:colLast="0"/>
      <w:bookmarkEnd w:id="2"/>
      <w:r>
        <w:lastRenderedPageBreak/>
        <w:t>2</w:t>
      </w:r>
    </w:p>
    <w:p w14:paraId="00000013" w14:textId="77777777" w:rsidR="005773C2" w:rsidRDefault="004603E4">
      <w:pPr>
        <w:widowControl w:val="0"/>
        <w:rPr>
          <w:b/>
          <w:sz w:val="26"/>
          <w:szCs w:val="26"/>
          <w:u w:val="single"/>
        </w:rPr>
      </w:pPr>
      <w:r>
        <w:rPr>
          <w:b/>
          <w:sz w:val="26"/>
          <w:szCs w:val="26"/>
          <w:u w:val="single"/>
        </w:rPr>
        <w:t>CP:</w:t>
      </w:r>
    </w:p>
    <w:p w14:paraId="00000014" w14:textId="77777777" w:rsidR="005773C2" w:rsidRDefault="004603E4">
      <w:pPr>
        <w:widowControl w:val="0"/>
        <w:numPr>
          <w:ilvl w:val="0"/>
          <w:numId w:val="1"/>
        </w:numPr>
        <w:rPr>
          <w:b/>
          <w:sz w:val="26"/>
          <w:szCs w:val="26"/>
        </w:rPr>
      </w:pPr>
      <w:r>
        <w:rPr>
          <w:b/>
          <w:sz w:val="26"/>
          <w:szCs w:val="26"/>
          <w:u w:val="single"/>
        </w:rPr>
        <w:t>The World Trade Organization should be abolished</w:t>
      </w:r>
    </w:p>
    <w:p w14:paraId="00000015" w14:textId="77777777" w:rsidR="005773C2" w:rsidRDefault="004603E4">
      <w:pPr>
        <w:widowControl w:val="0"/>
        <w:numPr>
          <w:ilvl w:val="0"/>
          <w:numId w:val="1"/>
        </w:numPr>
        <w:rPr>
          <w:b/>
          <w:sz w:val="26"/>
          <w:szCs w:val="26"/>
        </w:rPr>
      </w:pPr>
      <w:r>
        <w:rPr>
          <w:b/>
          <w:sz w:val="26"/>
          <w:szCs w:val="26"/>
          <w:u w:val="single"/>
        </w:rPr>
        <w:t>The originally member nations of the World Trade Organization should independently and without influence from international government reduce intellectual property protections on medicines</w:t>
      </w:r>
    </w:p>
    <w:p w14:paraId="00000016" w14:textId="77777777" w:rsidR="005773C2" w:rsidRDefault="004603E4">
      <w:pPr>
        <w:widowControl w:val="0"/>
      </w:pPr>
      <w:r>
        <w:rPr>
          <w:b/>
          <w:sz w:val="26"/>
          <w:szCs w:val="26"/>
        </w:rPr>
        <w:t>Hawley</w:t>
      </w:r>
      <w:r>
        <w:t xml:space="preserve">, senator, JD Yale, </w:t>
      </w:r>
      <w:r>
        <w:rPr>
          <w:b/>
          <w:sz w:val="26"/>
          <w:szCs w:val="26"/>
        </w:rPr>
        <w:t>20</w:t>
      </w:r>
      <w:r>
        <w:t xml:space="preserve"> (Josh, 5-5, </w:t>
      </w:r>
      <w:hyperlink r:id="rId6">
        <w:r>
          <w:rPr>
            <w:color w:val="1155CC"/>
            <w:u w:val="single"/>
          </w:rPr>
          <w:t>https://www.nytimes.com/2020/05/05/opinion/hawley-abolish-wto-china.html</w:t>
        </w:r>
      </w:hyperlink>
      <w:r>
        <w:t>)</w:t>
      </w:r>
    </w:p>
    <w:p w14:paraId="00000017" w14:textId="77777777" w:rsidR="005773C2" w:rsidRDefault="004603E4">
      <w:pPr>
        <w:widowControl w:val="0"/>
        <w:rPr>
          <w:u w:val="single"/>
        </w:rPr>
      </w:pPr>
      <w:r>
        <w:rPr>
          <w:sz w:val="16"/>
          <w:szCs w:val="16"/>
        </w:rPr>
        <w:t>The coronavirus emergency is not only a public health crisis. With</w:t>
      </w:r>
      <w:hyperlink r:id="rId7">
        <w:r>
          <w:rPr>
            <w:sz w:val="16"/>
            <w:szCs w:val="16"/>
          </w:rPr>
          <w:t xml:space="preserve"> </w:t>
        </w:r>
      </w:hyperlink>
      <w:hyperlink r:id="rId8">
        <w:r>
          <w:rPr>
            <w:color w:val="1155CC"/>
            <w:u w:val="single"/>
          </w:rPr>
          <w:t>30 million Americans unemployed</w:t>
        </w:r>
      </w:hyperlink>
      <w:r>
        <w:rPr>
          <w:sz w:val="16"/>
          <w:szCs w:val="16"/>
        </w:rPr>
        <w:t xml:space="preserve">, it is also an economic crisis. And it has exposed a hard truth about the modern global economy: it weakens American workers and has empowered China’s rise. That must change. </w:t>
      </w:r>
      <w:r>
        <w:rPr>
          <w:highlight w:val="cyan"/>
          <w:u w:val="single"/>
        </w:rPr>
        <w:t>The global economic system</w:t>
      </w:r>
      <w:r>
        <w:rPr>
          <w:sz w:val="16"/>
          <w:szCs w:val="16"/>
        </w:rPr>
        <w:t xml:space="preserve"> as we know it is a relic; it </w:t>
      </w:r>
      <w:r>
        <w:rPr>
          <w:highlight w:val="cyan"/>
          <w:u w:val="single"/>
        </w:rPr>
        <w:t>requires reform</w:t>
      </w:r>
      <w:r>
        <w:rPr>
          <w:u w:val="single"/>
        </w:rPr>
        <w:t>, top to bottom</w:t>
      </w:r>
      <w:r>
        <w:rPr>
          <w:sz w:val="16"/>
          <w:szCs w:val="16"/>
        </w:rPr>
        <w:t xml:space="preserve">. </w:t>
      </w:r>
      <w:r>
        <w:rPr>
          <w:u w:val="single"/>
        </w:rPr>
        <w:t xml:space="preserve">We should </w:t>
      </w:r>
      <w:r>
        <w:rPr>
          <w:highlight w:val="cyan"/>
          <w:u w:val="single"/>
        </w:rPr>
        <w:t>begin with</w:t>
      </w:r>
      <w:r>
        <w:rPr>
          <w:u w:val="single"/>
        </w:rPr>
        <w:t xml:space="preserve"> one of its leading institutions, </w:t>
      </w:r>
      <w:r>
        <w:rPr>
          <w:highlight w:val="cyan"/>
          <w:u w:val="single"/>
        </w:rPr>
        <w:t>the W</w:t>
      </w:r>
      <w:r>
        <w:rPr>
          <w:u w:val="single"/>
        </w:rPr>
        <w:t xml:space="preserve">orld </w:t>
      </w:r>
      <w:r>
        <w:rPr>
          <w:highlight w:val="cyan"/>
          <w:u w:val="single"/>
        </w:rPr>
        <w:t>T</w:t>
      </w:r>
      <w:r>
        <w:rPr>
          <w:u w:val="single"/>
        </w:rPr>
        <w:t xml:space="preserve">rade </w:t>
      </w:r>
      <w:r>
        <w:rPr>
          <w:highlight w:val="cyan"/>
          <w:u w:val="single"/>
        </w:rPr>
        <w:t>O</w:t>
      </w:r>
      <w:r>
        <w:rPr>
          <w:u w:val="single"/>
        </w:rPr>
        <w:t xml:space="preserve">rganization. We should </w:t>
      </w:r>
      <w:r>
        <w:rPr>
          <w:highlight w:val="cyan"/>
          <w:u w:val="single"/>
        </w:rPr>
        <w:t>abolish it</w:t>
      </w:r>
      <w:r>
        <w:rPr>
          <w:u w:val="single"/>
        </w:rPr>
        <w:t>.</w:t>
      </w:r>
    </w:p>
    <w:p w14:paraId="00000018" w14:textId="77777777" w:rsidR="005773C2" w:rsidRDefault="005773C2">
      <w:pPr>
        <w:widowControl w:val="0"/>
      </w:pPr>
    </w:p>
    <w:p w14:paraId="00000019" w14:textId="77777777" w:rsidR="005773C2" w:rsidRDefault="004603E4">
      <w:pPr>
        <w:widowControl w:val="0"/>
        <w:rPr>
          <w:b/>
          <w:sz w:val="26"/>
          <w:szCs w:val="26"/>
        </w:rPr>
      </w:pPr>
      <w:r>
        <w:rPr>
          <w:b/>
          <w:sz w:val="26"/>
          <w:szCs w:val="26"/>
        </w:rPr>
        <w:t>Agreements under the WTO are self serving and inherently neoliberal - doing the plan independently is necessary</w:t>
      </w:r>
    </w:p>
    <w:p w14:paraId="0000001A" w14:textId="77777777" w:rsidR="005773C2" w:rsidRDefault="004603E4">
      <w:pPr>
        <w:widowControl w:val="0"/>
      </w:pPr>
      <w:r>
        <w:rPr>
          <w:b/>
          <w:sz w:val="26"/>
          <w:szCs w:val="26"/>
        </w:rPr>
        <w:t>Fukuda 10</w:t>
      </w:r>
      <w:r>
        <w:t xml:space="preserve"> [Fukuda, Yasuo. "WTO regime as a new stage of imperialism: Decaying capitalism and its alternative." World Review of Political Economy 1.3 (2010): 485. //MSJ SB]</w:t>
      </w:r>
    </w:p>
    <w:p w14:paraId="0000001B" w14:textId="77777777" w:rsidR="005773C2" w:rsidRDefault="004603E4">
      <w:pPr>
        <w:widowControl w:val="0"/>
        <w:rPr>
          <w:b/>
          <w:sz w:val="26"/>
          <w:szCs w:val="26"/>
        </w:rPr>
      </w:pPr>
      <w:r>
        <w:rPr>
          <w:u w:val="single"/>
        </w:rPr>
        <w:t>The objectives of the World Trade Organization (WTO) regime are to liberalize trade in goods and services and force developing countries to introduce neo-liberal policies.</w:t>
      </w:r>
      <w:r>
        <w:rPr>
          <w:sz w:val="16"/>
          <w:szCs w:val="16"/>
        </w:rPr>
        <w:t xml:space="preserve"> The purpose is to advance deregulation, privatization,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Multinational corporations as monopoly capital reap most of the benefits of the “flat” world economy. </w:t>
      </w:r>
      <w:r>
        <w:rPr>
          <w:highlight w:val="cyan"/>
          <w:u w:val="single"/>
        </w:rPr>
        <w:t>WTO Agreements</w:t>
      </w:r>
      <w:r>
        <w:rPr>
          <w:u w:val="single"/>
        </w:rPr>
        <w:t xml:space="preserve"> have </w:t>
      </w:r>
      <w:r>
        <w:rPr>
          <w:highlight w:val="cyan"/>
          <w:u w:val="single"/>
        </w:rPr>
        <w:t xml:space="preserve">ushered </w:t>
      </w:r>
      <w:r>
        <w:rPr>
          <w:u w:val="single"/>
        </w:rPr>
        <w:t xml:space="preserve">in </w:t>
      </w:r>
      <w:r>
        <w:rPr>
          <w:highlight w:val="cyan"/>
          <w:u w:val="single"/>
        </w:rPr>
        <w:t>a new era of corporate globalization</w:t>
      </w:r>
      <w:r>
        <w:rPr>
          <w:u w:val="single"/>
        </w:rPr>
        <w:t>.</w:t>
      </w:r>
      <w:r>
        <w:rPr>
          <w:sz w:val="16"/>
          <w:szCs w:val="16"/>
        </w:rPr>
        <w:t xml:space="preserve"> The aim of this article is to show that corporate globalization represents a new stage of imperialism, whereby monopoly capital not only controls the world market, but writes the market rules as well. This new form of imperialism is nothing less than a decaying stage of capitalism in which, quite apart from people being guaranteed the chance to lead happy and stable lives, the very potential for doing so is undermined and destroyed. Finally, principles of localization are presented as an alternative to corporate globalization.</w:t>
      </w:r>
      <w:r>
        <w:rPr>
          <w:u w:val="single"/>
        </w:rPr>
        <w:t>Looking at contemporary capitalism from the viewpoint of Lenin’s “Imperialism,” it is clear that four of the five pillars (excepting the fifth) are still applicable to capitalism under the WTO regime</w:t>
      </w:r>
      <w:r>
        <w:rPr>
          <w:sz w:val="16"/>
          <w:szCs w:val="16"/>
        </w:rPr>
        <w:t xml:space="preserve">. First, </w:t>
      </w:r>
      <w:r>
        <w:rPr>
          <w:highlight w:val="cyan"/>
          <w:u w:val="single"/>
        </w:rPr>
        <w:t>a small number of multinational</w:t>
      </w:r>
      <w:r>
        <w:rPr>
          <w:u w:val="single"/>
        </w:rPr>
        <w:t xml:space="preserve"> </w:t>
      </w:r>
      <w:r>
        <w:rPr>
          <w:highlight w:val="cyan"/>
          <w:u w:val="single"/>
        </w:rPr>
        <w:t>corporations</w:t>
      </w:r>
      <w:r>
        <w:rPr>
          <w:u w:val="single"/>
        </w:rPr>
        <w:t xml:space="preserve"> typically </w:t>
      </w:r>
      <w:r>
        <w:rPr>
          <w:highlight w:val="cyan"/>
          <w:u w:val="single"/>
        </w:rPr>
        <w:t xml:space="preserve">control more than half the market-share </w:t>
      </w:r>
      <w:r>
        <w:rPr>
          <w:u w:val="single"/>
        </w:rPr>
        <w:t xml:space="preserve">of major industries. </w:t>
      </w:r>
      <w:r>
        <w:rPr>
          <w:sz w:val="16"/>
          <w:szCs w:val="16"/>
        </w:rPr>
        <w:t xml:space="preserve">For example, </w:t>
      </w:r>
      <w:r>
        <w:rPr>
          <w:u w:val="single"/>
        </w:rPr>
        <w:t>in the commercial seed market, the world’s top three corporations (Monsanto, DuPont, and Syngenta of Switzerland) control almost half of the world market</w:t>
      </w:r>
      <w:r>
        <w:rPr>
          <w:sz w:val="16"/>
          <w:szCs w:val="16"/>
        </w:rPr>
        <w:t xml:space="preserve">. Cargill, along with its top four competitors, handle 85 percent of world grain trade. </w:t>
      </w:r>
      <w:r>
        <w:rPr>
          <w:u w:val="single"/>
        </w:rPr>
        <w:t>In the pharmaceutical industry, the top ten corporations hold a combined 54.8 percent share of the world market (ETC Group 2008</w:t>
      </w:r>
      <w:r>
        <w:rPr>
          <w:sz w:val="16"/>
          <w:szCs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Second, </w:t>
      </w:r>
      <w:r>
        <w:rPr>
          <w:u w:val="single"/>
        </w:rPr>
        <w:t xml:space="preserve">industrial and financial monopoly capital establish political action groups as a means </w:t>
      </w:r>
      <w:r>
        <w:rPr>
          <w:highlight w:val="cyan"/>
          <w:u w:val="single"/>
        </w:rPr>
        <w:t>to advance</w:t>
      </w:r>
      <w:r>
        <w:rPr>
          <w:u w:val="single"/>
        </w:rPr>
        <w:t xml:space="preserve"> common </w:t>
      </w:r>
      <w:r>
        <w:rPr>
          <w:highlight w:val="cyan"/>
          <w:u w:val="single"/>
        </w:rPr>
        <w:t>political goals.</w:t>
      </w:r>
      <w:r>
        <w:rPr>
          <w:u w:val="single"/>
        </w:rPr>
        <w:t xml:space="preserve"> The negotiation of the General Agreement on Trade in Services (GATS) represents a typical example of this sort of collusion between major companies of both the industrial and financial spheres. </w:t>
      </w:r>
      <w:r>
        <w:rPr>
          <w:sz w:val="16"/>
          <w:szCs w:val="16"/>
        </w:rPr>
        <w:t xml:space="preserve">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 ends. Second, </w:t>
      </w:r>
      <w:r>
        <w:rPr>
          <w:u w:val="single"/>
        </w:rPr>
        <w:t xml:space="preserve">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w:t>
      </w:r>
      <w:r>
        <w:rPr>
          <w:u w:val="single"/>
        </w:rPr>
        <w:lastRenderedPageBreak/>
        <w:t xml:space="preserve">negotiations </w:t>
      </w:r>
      <w:r>
        <w:rPr>
          <w:sz w:val="16"/>
          <w:szCs w:val="16"/>
        </w:rPr>
        <w:t>(Balanyá et al. 2003</w:t>
      </w:r>
      <w:r>
        <w:rPr>
          <w:u w:val="single"/>
        </w:rPr>
        <w:t xml:space="preserve">). </w:t>
      </w:r>
      <w:r>
        <w:rPr>
          <w:highlight w:val="cyan"/>
          <w:u w:val="single"/>
        </w:rPr>
        <w:t>In</w:t>
      </w:r>
      <w:r>
        <w:rPr>
          <w:u w:val="single"/>
        </w:rPr>
        <w:t xml:space="preserve"> the case of the negotiations for the agreement on Trade-Related Aspects of Intellectual Property Rights (</w:t>
      </w:r>
      <w:r>
        <w:rPr>
          <w:highlight w:val="cyan"/>
          <w:u w:val="single"/>
        </w:rPr>
        <w:t>TRIPS</w:t>
      </w:r>
      <w:r>
        <w:rPr>
          <w:u w:val="single"/>
        </w:rPr>
        <w:t>), it was the US Intellectual Property Committee (</w:t>
      </w:r>
      <w:r>
        <w:rPr>
          <w:highlight w:val="cyan"/>
          <w:u w:val="single"/>
        </w:rPr>
        <w:t>USIPC</w:t>
      </w:r>
      <w:r>
        <w:rPr>
          <w:u w:val="single"/>
        </w:rPr>
        <w:t xml:space="preserve">), a US business group, which </w:t>
      </w:r>
      <w:r>
        <w:rPr>
          <w:highlight w:val="cyan"/>
          <w:u w:val="single"/>
        </w:rPr>
        <w:t>wrote the</w:t>
      </w:r>
      <w:r>
        <w:rPr>
          <w:u w:val="single"/>
        </w:rPr>
        <w:t xml:space="preserve"> initial </w:t>
      </w:r>
      <w:r>
        <w:rPr>
          <w:highlight w:val="cyan"/>
          <w:u w:val="single"/>
        </w:rPr>
        <w:t>draft</w:t>
      </w:r>
      <w:r>
        <w:rPr>
          <w:u w:val="single"/>
        </w:rPr>
        <w:t>, at the request of the US Trade Representative</w:t>
      </w:r>
      <w:r>
        <w:rPr>
          <w:sz w:val="16"/>
          <w:szCs w:val="16"/>
        </w:rPr>
        <w:t xml:space="preserve"> (Weissman 1996). Those party to the USIPC include Monsanto, Pfizer, DuPont, and IBM. Market and trade rules amount to a form of infrastructure vis-à-vis the markets. </w:t>
      </w:r>
      <w:r>
        <w:rPr>
          <w:u w:val="single"/>
        </w:rPr>
        <w:t xml:space="preserve">The body which decides the rules of trade has a considerable advantage over other stakeholders. Under the current setting, it is large multinationals, especially the </w:t>
      </w:r>
      <w:r>
        <w:rPr>
          <w:highlight w:val="cyan"/>
          <w:u w:val="single"/>
        </w:rPr>
        <w:t>agents of US monopoly capital</w:t>
      </w:r>
      <w:r>
        <w:rPr>
          <w:u w:val="single"/>
        </w:rPr>
        <w:t xml:space="preserve">, which </w:t>
      </w:r>
      <w:r>
        <w:rPr>
          <w:highlight w:val="cyan"/>
          <w:u w:val="single"/>
        </w:rPr>
        <w:t>control</w:t>
      </w:r>
      <w:r>
        <w:rPr>
          <w:u w:val="single"/>
        </w:rPr>
        <w:t xml:space="preserve"> the </w:t>
      </w:r>
      <w:r>
        <w:rPr>
          <w:highlight w:val="cyan"/>
          <w:u w:val="single"/>
        </w:rPr>
        <w:t>rules of trade</w:t>
      </w:r>
      <w:r>
        <w:rPr>
          <w:u w:val="single"/>
        </w:rPr>
        <w:t xml:space="preserve">, specifically </w:t>
      </w:r>
      <w:r>
        <w:rPr>
          <w:highlight w:val="cyan"/>
          <w:u w:val="single"/>
        </w:rPr>
        <w:t xml:space="preserve">through cozy relationships </w:t>
      </w:r>
      <w:r>
        <w:rPr>
          <w:u w:val="single"/>
        </w:rPr>
        <w:t>with the US government.</w:t>
      </w:r>
      <w:r>
        <w:rPr>
          <w:sz w:val="16"/>
          <w:szCs w:val="16"/>
        </w:rPr>
        <w:t xml:space="preserve"> Therefore, it is the governance of trade rules which most distinguishes modern capitalism from the imperialist systems of the early 20th century. </w:t>
      </w:r>
      <w:r>
        <w:rPr>
          <w:u w:val="single"/>
        </w:rPr>
        <w:t xml:space="preserve">Thus, the </w:t>
      </w:r>
      <w:r>
        <w:rPr>
          <w:highlight w:val="cyan"/>
          <w:u w:val="single"/>
        </w:rPr>
        <w:t xml:space="preserve">WTO regime is </w:t>
      </w:r>
      <w:r>
        <w:rPr>
          <w:u w:val="single"/>
        </w:rPr>
        <w:t xml:space="preserve">nothing short of </w:t>
      </w:r>
      <w:r>
        <w:rPr>
          <w:highlight w:val="cyan"/>
          <w:u w:val="single"/>
        </w:rPr>
        <w:t>a regime of imperialism</w:t>
      </w:r>
      <w:r>
        <w:rPr>
          <w:u w:val="single"/>
        </w:rPr>
        <w:t xml:space="preserve">, whereby </w:t>
      </w:r>
      <w:r>
        <w:rPr>
          <w:highlight w:val="cyan"/>
          <w:u w:val="single"/>
        </w:rPr>
        <w:t>monopoly capital exercises governing power over</w:t>
      </w:r>
      <w:r>
        <w:rPr>
          <w:u w:val="single"/>
        </w:rPr>
        <w:t xml:space="preserve"> both national markets and the </w:t>
      </w:r>
      <w:r>
        <w:rPr>
          <w:highlight w:val="cyan"/>
          <w:u w:val="single"/>
        </w:rPr>
        <w:t>world economy</w:t>
      </w:r>
      <w:r>
        <w:rPr>
          <w:u w:val="single"/>
        </w:rPr>
        <w:t>.</w:t>
      </w:r>
      <w:r>
        <w:rPr>
          <w:sz w:val="16"/>
          <w:szCs w:val="16"/>
        </w:rPr>
        <w:t xml:space="preserve"> Whereas </w:t>
      </w:r>
      <w:r>
        <w:rPr>
          <w:u w:val="single"/>
        </w:rPr>
        <w:t>the first four of the five pillars by which Lenin defined imperialism still apply under the WTO regime</w:t>
      </w:r>
      <w:r>
        <w:rPr>
          <w:sz w:val="16"/>
          <w:szCs w:val="16"/>
        </w:rPr>
        <w:t xml:space="preserve">, in place of the fifth (colonization), </w:t>
      </w:r>
      <w:r>
        <w:rPr>
          <w:u w:val="single"/>
        </w:rPr>
        <w:t>monopoly capital has gained new tools of dominance, most specifically the ability to design market rules.</w:t>
      </w:r>
      <w:r>
        <w:rPr>
          <w:sz w:val="16"/>
          <w:szCs w:val="16"/>
        </w:rPr>
        <w:t xml:space="preserve">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w:t>
      </w:r>
      <w:r>
        <w:rPr>
          <w:u w:val="single"/>
        </w:rPr>
        <w:t>, the WTO regime constitutes a new stage of imperialism, in which monopoly capital holds hegemony over market rules in place of colonization. The WTO regime was devised under the initiatives of monopoly capital as a means to promote corporate globalization.</w:t>
      </w:r>
      <w:r>
        <w:rPr>
          <w:sz w:val="16"/>
          <w:szCs w:val="16"/>
        </w:rPr>
        <w:t xml:space="preserve">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r>
        <w:rPr>
          <w:u w:val="single"/>
        </w:rPr>
        <w:t xml:space="preserve">. The IMF and the World Bank have occupied a central role in bringing developing countries into the fold of corporate globalization. Since the 1980s, under the IMF’s Structural Adjustment Program (SAP), more than 100 developing countries have been forced to adopt “open door” policies with respect to investment and trade </w:t>
      </w:r>
      <w:r>
        <w:rPr>
          <w:sz w:val="16"/>
          <w:szCs w:val="16"/>
        </w:rPr>
        <w:t xml:space="preserve">(Chossudovsky 1997, 1998). </w:t>
      </w:r>
      <w:r>
        <w:rPr>
          <w:u w:val="single"/>
        </w:rPr>
        <w:t xml:space="preserve">Once the door has been pried open, large multinational </w:t>
      </w:r>
      <w:r>
        <w:rPr>
          <w:highlight w:val="cyan"/>
          <w:u w:val="single"/>
        </w:rPr>
        <w:t>firms</w:t>
      </w:r>
      <w:r>
        <w:rPr>
          <w:u w:val="single"/>
        </w:rPr>
        <w:t xml:space="preserve">—for instance, the major players of agribusiness and infra-business—are quick to </w:t>
      </w:r>
      <w:r>
        <w:rPr>
          <w:highlight w:val="cyan"/>
          <w:u w:val="single"/>
        </w:rPr>
        <w:t>extend their</w:t>
      </w:r>
      <w:r>
        <w:rPr>
          <w:u w:val="single"/>
        </w:rPr>
        <w:t xml:space="preserve"> </w:t>
      </w:r>
      <w:r>
        <w:rPr>
          <w:highlight w:val="cyan"/>
          <w:u w:val="single"/>
        </w:rPr>
        <w:t>reach into</w:t>
      </w:r>
      <w:r>
        <w:rPr>
          <w:u w:val="single"/>
        </w:rPr>
        <w:t xml:space="preserve"> the </w:t>
      </w:r>
      <w:r>
        <w:rPr>
          <w:highlight w:val="cyan"/>
          <w:u w:val="single"/>
        </w:rPr>
        <w:t>newly available markets</w:t>
      </w:r>
      <w:r>
        <w:rPr>
          <w:sz w:val="16"/>
          <w:szCs w:val="16"/>
        </w:rPr>
        <w:t xml:space="preserve">. As a result, </w:t>
      </w:r>
      <w:r>
        <w:rPr>
          <w:u w:val="single"/>
        </w:rPr>
        <w:t>considerable damage results to the people of developing countries through</w:t>
      </w:r>
      <w:r>
        <w:rPr>
          <w:sz w:val="16"/>
          <w:szCs w:val="16"/>
        </w:rPr>
        <w:t xml:space="preserve">, for example, loss of traditional industries like family farming and the privatization of hitherto public resources such as community water supplies. After the 1997 East Asian financial crisis, the IMF met with severe criticism for imposing neo-liberal based readjustment regimes on the afflicted countries. </w:t>
      </w:r>
      <w:r>
        <w:rPr>
          <w:u w:val="single"/>
        </w:rPr>
        <w:t>Nevertheless, the IMF has continued to adhere to a neo-liberal approach with respect to the global recession which is currently underway following the collapse of the housing bubble in 2008</w:t>
      </w:r>
      <w:r>
        <w:rPr>
          <w:sz w:val="16"/>
          <w:szCs w:val="16"/>
        </w:rPr>
        <w:t xml:space="preserve"> (Weisbrot et al. 2009). </w:t>
      </w:r>
      <w:r>
        <w:rPr>
          <w:u w:val="single"/>
        </w:rPr>
        <w:t xml:space="preserve">The IMF’s Structural Adjustment Program was formulated as global rules by WTO agreements. Thus, </w:t>
      </w:r>
      <w:r>
        <w:rPr>
          <w:highlight w:val="cyan"/>
          <w:u w:val="single"/>
        </w:rPr>
        <w:t>neo-liberalism has become the predominant feature with respect to international</w:t>
      </w:r>
      <w:r>
        <w:rPr>
          <w:u w:val="single"/>
        </w:rPr>
        <w:t xml:space="preserve"> rules on </w:t>
      </w:r>
      <w:r>
        <w:rPr>
          <w:highlight w:val="cyan"/>
          <w:u w:val="single"/>
        </w:rPr>
        <w:t>trade</w:t>
      </w:r>
      <w:r>
        <w:rPr>
          <w:u w:val="single"/>
        </w:rPr>
        <w:t xml:space="preserve">. </w:t>
      </w:r>
      <w:r>
        <w:rPr>
          <w:sz w:val="16"/>
          <w:szCs w:val="16"/>
        </w:rPr>
        <w:t>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Deprived of this policy space, developing countries are easily brought under the governance of monopoly capital</w:t>
      </w:r>
    </w:p>
    <w:p w14:paraId="0000001C" w14:textId="77777777" w:rsidR="005773C2" w:rsidRDefault="004603E4">
      <w:r>
        <w:br w:type="page"/>
      </w:r>
    </w:p>
    <w:p w14:paraId="0000001D" w14:textId="77777777" w:rsidR="005773C2" w:rsidRDefault="004603E4">
      <w:pPr>
        <w:pStyle w:val="Heading2"/>
      </w:pPr>
      <w:bookmarkStart w:id="3" w:name="_xqmiprgzjyzh" w:colFirst="0" w:colLast="0"/>
      <w:bookmarkEnd w:id="3"/>
      <w:r>
        <w:lastRenderedPageBreak/>
        <w:t>3</w:t>
      </w:r>
    </w:p>
    <w:p w14:paraId="0000001E" w14:textId="77777777" w:rsidR="005773C2" w:rsidRDefault="004603E4">
      <w:pPr>
        <w:rPr>
          <w:b/>
          <w:sz w:val="26"/>
          <w:szCs w:val="26"/>
          <w:u w:val="single"/>
        </w:rPr>
      </w:pPr>
      <w:r>
        <w:rPr>
          <w:b/>
          <w:sz w:val="26"/>
          <w:szCs w:val="26"/>
          <w:u w:val="single"/>
        </w:rPr>
        <w:t>CP: The member nations of the World Trade Organization ought to reduce all intellectual property protections for medicines except for those filed by indigenous nations, for which all ownership ought to be transferred to the indigenous communities that originally developed the medicine.</w:t>
      </w:r>
    </w:p>
    <w:p w14:paraId="0000001F" w14:textId="77777777" w:rsidR="005773C2" w:rsidRDefault="004603E4">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9">
        <w:r>
          <w:rPr>
            <w:color w:val="1155CC"/>
            <w:u w:val="single"/>
          </w:rPr>
          <w:t>https://www.csulb.edu/college-of-business/legal-resource-center/article/the-importance-of-native-american-intellectual</w:t>
        </w:r>
      </w:hyperlink>
      <w:r>
        <w:t xml:space="preserve"> //SR *brackets in text*</w:t>
      </w:r>
    </w:p>
    <w:p w14:paraId="00000020" w14:textId="77777777" w:rsidR="005773C2" w:rsidRDefault="004603E4">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Dalindyebo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Act  (NAGPRA),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in  Westmoreland’s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anyone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resources</w:t>
      </w:r>
      <w:r>
        <w:rPr>
          <w:sz w:val="16"/>
          <w:szCs w:val="16"/>
        </w:rPr>
        <w:t xml:space="preserve">. </w:t>
      </w:r>
    </w:p>
    <w:p w14:paraId="00000021" w14:textId="77777777" w:rsidR="005773C2" w:rsidRDefault="005773C2"/>
    <w:p w14:paraId="00000022" w14:textId="77777777" w:rsidR="005773C2" w:rsidRDefault="004603E4">
      <w:pPr>
        <w:rPr>
          <w:b/>
          <w:sz w:val="26"/>
          <w:szCs w:val="26"/>
        </w:rPr>
      </w:pPr>
      <w:r>
        <w:rPr>
          <w:b/>
          <w:sz w:val="26"/>
          <w:szCs w:val="26"/>
        </w:rPr>
        <w:lastRenderedPageBreak/>
        <w:t>The CP gives indigenous nations resources for self sovereignty and centers discussions around native demands, which better allows for the accessibility of those medicines. Flips their cap offense since removing indigenous patents allows for colonial imperialism and commodifying indigenous culture</w:t>
      </w:r>
    </w:p>
    <w:p w14:paraId="00000023" w14:textId="77777777" w:rsidR="005773C2" w:rsidRDefault="004603E4">
      <w:r>
        <w:t xml:space="preserve">Simon </w:t>
      </w:r>
      <w:r>
        <w:rPr>
          <w:b/>
          <w:sz w:val="26"/>
          <w:szCs w:val="26"/>
        </w:rPr>
        <w:t>Brascoupé and</w:t>
      </w:r>
      <w:r>
        <w:t xml:space="preserve"> Karin </w:t>
      </w:r>
      <w:r>
        <w:rPr>
          <w:b/>
          <w:sz w:val="26"/>
          <w:szCs w:val="26"/>
        </w:rPr>
        <w:t>Endemann</w:t>
      </w:r>
      <w:r>
        <w:t xml:space="preserve">, Fall </w:t>
      </w:r>
      <w:r>
        <w:rPr>
          <w:b/>
          <w:sz w:val="26"/>
          <w:szCs w:val="26"/>
        </w:rPr>
        <w:t>1999</w:t>
      </w:r>
      <w:r>
        <w:t xml:space="preserve">, INTELLECTUAL PROPERTY AND ABORIGINAL PEOPLE: A WORKING PAPER </w:t>
      </w:r>
      <w:hyperlink r:id="rId10">
        <w:r>
          <w:rPr>
            <w:color w:val="1155CC"/>
            <w:u w:val="single"/>
          </w:rPr>
          <w:t>https://www.wipo.int/export/sites/www/tk/en/databases/creative_heritage/docs/ip_aboriginal_people.pdf</w:t>
        </w:r>
      </w:hyperlink>
      <w:r>
        <w:t xml:space="preserve"> //SR</w:t>
      </w:r>
    </w:p>
    <w:p w14:paraId="00000024" w14:textId="77777777" w:rsidR="005773C2" w:rsidRDefault="004603E4">
      <w:pPr>
        <w:rPr>
          <w:sz w:val="24"/>
          <w:szCs w:val="24"/>
        </w:rPr>
      </w:pPr>
      <w:r>
        <w:rPr>
          <w:sz w:val="16"/>
          <w:szCs w:val="16"/>
        </w:rPr>
        <w:t xml:space="preserve">Traditional Knowledge and Intellectual Property The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r>
        <w:rPr>
          <w:sz w:val="16"/>
          <w:szCs w:val="16"/>
        </w:rPr>
        <w:t xml:space="preserve">: !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 xml:space="preserve">Only after a full dialogue will these communities be in a position to determine the best mechanisms to control access to their traditional knowledge, and </w:t>
      </w:r>
      <w:r>
        <w:rPr>
          <w:u w:val="single"/>
        </w:rPr>
        <w:lastRenderedPageBreak/>
        <w:t>what knowledge they want to share with others</w:t>
      </w:r>
      <w:r>
        <w:rPr>
          <w:sz w:val="16"/>
          <w:szCs w:val="16"/>
        </w:rPr>
        <w:t xml:space="preserve">. A number of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develop guidelines to 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00000025" w14:textId="77777777" w:rsidR="005773C2" w:rsidRDefault="004603E4">
      <w:r>
        <w:br w:type="page"/>
      </w:r>
    </w:p>
    <w:p w14:paraId="00000026" w14:textId="77777777" w:rsidR="005773C2" w:rsidRDefault="004603E4">
      <w:pPr>
        <w:pStyle w:val="Heading2"/>
      </w:pPr>
      <w:bookmarkStart w:id="4" w:name="_3fak60z2j7gl" w:colFirst="0" w:colLast="0"/>
      <w:bookmarkEnd w:id="4"/>
      <w:r>
        <w:lastRenderedPageBreak/>
        <w:t>4</w:t>
      </w:r>
    </w:p>
    <w:p w14:paraId="00000027" w14:textId="77777777" w:rsidR="005773C2" w:rsidRDefault="004603E4">
      <w:pPr>
        <w:rPr>
          <w:b/>
          <w:sz w:val="26"/>
          <w:szCs w:val="26"/>
        </w:rPr>
      </w:pPr>
      <w:r>
        <w:rPr>
          <w:b/>
          <w:sz w:val="26"/>
          <w:szCs w:val="26"/>
        </w:rPr>
        <w:t>Interpretation: The affirmative must only defend that one member nation of the WTO ought to reduce intellectual property protections for medicines</w:t>
      </w:r>
    </w:p>
    <w:p w14:paraId="00000028" w14:textId="77777777" w:rsidR="005773C2" w:rsidRDefault="004603E4">
      <w:pPr>
        <w:numPr>
          <w:ilvl w:val="0"/>
          <w:numId w:val="5"/>
        </w:numPr>
        <w:rPr>
          <w:b/>
          <w:sz w:val="26"/>
          <w:szCs w:val="26"/>
        </w:rPr>
      </w:pPr>
      <w:r>
        <w:rPr>
          <w:b/>
          <w:sz w:val="26"/>
          <w:szCs w:val="26"/>
        </w:rPr>
        <w:t>Real World - decisionmakers can only choose from options open to them - an Israeli policymaker can’t control what India does.</w:t>
      </w:r>
    </w:p>
    <w:p w14:paraId="00000029" w14:textId="77777777" w:rsidR="005773C2" w:rsidRDefault="004603E4">
      <w:pPr>
        <w:numPr>
          <w:ilvl w:val="0"/>
          <w:numId w:val="5"/>
        </w:numPr>
        <w:rPr>
          <w:b/>
          <w:sz w:val="26"/>
          <w:szCs w:val="26"/>
        </w:rPr>
      </w:pPr>
      <w:r>
        <w:rPr>
          <w:b/>
          <w:sz w:val="26"/>
          <w:szCs w:val="26"/>
        </w:rPr>
        <w:t>Clash - each country has different politics that can’t be generalized which requires looking on the in depth particularities of individual actors for more nuanced discussions of them - outweighs breadth since different rounds and out of round research expose us to different topics but clash is unique to the process of debating</w:t>
      </w:r>
    </w:p>
    <w:p w14:paraId="0000006D" w14:textId="4EEA4910" w:rsidR="005773C2" w:rsidRPr="0078760C" w:rsidRDefault="004603E4" w:rsidP="0078760C">
      <w:pPr>
        <w:numPr>
          <w:ilvl w:val="0"/>
          <w:numId w:val="5"/>
        </w:numPr>
        <w:rPr>
          <w:b/>
          <w:sz w:val="26"/>
          <w:szCs w:val="26"/>
        </w:rPr>
      </w:pPr>
      <w:r>
        <w:rPr>
          <w:b/>
          <w:sz w:val="26"/>
          <w:szCs w:val="26"/>
        </w:rPr>
        <w:t>Shiftiness - you’ll just shift advocacies throughout the round since you’ll just extend any actor I undercovered which also makes the debate irresolvable since we’ll just go for different actors so there’s no clash.</w:t>
      </w:r>
      <w:bookmarkStart w:id="5" w:name="_aeh4cxge7lsj" w:colFirst="0" w:colLast="0"/>
      <w:bookmarkStart w:id="6" w:name="_rpn57uk1nb11" w:colFirst="0" w:colLast="0"/>
      <w:bookmarkStart w:id="7" w:name="_hgfmt28j6cai" w:colFirst="0" w:colLast="0"/>
      <w:bookmarkEnd w:id="5"/>
      <w:bookmarkEnd w:id="6"/>
      <w:bookmarkEnd w:id="7"/>
    </w:p>
    <w:sectPr w:rsidR="005773C2" w:rsidRPr="0078760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E07B8"/>
    <w:multiLevelType w:val="multilevel"/>
    <w:tmpl w:val="7EF880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306549"/>
    <w:multiLevelType w:val="multilevel"/>
    <w:tmpl w:val="CA48C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D6B253C"/>
    <w:multiLevelType w:val="multilevel"/>
    <w:tmpl w:val="4FA61F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1FB3F56"/>
    <w:multiLevelType w:val="multilevel"/>
    <w:tmpl w:val="164835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BD67476"/>
    <w:multiLevelType w:val="multilevel"/>
    <w:tmpl w:val="5C7803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184475B"/>
    <w:multiLevelType w:val="multilevel"/>
    <w:tmpl w:val="46160E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3C2"/>
    <w:rsid w:val="004603E4"/>
    <w:rsid w:val="005773C2"/>
    <w:rsid w:val="0078760C"/>
    <w:rsid w:val="00CE0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3A1DA9"/>
  <w15:docId w15:val="{FB4B9208-994C-404C-8C70-BBC98548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CE019D"/>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CE01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428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0/04/30/us-weekly-jobless-claims.html" TargetMode="External"/><Relationship Id="rId3" Type="http://schemas.openxmlformats.org/officeDocument/2006/relationships/settings" Target="settings.xml"/><Relationship Id="rId7" Type="http://schemas.openxmlformats.org/officeDocument/2006/relationships/hyperlink" Target="https://www.cnbc.com/2020/04/30/us-weekly-jobless-claim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ytimes.com/2020/05/05/opinion/hawley-abolish-wto-china.html" TargetMode="External"/><Relationship Id="rId11" Type="http://schemas.openxmlformats.org/officeDocument/2006/relationships/fontTable" Target="fontTable.xml"/><Relationship Id="rId5" Type="http://schemas.openxmlformats.org/officeDocument/2006/relationships/hyperlink" Target="https://doi.org/10.1007/s40273-016-0434-8" TargetMode="External"/><Relationship Id="rId10" Type="http://schemas.openxmlformats.org/officeDocument/2006/relationships/hyperlink" Target="https://www.wipo.int/export/sites/www/tk/en/databases/creative_heritage/docs/ip_aboriginal_people.pdf" TargetMode="External"/><Relationship Id="rId4" Type="http://schemas.openxmlformats.org/officeDocument/2006/relationships/webSettings" Target="webSettings.xml"/><Relationship Id="rId9" Type="http://schemas.openxmlformats.org/officeDocument/2006/relationships/hyperlink" Target="https://www.csulb.edu/college-of-business/legal-resource-center/article/the-importance-of-native-american-intellect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4332</Words>
  <Characters>24694</Characters>
  <Application>Microsoft Office Word</Application>
  <DocSecurity>0</DocSecurity>
  <Lines>205</Lines>
  <Paragraphs>57</Paragraphs>
  <ScaleCrop>false</ScaleCrop>
  <Company/>
  <LinksUpToDate>false</LinksUpToDate>
  <CharactersWithSpaces>28969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4</cp:revision>
  <dcterms:created xsi:type="dcterms:W3CDTF">2021-09-19T14:14:00Z</dcterms:created>
  <dcterms:modified xsi:type="dcterms:W3CDTF">2021-09-19T15:08:00Z</dcterms:modified>
</cp:coreProperties>
</file>