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01E55" w14:textId="77777777" w:rsidR="00B13570" w:rsidRDefault="002E4CC5">
      <w:pPr>
        <w:pStyle w:val="Heading1"/>
      </w:pPr>
      <w:bookmarkStart w:id="0" w:name="_armd52d6y6lv" w:colFirst="0" w:colLast="0"/>
      <w:bookmarkEnd w:id="0"/>
      <w:r>
        <w:t>1NC Bronx Quarters</w:t>
      </w:r>
    </w:p>
    <w:p w14:paraId="586887A8" w14:textId="77777777" w:rsidR="00B13570" w:rsidRDefault="002E4CC5">
      <w:pPr>
        <w:pStyle w:val="Heading2"/>
      </w:pPr>
      <w:bookmarkStart w:id="1" w:name="_2fgk3ofoxoi7" w:colFirst="0" w:colLast="0"/>
      <w:bookmarkEnd w:id="1"/>
      <w:r>
        <w:t>1</w:t>
      </w:r>
    </w:p>
    <w:p w14:paraId="3D291DB6" w14:textId="77777777" w:rsidR="00B13570" w:rsidRDefault="002E4CC5">
      <w:pPr>
        <w:widowControl w:val="0"/>
        <w:rPr>
          <w:sz w:val="27"/>
          <w:szCs w:val="27"/>
        </w:rPr>
      </w:pPr>
      <w:r>
        <w:rPr>
          <w:b/>
          <w:sz w:val="26"/>
          <w:szCs w:val="26"/>
        </w:rPr>
        <w:t>Interp: The affirmative must only defend the hypothetical enactment of the resolution “Resolved: The member nations of the World Trade Organization ought to reduce intellectual property protections for medicines”</w:t>
      </w:r>
    </w:p>
    <w:p w14:paraId="6D65953F" w14:textId="77777777" w:rsidR="00B13570" w:rsidRDefault="00B13570">
      <w:pPr>
        <w:widowControl w:val="0"/>
        <w:rPr>
          <w:sz w:val="27"/>
          <w:szCs w:val="27"/>
        </w:rPr>
      </w:pPr>
    </w:p>
    <w:p w14:paraId="6D1B92B0" w14:textId="77777777" w:rsidR="00B13570" w:rsidRDefault="002E4CC5">
      <w:pPr>
        <w:widowControl w:val="0"/>
        <w:rPr>
          <w:sz w:val="27"/>
          <w:szCs w:val="27"/>
        </w:rPr>
      </w:pPr>
      <w:r>
        <w:rPr>
          <w:b/>
          <w:sz w:val="26"/>
          <w:szCs w:val="26"/>
        </w:rPr>
        <w:t>Resolved means a policy</w:t>
      </w:r>
    </w:p>
    <w:p w14:paraId="55D74D11" w14:textId="77777777" w:rsidR="00B13570" w:rsidRDefault="002E4CC5">
      <w:pPr>
        <w:widowControl w:val="0"/>
      </w:pPr>
      <w:r>
        <w:rPr>
          <w:b/>
          <w:sz w:val="26"/>
          <w:szCs w:val="26"/>
        </w:rPr>
        <w:t>Find Law Legal Dictionary</w:t>
      </w:r>
      <w:r>
        <w:t xml:space="preserve"> </w:t>
      </w:r>
      <w:hyperlink r:id="rId5">
        <w:r>
          <w:rPr>
            <w:color w:val="1155CC"/>
            <w:u w:val="single"/>
          </w:rPr>
          <w:t>https://dictionary.findlaw.com/definition/resolve.html</w:t>
        </w:r>
      </w:hyperlink>
      <w:r>
        <w:t xml:space="preserve"> //SR</w:t>
      </w:r>
    </w:p>
    <w:p w14:paraId="3FB46B01" w14:textId="77777777" w:rsidR="00B13570" w:rsidRDefault="002E4CC5">
      <w:pPr>
        <w:widowControl w:val="0"/>
        <w:rPr>
          <w:b/>
          <w:sz w:val="26"/>
          <w:szCs w:val="26"/>
        </w:rPr>
      </w:pPr>
      <w:proofErr w:type="gramStart"/>
      <w:r>
        <w:rPr>
          <w:u w:val="single"/>
        </w:rPr>
        <w:t>2 :</w:t>
      </w:r>
      <w:proofErr w:type="gramEnd"/>
      <w:r>
        <w:rPr>
          <w:u w:val="single"/>
        </w:rPr>
        <w:t xml:space="preserve"> </w:t>
      </w:r>
      <w:r>
        <w:rPr>
          <w:highlight w:val="cyan"/>
          <w:u w:val="single"/>
        </w:rPr>
        <w:t>a legal</w:t>
      </w:r>
      <w:r>
        <w:rPr>
          <w:u w:val="single"/>
        </w:rPr>
        <w:t xml:space="preserve"> or official </w:t>
      </w:r>
      <w:r>
        <w:rPr>
          <w:highlight w:val="cyan"/>
          <w:u w:val="single"/>
        </w:rPr>
        <w:t>determination</w:t>
      </w:r>
    </w:p>
    <w:p w14:paraId="0779D970" w14:textId="77777777" w:rsidR="00B13570" w:rsidRDefault="00B13570">
      <w:pPr>
        <w:widowControl w:val="0"/>
        <w:rPr>
          <w:sz w:val="27"/>
          <w:szCs w:val="27"/>
        </w:rPr>
      </w:pPr>
    </w:p>
    <w:p w14:paraId="68974985" w14:textId="77777777" w:rsidR="00B13570" w:rsidRDefault="002E4CC5">
      <w:pPr>
        <w:rPr>
          <w:b/>
          <w:sz w:val="26"/>
          <w:szCs w:val="26"/>
        </w:rPr>
      </w:pPr>
      <w:r>
        <w:rPr>
          <w:b/>
          <w:sz w:val="26"/>
          <w:szCs w:val="26"/>
        </w:rPr>
        <w:t>WTO:</w:t>
      </w:r>
    </w:p>
    <w:p w14:paraId="0EEC5720" w14:textId="77777777" w:rsidR="00B13570" w:rsidRDefault="002E4CC5">
      <w:pPr>
        <w:rPr>
          <w:b/>
          <w:sz w:val="26"/>
          <w:szCs w:val="26"/>
        </w:rPr>
      </w:pPr>
      <w:r>
        <w:rPr>
          <w:b/>
          <w:sz w:val="26"/>
          <w:szCs w:val="26"/>
        </w:rPr>
        <w:t xml:space="preserve">WTO n/d, </w:t>
      </w:r>
      <w:hyperlink r:id="rId6">
        <w:r>
          <w:rPr>
            <w:color w:val="1155CC"/>
            <w:u w:val="single"/>
          </w:rPr>
          <w:t>https://www.wto.org/english/thewto_e/whatis_e/whatis_e.htm</w:t>
        </w:r>
      </w:hyperlink>
      <w:r>
        <w:t xml:space="preserve"> //SR</w:t>
      </w:r>
      <w:r>
        <w:br/>
      </w:r>
      <w:r>
        <w:rPr>
          <w:u w:val="single"/>
        </w:rPr>
        <w:t xml:space="preserve">The World Trade Organization (WTO) is the only </w:t>
      </w:r>
      <w:r>
        <w:rPr>
          <w:highlight w:val="cyan"/>
          <w:u w:val="single"/>
        </w:rPr>
        <w:t>global international organization dealing with</w:t>
      </w:r>
      <w:r>
        <w:rPr>
          <w:u w:val="single"/>
        </w:rPr>
        <w:t xml:space="preserve"> the rules of </w:t>
      </w:r>
      <w:r>
        <w:rPr>
          <w:highlight w:val="cyan"/>
          <w:u w:val="single"/>
        </w:rPr>
        <w:t>trade between nations</w:t>
      </w:r>
      <w:r>
        <w:rPr>
          <w:u w:val="single"/>
        </w:rPr>
        <w:t>. At its heart are the WTO agreements, negotiated and signed by the bulk of the world’s trading nations and ratified in their parliaments. The goal is to help producers of goods and services, exporters, and importers conduct their business.</w:t>
      </w:r>
    </w:p>
    <w:p w14:paraId="1BD71801" w14:textId="77777777" w:rsidR="00B13570" w:rsidRDefault="00B13570">
      <w:pPr>
        <w:widowControl w:val="0"/>
        <w:rPr>
          <w:sz w:val="27"/>
          <w:szCs w:val="27"/>
        </w:rPr>
      </w:pPr>
    </w:p>
    <w:p w14:paraId="25C0ACBD" w14:textId="77777777" w:rsidR="00B13570" w:rsidRDefault="002E4CC5">
      <w:pPr>
        <w:rPr>
          <w:b/>
          <w:sz w:val="26"/>
          <w:szCs w:val="26"/>
        </w:rPr>
      </w:pPr>
      <w:r>
        <w:rPr>
          <w:b/>
          <w:sz w:val="26"/>
          <w:szCs w:val="26"/>
        </w:rPr>
        <w:t>Intellectual Property:</w:t>
      </w:r>
    </w:p>
    <w:p w14:paraId="6BAFA859" w14:textId="77777777" w:rsidR="00B13570" w:rsidRDefault="0022229F">
      <w:hyperlink r:id="rId7">
        <w:r w:rsidR="002E4CC5">
          <w:rPr>
            <w:color w:val="1155CC"/>
            <w:u w:val="single"/>
          </w:rPr>
          <w:t>https://www.merriam-webster.com/dictionary/intellectual%20property</w:t>
        </w:r>
      </w:hyperlink>
      <w:r w:rsidR="002E4CC5">
        <w:t xml:space="preserve"> //SR</w:t>
      </w:r>
    </w:p>
    <w:p w14:paraId="4CDA486E" w14:textId="77777777" w:rsidR="00B13570" w:rsidRDefault="002E4CC5">
      <w:pPr>
        <w:rPr>
          <w:u w:val="single"/>
        </w:rPr>
      </w:pPr>
      <w:r>
        <w:rPr>
          <w:u w:val="single"/>
        </w:rPr>
        <w:t xml:space="preserve">: property (such as an </w:t>
      </w:r>
      <w:r>
        <w:rPr>
          <w:highlight w:val="cyan"/>
          <w:u w:val="single"/>
        </w:rPr>
        <w:t>idea, invention, or process</w:t>
      </w:r>
      <w:r>
        <w:rPr>
          <w:u w:val="single"/>
        </w:rPr>
        <w:t xml:space="preserve">) that derives </w:t>
      </w:r>
      <w:r>
        <w:rPr>
          <w:highlight w:val="cyan"/>
          <w:u w:val="single"/>
        </w:rPr>
        <w:t>from</w:t>
      </w:r>
      <w:r>
        <w:rPr>
          <w:u w:val="single"/>
        </w:rPr>
        <w:t xml:space="preserve"> the work of </w:t>
      </w:r>
      <w:r>
        <w:rPr>
          <w:highlight w:val="cyan"/>
          <w:u w:val="single"/>
        </w:rPr>
        <w:t>the mind</w:t>
      </w:r>
      <w:r>
        <w:rPr>
          <w:u w:val="single"/>
        </w:rPr>
        <w:t xml:space="preserve"> or intellect</w:t>
      </w:r>
    </w:p>
    <w:p w14:paraId="6D198597" w14:textId="77777777" w:rsidR="00B13570" w:rsidRDefault="00B13570"/>
    <w:p w14:paraId="0726E5B3" w14:textId="77777777" w:rsidR="00B13570" w:rsidRDefault="002E4CC5">
      <w:pPr>
        <w:rPr>
          <w:b/>
          <w:sz w:val="26"/>
          <w:szCs w:val="26"/>
        </w:rPr>
      </w:pPr>
      <w:r>
        <w:rPr>
          <w:b/>
          <w:sz w:val="26"/>
          <w:szCs w:val="26"/>
        </w:rPr>
        <w:t>Medicine:</w:t>
      </w:r>
    </w:p>
    <w:p w14:paraId="7A46B09B" w14:textId="77777777" w:rsidR="00B13570" w:rsidRDefault="0022229F">
      <w:hyperlink r:id="rId8">
        <w:r w:rsidR="002E4CC5">
          <w:rPr>
            <w:color w:val="1155CC"/>
            <w:u w:val="single"/>
          </w:rPr>
          <w:t>https://www.merriam-webster.com/dictionary/medicine</w:t>
        </w:r>
      </w:hyperlink>
      <w:r w:rsidR="002E4CC5">
        <w:t xml:space="preserve"> //SR</w:t>
      </w:r>
    </w:p>
    <w:p w14:paraId="04F22D70" w14:textId="77777777" w:rsidR="00B13570" w:rsidRDefault="002E4CC5">
      <w:pPr>
        <w:rPr>
          <w:b/>
          <w:sz w:val="26"/>
          <w:szCs w:val="26"/>
        </w:rPr>
      </w:pPr>
      <w:r>
        <w:rPr>
          <w:u w:val="single"/>
        </w:rPr>
        <w:t xml:space="preserve">: a </w:t>
      </w:r>
      <w:r>
        <w:rPr>
          <w:highlight w:val="cyan"/>
          <w:u w:val="single"/>
        </w:rPr>
        <w:t>substance</w:t>
      </w:r>
      <w:r>
        <w:rPr>
          <w:u w:val="single"/>
        </w:rPr>
        <w:t xml:space="preserve"> or preparation used </w:t>
      </w:r>
      <w:r>
        <w:rPr>
          <w:highlight w:val="cyan"/>
          <w:u w:val="single"/>
        </w:rPr>
        <w:t>in treating disease</w:t>
      </w:r>
    </w:p>
    <w:p w14:paraId="59C5D05E" w14:textId="77777777" w:rsidR="00B13570" w:rsidRDefault="00B13570">
      <w:pPr>
        <w:widowControl w:val="0"/>
        <w:rPr>
          <w:sz w:val="27"/>
          <w:szCs w:val="27"/>
        </w:rPr>
      </w:pPr>
    </w:p>
    <w:p w14:paraId="14D78636" w14:textId="77777777" w:rsidR="00B13570" w:rsidRDefault="002E4CC5">
      <w:pPr>
        <w:widowControl w:val="0"/>
        <w:rPr>
          <w:sz w:val="27"/>
          <w:szCs w:val="27"/>
        </w:rPr>
      </w:pPr>
      <w:r>
        <w:rPr>
          <w:b/>
          <w:sz w:val="26"/>
          <w:szCs w:val="26"/>
        </w:rPr>
        <w:t>Vote neg for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Cutting negs to every possible aff wrecks small schools, which has a disparate impact on under-resourced and minority debaters. Counter-interpretations are arbitrary, unpredictable, and don’t solve the world of neg prep because there’s no grounding in the resolution</w:t>
      </w:r>
    </w:p>
    <w:p w14:paraId="2B4473D9" w14:textId="77777777" w:rsidR="00B13570" w:rsidRDefault="002E4CC5">
      <w:pPr>
        <w:widowControl w:val="0"/>
        <w:rPr>
          <w:sz w:val="27"/>
          <w:szCs w:val="27"/>
        </w:rPr>
      </w:pPr>
      <w:r>
        <w:rPr>
          <w:b/>
          <w:sz w:val="26"/>
          <w:szCs w:val="26"/>
        </w:rPr>
        <w:t xml:space="preserve">Fairness outweighs – [1] it’s an intrinsic good – debate is a game that requires rules to evaluate it--it ensures a structure to make their aff heard and to deny fairness’s value is a performative contradiction since you obviously cared about other rules such as speech times. If fairness didn’t matter, you should just hack against them and evaluate their arguments unfairly, making responses circular [2] Link turns their education offense – getting to the third and fourth level of tactical engagement is only possible with refined and well-researched positions connected to the resolutional mechanism. Repeated debates over core issues incentivize innovative argument production and </w:t>
      </w:r>
      <w:r>
        <w:rPr>
          <w:b/>
          <w:sz w:val="26"/>
          <w:szCs w:val="26"/>
        </w:rPr>
        <w:lastRenderedPageBreak/>
        <w:t>improved advocacy based on feedback and nuanced responses from opponents. [3] Probability – The role of individual debate rounds on broader subject formation is white noise – can you remember what happened in (this round)? – individual rounds don’t affect our subjectivity, so fairness is the only impact your ballot can resolve. You should presume all their truth claims false because they have not been properly tested</w:t>
      </w:r>
    </w:p>
    <w:p w14:paraId="7C1D2871" w14:textId="77777777" w:rsidR="00B13570" w:rsidRDefault="002E4CC5">
      <w:pPr>
        <w:widowControl w:val="0"/>
        <w:rPr>
          <w:sz w:val="27"/>
          <w:szCs w:val="27"/>
        </w:rPr>
      </w:pPr>
      <w:r>
        <w:rPr>
          <w:b/>
          <w:sz w:val="26"/>
          <w:szCs w:val="26"/>
        </w:rPr>
        <w:t>Terminal defense to their model – [1] TVA solves - __. Disads to the TVA prove it true since it proves there is neg ground [2] SSD solves - read it when you negate for the same content education [3] Discuss your aff out of round when people are willing to listen and not make bad arguments for the W</w:t>
      </w:r>
    </w:p>
    <w:p w14:paraId="05A56460" w14:textId="77777777" w:rsidR="00B13570" w:rsidRDefault="00B13570">
      <w:pPr>
        <w:widowControl w:val="0"/>
        <w:rPr>
          <w:b/>
          <w:sz w:val="26"/>
          <w:szCs w:val="26"/>
        </w:rPr>
      </w:pPr>
    </w:p>
    <w:p w14:paraId="35086AF3" w14:textId="77777777" w:rsidR="00B13570" w:rsidRDefault="002E4CC5">
      <w:pPr>
        <w:widowControl w:val="0"/>
        <w:rPr>
          <w:b/>
          <w:sz w:val="26"/>
          <w:szCs w:val="26"/>
        </w:rPr>
      </w:pPr>
      <w:r>
        <w:rPr>
          <w:b/>
          <w:sz w:val="26"/>
          <w:szCs w:val="26"/>
        </w:rPr>
        <w:t>Fairness and education are voters--debate is a game that needs rules to evaluate it and teaches portable skills we use lifelong. Drop the debater for deterrence since the round was already skewed by our disadvantaged 1nc and competing interps since reasonability is arbitrary, causes a race to the bottom, always flips aff since they can re-spin the round in the 2ar to sound reasonable with ethos, and collapses to competing interpretations of a reasonable brightline. Even if their aff is answerable, the ones they incentivize are not which means you presume the worst possible affs because people inevitably want to be as abusive as possible for the win and they create a model of self care. No rvi’s or impact turns - [1] they’d purposefully be abusive to bait us into reading bad arguments and can drill it a lot chilling us from checking abuse [2] You shouldn’t win for being T - if you win T is a bad thing then its at most just a reason we should drop it to let us learn from our mistakes [3] Only reason we read T is because we were pigeonholed and had nothing else to read [4] T just says the aff is a bad idea like any other argument, under their logic every argument for why the aff is a bad idea would also be an independent voter [5] We don’t force you to do anything - we just propose a norm that can be subject to change</w:t>
      </w:r>
    </w:p>
    <w:p w14:paraId="1EFBCF56" w14:textId="77777777" w:rsidR="00B13570" w:rsidRDefault="002E4CC5">
      <w:r>
        <w:br w:type="page"/>
      </w:r>
    </w:p>
    <w:p w14:paraId="3D4DCEAA" w14:textId="77777777" w:rsidR="00B13570" w:rsidRDefault="002E4CC5">
      <w:pPr>
        <w:pStyle w:val="Heading2"/>
      </w:pPr>
      <w:bookmarkStart w:id="2" w:name="_t5qa8gv9yae0" w:colFirst="0" w:colLast="0"/>
      <w:bookmarkEnd w:id="2"/>
      <w:r>
        <w:lastRenderedPageBreak/>
        <w:t>2</w:t>
      </w:r>
    </w:p>
    <w:p w14:paraId="6CFE20FA" w14:textId="77777777" w:rsidR="00B13570" w:rsidRDefault="002E4CC5">
      <w:r>
        <w:rPr>
          <w:b/>
          <w:sz w:val="26"/>
          <w:szCs w:val="26"/>
        </w:rPr>
        <w:t>Interp: The affirmative must disclose the 1AC at least thirty minutes prior to the round if requested by their opponent on a mutually agreed platform</w:t>
      </w:r>
    </w:p>
    <w:p w14:paraId="6C441320" w14:textId="77777777" w:rsidR="00B13570" w:rsidRDefault="002E4CC5">
      <w:r>
        <w:rPr>
          <w:noProof/>
        </w:rPr>
        <w:drawing>
          <wp:inline distT="114300" distB="114300" distL="114300" distR="114300" wp14:anchorId="5A7AAD76" wp14:editId="2F5D7783">
            <wp:extent cx="5943600" cy="3251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43600" cy="3251200"/>
                    </a:xfrm>
                    <a:prstGeom prst="rect">
                      <a:avLst/>
                    </a:prstGeom>
                    <a:ln/>
                  </pic:spPr>
                </pic:pic>
              </a:graphicData>
            </a:graphic>
          </wp:inline>
        </w:drawing>
      </w:r>
    </w:p>
    <w:p w14:paraId="0A9E99A8" w14:textId="77777777" w:rsidR="00B13570" w:rsidRDefault="002E4CC5">
      <w:pPr>
        <w:rPr>
          <w:b/>
          <w:sz w:val="26"/>
          <w:szCs w:val="26"/>
        </w:rPr>
      </w:pPr>
      <w:r>
        <w:rPr>
          <w:b/>
          <w:sz w:val="26"/>
          <w:szCs w:val="26"/>
        </w:rPr>
        <w:t>Standards:</w:t>
      </w:r>
    </w:p>
    <w:p w14:paraId="01796C38" w14:textId="77777777" w:rsidR="00B13570" w:rsidRDefault="002E4CC5">
      <w:pPr>
        <w:numPr>
          <w:ilvl w:val="0"/>
          <w:numId w:val="2"/>
        </w:numPr>
        <w:rPr>
          <w:b/>
          <w:sz w:val="26"/>
          <w:szCs w:val="26"/>
        </w:rPr>
      </w:pPr>
      <w:r>
        <w:rPr>
          <w:b/>
          <w:sz w:val="26"/>
          <w:szCs w:val="26"/>
        </w:rPr>
        <w:t>Clash--can’t engage with your aff or decide it’s truth value if we didn’t have time to research it, read your evidence etc. Anything else destroys academic integrity by letting you cheat with miscut cards and outweighs because it’s out of your jurisdiction to break the rules, proven by speech times, etc. Also incentivizes bad affs not centered around the core of the literature but rather surprise affs that race to the margins and make engagement impossible</w:t>
      </w:r>
    </w:p>
    <w:p w14:paraId="2A395DF0" w14:textId="77777777" w:rsidR="00B13570" w:rsidRDefault="002E4CC5">
      <w:pPr>
        <w:numPr>
          <w:ilvl w:val="0"/>
          <w:numId w:val="2"/>
        </w:numPr>
        <w:rPr>
          <w:b/>
          <w:sz w:val="26"/>
          <w:szCs w:val="26"/>
        </w:rPr>
      </w:pPr>
      <w:r>
        <w:rPr>
          <w:b/>
          <w:sz w:val="26"/>
          <w:szCs w:val="26"/>
        </w:rPr>
        <w:t xml:space="preserve">Accessibility--hurts small school or disabled folks who may need time to process your aff or not have enough prep to come up with a </w:t>
      </w:r>
      <w:proofErr w:type="gramStart"/>
      <w:r>
        <w:rPr>
          <w:b/>
          <w:sz w:val="26"/>
          <w:szCs w:val="26"/>
        </w:rPr>
        <w:t>7 minute</w:t>
      </w:r>
      <w:proofErr w:type="gramEnd"/>
      <w:r>
        <w:rPr>
          <w:b/>
          <w:sz w:val="26"/>
          <w:szCs w:val="26"/>
        </w:rPr>
        <w:t xml:space="preserve"> NC on the spot</w:t>
      </w:r>
    </w:p>
    <w:p w14:paraId="75D57F80" w14:textId="77777777" w:rsidR="00B13570" w:rsidRDefault="002E4CC5">
      <w:pPr>
        <w:numPr>
          <w:ilvl w:val="0"/>
          <w:numId w:val="2"/>
        </w:numPr>
        <w:rPr>
          <w:b/>
          <w:sz w:val="26"/>
          <w:szCs w:val="26"/>
        </w:rPr>
      </w:pPr>
      <w:r>
        <w:rPr>
          <w:b/>
          <w:sz w:val="26"/>
          <w:szCs w:val="26"/>
        </w:rPr>
        <w:t>Reciprocity--I disclosed my past 2ns, you should disclose your aff</w:t>
      </w:r>
    </w:p>
    <w:p w14:paraId="1A894980" w14:textId="77777777" w:rsidR="00B13570" w:rsidRDefault="002E4CC5">
      <w:r>
        <w:br w:type="page"/>
      </w:r>
    </w:p>
    <w:p w14:paraId="1FD57643" w14:textId="77777777" w:rsidR="00B13570" w:rsidRDefault="002E4CC5">
      <w:pPr>
        <w:pStyle w:val="Heading2"/>
      </w:pPr>
      <w:bookmarkStart w:id="3" w:name="_s4svtnqi7ogz" w:colFirst="0" w:colLast="0"/>
      <w:bookmarkEnd w:id="3"/>
      <w:r>
        <w:lastRenderedPageBreak/>
        <w:t>3</w:t>
      </w:r>
    </w:p>
    <w:p w14:paraId="5B26BC1C" w14:textId="77777777" w:rsidR="00B13570" w:rsidRDefault="002E4CC5">
      <w:pPr>
        <w:widowControl w:val="0"/>
        <w:rPr>
          <w:b/>
          <w:sz w:val="26"/>
          <w:szCs w:val="26"/>
        </w:rPr>
      </w:pPr>
      <w:r>
        <w:rPr>
          <w:b/>
          <w:sz w:val="26"/>
          <w:szCs w:val="26"/>
        </w:rPr>
        <w:t>Text – हिंदी में करो अफीम</w:t>
      </w:r>
    </w:p>
    <w:p w14:paraId="780B5ADB" w14:textId="77777777" w:rsidR="00B13570" w:rsidRDefault="002E4CC5">
      <w:pPr>
        <w:widowControl w:val="0"/>
        <w:rPr>
          <w:b/>
          <w:sz w:val="26"/>
          <w:szCs w:val="26"/>
        </w:rPr>
      </w:pPr>
      <w:r>
        <w:rPr>
          <w:b/>
          <w:sz w:val="26"/>
          <w:szCs w:val="26"/>
        </w:rPr>
        <w:t>To Clarify, aff in hindi. The text does not mean only hindi is accepted, rather there should be a diversity in language usage that’s not just english</w:t>
      </w:r>
    </w:p>
    <w:p w14:paraId="66A977D8" w14:textId="77777777" w:rsidR="00B13570" w:rsidRDefault="002E4CC5">
      <w:pPr>
        <w:widowControl w:val="0"/>
        <w:rPr>
          <w:b/>
          <w:sz w:val="26"/>
          <w:szCs w:val="26"/>
        </w:rPr>
      </w:pPr>
      <w:r>
        <w:rPr>
          <w:b/>
          <w:sz w:val="26"/>
          <w:szCs w:val="26"/>
        </w:rPr>
        <w:t>The normalization of normative English leads to an in-group/out-group that drive racial violence</w:t>
      </w:r>
    </w:p>
    <w:p w14:paraId="0E679614" w14:textId="77777777" w:rsidR="00B13570" w:rsidRDefault="002E4CC5">
      <w:pPr>
        <w:widowControl w:val="0"/>
      </w:pPr>
      <w:r>
        <w:rPr>
          <w:b/>
          <w:sz w:val="26"/>
          <w:szCs w:val="26"/>
        </w:rPr>
        <w:t xml:space="preserve">Rosa et al 17 </w:t>
      </w:r>
      <w:r>
        <w:t>Rosa, Jonathan, and Nelson Flores. "Unsettling race and language: Toward a raciolinguistic perspective." Language in society 46.5 (2017): 621-647. (Assistant Professor of Anthropology and Linguistics and Associate Professor in the Educational Linguistics Division)//Elmer</w:t>
      </w:r>
    </w:p>
    <w:p w14:paraId="36F5335D" w14:textId="77777777" w:rsidR="00B13570" w:rsidRDefault="002E4CC5">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in order to undergo racial emblematization. Moreover, as </w:t>
      </w:r>
      <w:proofErr w:type="gramStart"/>
      <w:r>
        <w:rPr>
          <w:sz w:val="16"/>
          <w:szCs w:val="16"/>
        </w:rPr>
        <w:t>Lo</w:t>
      </w:r>
      <w:proofErr w:type="gramEnd"/>
      <w:r>
        <w:rPr>
          <w:sz w:val="16"/>
          <w:szCs w:val="16"/>
        </w:rPr>
        <w:t xml:space="preserve">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xml:space="preserve">. In related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77C0562A" w14:textId="77777777" w:rsidR="00B13570" w:rsidRDefault="00B13570">
      <w:pPr>
        <w:widowControl w:val="0"/>
      </w:pPr>
    </w:p>
    <w:p w14:paraId="28B6923A" w14:textId="77777777" w:rsidR="00B13570" w:rsidRDefault="002E4CC5">
      <w:pPr>
        <w:widowControl w:val="0"/>
        <w:rPr>
          <w:b/>
          <w:sz w:val="26"/>
          <w:szCs w:val="26"/>
        </w:rPr>
      </w:pPr>
      <w:r>
        <w:rPr>
          <w:b/>
          <w:sz w:val="26"/>
          <w:szCs w:val="26"/>
        </w:rPr>
        <w:t>The performance of the 1NC is a form of Code Switching that disrupts English-centered discourses</w:t>
      </w:r>
    </w:p>
    <w:p w14:paraId="7F149668" w14:textId="77777777" w:rsidR="00B13570" w:rsidRDefault="002E4CC5">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01133F93" w14:textId="402E384C" w:rsidR="00B13570" w:rsidRDefault="002E4CC5" w:rsidP="0022229F">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 xml:space="preserve">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w:t>
      </w:r>
      <w:proofErr w:type="gramStart"/>
      <w:r>
        <w:rPr>
          <w:u w:val="single"/>
        </w:rPr>
        <w:t>renders</w:t>
      </w:r>
      <w:proofErr w:type="gramEnd"/>
      <w:r>
        <w:rPr>
          <w:u w:val="single"/>
        </w:rPr>
        <w:t xml:space="preserve">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Thus, the poems not only act as social critique of exoticization, but further inhabit the embodied experiences of Korean-American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xml:space="preserve">,” dismantling what a reader may expect of a Korean American author: that she </w:t>
      </w:r>
      <w:proofErr w:type="gramStart"/>
      <w:r>
        <w:rPr>
          <w:u w:val="single"/>
        </w:rPr>
        <w:t>use</w:t>
      </w:r>
      <w:proofErr w:type="gramEnd"/>
      <w:r>
        <w:rPr>
          <w:u w:val="single"/>
        </w:rPr>
        <w:t xml:space="preserve"> Korean language to specifically discuss her ethnic culture as a hyphenated American</w:t>
      </w:r>
      <w:r>
        <w:rPr>
          <w:sz w:val="16"/>
          <w:szCs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bookmarkStart w:id="4" w:name="_377eiklvjro9" w:colFirst="0" w:colLast="0"/>
      <w:bookmarkEnd w:id="4"/>
    </w:p>
    <w:sectPr w:rsidR="00B1357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1D57"/>
    <w:multiLevelType w:val="multilevel"/>
    <w:tmpl w:val="A5D8BC6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5857E2A"/>
    <w:multiLevelType w:val="multilevel"/>
    <w:tmpl w:val="E72ADC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D1376E"/>
    <w:multiLevelType w:val="multilevel"/>
    <w:tmpl w:val="4EB4B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5E9503B"/>
    <w:multiLevelType w:val="multilevel"/>
    <w:tmpl w:val="4878B2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4BCE51A7"/>
    <w:multiLevelType w:val="multilevel"/>
    <w:tmpl w:val="7EC4C3D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565D7C6C"/>
    <w:multiLevelType w:val="multilevel"/>
    <w:tmpl w:val="08BEADC6"/>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5B0F2772"/>
    <w:multiLevelType w:val="multilevel"/>
    <w:tmpl w:val="D1B23D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5858CB"/>
    <w:multiLevelType w:val="multilevel"/>
    <w:tmpl w:val="7F847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23D76C7"/>
    <w:multiLevelType w:val="multilevel"/>
    <w:tmpl w:val="2632C1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B7B20B0"/>
    <w:multiLevelType w:val="multilevel"/>
    <w:tmpl w:val="84705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CF1F1F"/>
    <w:multiLevelType w:val="multilevel"/>
    <w:tmpl w:val="2DBCD38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7E93275F"/>
    <w:multiLevelType w:val="multilevel"/>
    <w:tmpl w:val="267CEFE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
  </w:num>
  <w:num w:numId="2">
    <w:abstractNumId w:val="1"/>
  </w:num>
  <w:num w:numId="3">
    <w:abstractNumId w:val="0"/>
  </w:num>
  <w:num w:numId="4">
    <w:abstractNumId w:val="2"/>
  </w:num>
  <w:num w:numId="5">
    <w:abstractNumId w:val="8"/>
  </w:num>
  <w:num w:numId="6">
    <w:abstractNumId w:val="7"/>
  </w:num>
  <w:num w:numId="7">
    <w:abstractNumId w:val="6"/>
  </w:num>
  <w:num w:numId="8">
    <w:abstractNumId w:val="4"/>
  </w:num>
  <w:num w:numId="9">
    <w:abstractNumId w:val="5"/>
  </w:num>
  <w:num w:numId="10">
    <w:abstractNumId w:val="1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570"/>
    <w:rsid w:val="0022229F"/>
    <w:rsid w:val="002E4CC5"/>
    <w:rsid w:val="00B13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160F62"/>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medicine" TargetMode="External"/><Relationship Id="rId3" Type="http://schemas.openxmlformats.org/officeDocument/2006/relationships/settings" Target="settings.xml"/><Relationship Id="rId7" Type="http://schemas.openxmlformats.org/officeDocument/2006/relationships/hyperlink" Target="https://www.merriam-webster.com/dictionary/intellectual%20prope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to.org/english/thewto_e/whatis_e/whatis_e.htm" TargetMode="External"/><Relationship Id="rId11" Type="http://schemas.openxmlformats.org/officeDocument/2006/relationships/theme" Target="theme/theme1.xml"/><Relationship Id="rId5" Type="http://schemas.openxmlformats.org/officeDocument/2006/relationships/hyperlink" Target="https://dictionary.findlaw.com/definition/resolve.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2088</Words>
  <Characters>11197</Characters>
  <Application>Microsoft Office Word</Application>
  <DocSecurity>0</DocSecurity>
  <Lines>123</Lines>
  <Paragraphs>17</Paragraphs>
  <ScaleCrop>false</ScaleCrop>
  <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2021-10-17T16:40:00Z</dcterms:created>
  <dcterms:modified xsi:type="dcterms:W3CDTF">2021-10-17T17:37:00Z</dcterms:modified>
</cp:coreProperties>
</file>