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07030" w:rsidRDefault="005151C6">
      <w:pPr>
        <w:pStyle w:val="Heading1"/>
      </w:pPr>
      <w:bookmarkStart w:id="0" w:name="_2himiy3e4x79" w:colFirst="0" w:colLast="0"/>
      <w:bookmarkEnd w:id="0"/>
      <w:r>
        <w:t>1NC Valley RR R2</w:t>
      </w:r>
    </w:p>
    <w:p w14:paraId="00000002" w14:textId="77777777" w:rsidR="00507030" w:rsidRDefault="005151C6">
      <w:pPr>
        <w:pStyle w:val="Heading2"/>
      </w:pPr>
      <w:bookmarkStart w:id="1" w:name="_ocpieg1opn3y" w:colFirst="0" w:colLast="0"/>
      <w:bookmarkEnd w:id="1"/>
      <w:r>
        <w:t>1</w:t>
      </w:r>
    </w:p>
    <w:p w14:paraId="00000003" w14:textId="77777777" w:rsidR="00507030" w:rsidRDefault="005151C6">
      <w:pPr>
        <w:widowControl w:val="0"/>
        <w:rPr>
          <w:sz w:val="27"/>
          <w:szCs w:val="27"/>
        </w:rPr>
      </w:pPr>
      <w:r>
        <w:rPr>
          <w:b/>
          <w:sz w:val="26"/>
          <w:szCs w:val="26"/>
        </w:rPr>
        <w:t>Interp: The affirmative must only defend the hypothetical enactment of the resolution “Resolved: The member nations of the World Trade Organization ought to reduce intellectual property protections for medicines”</w:t>
      </w:r>
    </w:p>
    <w:p w14:paraId="00000004" w14:textId="77777777" w:rsidR="00507030" w:rsidRDefault="00507030">
      <w:pPr>
        <w:widowControl w:val="0"/>
        <w:rPr>
          <w:sz w:val="27"/>
          <w:szCs w:val="27"/>
        </w:rPr>
      </w:pPr>
    </w:p>
    <w:p w14:paraId="00000005" w14:textId="77777777" w:rsidR="00507030" w:rsidRDefault="005151C6">
      <w:pPr>
        <w:widowControl w:val="0"/>
        <w:rPr>
          <w:sz w:val="27"/>
          <w:szCs w:val="27"/>
        </w:rPr>
      </w:pPr>
      <w:r>
        <w:rPr>
          <w:b/>
          <w:sz w:val="26"/>
          <w:szCs w:val="26"/>
        </w:rPr>
        <w:t>Resolved means a policy</w:t>
      </w:r>
    </w:p>
    <w:p w14:paraId="00000006" w14:textId="77777777" w:rsidR="00507030" w:rsidRDefault="005151C6">
      <w:pPr>
        <w:widowControl w:val="0"/>
      </w:pPr>
      <w:r>
        <w:rPr>
          <w:b/>
          <w:sz w:val="26"/>
          <w:szCs w:val="26"/>
        </w:rPr>
        <w:t>Find Law Legal Dictionary</w:t>
      </w:r>
      <w:r>
        <w:t xml:space="preserve"> </w:t>
      </w:r>
      <w:hyperlink r:id="rId5">
        <w:r>
          <w:rPr>
            <w:color w:val="1155CC"/>
            <w:u w:val="single"/>
          </w:rPr>
          <w:t>https://dictionary.findlaw.com/definition/resolve.html</w:t>
        </w:r>
      </w:hyperlink>
      <w:r>
        <w:t xml:space="preserve"> //SR</w:t>
      </w:r>
    </w:p>
    <w:p w14:paraId="00000007" w14:textId="77777777" w:rsidR="00507030" w:rsidRDefault="005151C6">
      <w:pPr>
        <w:widowControl w:val="0"/>
        <w:rPr>
          <w:b/>
          <w:sz w:val="26"/>
          <w:szCs w:val="26"/>
        </w:rPr>
      </w:pPr>
      <w:proofErr w:type="gramStart"/>
      <w:r>
        <w:rPr>
          <w:u w:val="single"/>
        </w:rPr>
        <w:t>2 :</w:t>
      </w:r>
      <w:proofErr w:type="gramEnd"/>
      <w:r>
        <w:rPr>
          <w:u w:val="single"/>
        </w:rPr>
        <w:t xml:space="preserve"> </w:t>
      </w:r>
      <w:r>
        <w:rPr>
          <w:highlight w:val="cyan"/>
          <w:u w:val="single"/>
        </w:rPr>
        <w:t>a legal</w:t>
      </w:r>
      <w:r>
        <w:rPr>
          <w:u w:val="single"/>
        </w:rPr>
        <w:t xml:space="preserve"> or official </w:t>
      </w:r>
      <w:r>
        <w:rPr>
          <w:highlight w:val="cyan"/>
          <w:u w:val="single"/>
        </w:rPr>
        <w:t>determination</w:t>
      </w:r>
    </w:p>
    <w:p w14:paraId="00000008" w14:textId="77777777" w:rsidR="00507030" w:rsidRDefault="00507030">
      <w:pPr>
        <w:widowControl w:val="0"/>
        <w:rPr>
          <w:sz w:val="27"/>
          <w:szCs w:val="27"/>
        </w:rPr>
      </w:pPr>
    </w:p>
    <w:p w14:paraId="00000009" w14:textId="77777777" w:rsidR="00507030" w:rsidRDefault="005151C6">
      <w:pPr>
        <w:rPr>
          <w:b/>
          <w:sz w:val="26"/>
          <w:szCs w:val="26"/>
        </w:rPr>
      </w:pPr>
      <w:r>
        <w:rPr>
          <w:b/>
          <w:sz w:val="26"/>
          <w:szCs w:val="26"/>
        </w:rPr>
        <w:t>WTO:</w:t>
      </w:r>
    </w:p>
    <w:p w14:paraId="0000000A" w14:textId="77777777" w:rsidR="00507030" w:rsidRDefault="005151C6">
      <w:pPr>
        <w:rPr>
          <w:u w:val="single"/>
        </w:rPr>
      </w:pPr>
      <w:r>
        <w:rPr>
          <w:b/>
          <w:sz w:val="26"/>
          <w:szCs w:val="26"/>
        </w:rPr>
        <w:t xml:space="preserve">WTO n/d, </w:t>
      </w:r>
      <w:hyperlink r:id="rId6">
        <w:r>
          <w:rPr>
            <w:color w:val="1155CC"/>
            <w:u w:val="single"/>
          </w:rPr>
          <w:t>https://www.wto.org/english/thewto_e/whatis_e/whatis_e.htm</w:t>
        </w:r>
      </w:hyperlink>
      <w:r>
        <w:t xml:space="preserve"> //SR</w:t>
      </w:r>
      <w:r>
        <w:br/>
      </w:r>
      <w:r>
        <w:rPr>
          <w:u w:val="single"/>
        </w:rPr>
        <w:t xml:space="preserve">The World Trade Organization (WTO) is the only </w:t>
      </w:r>
      <w:r>
        <w:rPr>
          <w:highlight w:val="cyan"/>
          <w:u w:val="single"/>
        </w:rPr>
        <w:t>global international organization dealing with</w:t>
      </w:r>
      <w:r>
        <w:rPr>
          <w:u w:val="single"/>
        </w:rPr>
        <w:t xml:space="preserve"> the rules of </w:t>
      </w:r>
      <w:r>
        <w:rPr>
          <w:highlight w:val="cyan"/>
          <w:u w:val="single"/>
        </w:rPr>
        <w:t>trade between nations</w:t>
      </w:r>
      <w:r>
        <w:rPr>
          <w:u w:val="single"/>
        </w:rPr>
        <w:t>. At its heart are the WTO agreements, negotiated and signed by the bulk of the world’s trading nations and ratified in their parliaments. The goal is to help producers of goods and services, exporters, and importers conduct their business.</w:t>
      </w:r>
    </w:p>
    <w:p w14:paraId="0000000B" w14:textId="77777777" w:rsidR="00507030" w:rsidRDefault="00507030">
      <w:pPr>
        <w:widowControl w:val="0"/>
        <w:rPr>
          <w:b/>
          <w:sz w:val="26"/>
          <w:szCs w:val="26"/>
        </w:rPr>
      </w:pPr>
    </w:p>
    <w:p w14:paraId="0000000C" w14:textId="2572DE49" w:rsidR="00507030" w:rsidRDefault="005151C6">
      <w:pPr>
        <w:widowControl w:val="0"/>
        <w:rPr>
          <w:b/>
          <w:sz w:val="26"/>
          <w:szCs w:val="26"/>
        </w:rPr>
      </w:pPr>
      <w:r>
        <w:rPr>
          <w:b/>
          <w:sz w:val="26"/>
          <w:szCs w:val="26"/>
        </w:rPr>
        <w:t>Violation:</w:t>
      </w:r>
    </w:p>
    <w:p w14:paraId="0000000D" w14:textId="77777777" w:rsidR="00507030" w:rsidRDefault="00507030">
      <w:pPr>
        <w:widowControl w:val="0"/>
        <w:rPr>
          <w:b/>
          <w:sz w:val="26"/>
          <w:szCs w:val="26"/>
        </w:rPr>
      </w:pPr>
    </w:p>
    <w:p w14:paraId="0000000E" w14:textId="77777777" w:rsidR="00507030" w:rsidRDefault="005151C6">
      <w:pPr>
        <w:widowControl w:val="0"/>
        <w:rPr>
          <w:sz w:val="27"/>
          <w:szCs w:val="27"/>
        </w:rPr>
      </w:pPr>
      <w:r>
        <w:rPr>
          <w:b/>
          <w:sz w:val="26"/>
          <w:szCs w:val="26"/>
        </w:rPr>
        <w:t>Vote negative for limits---the resolution is the most predictable stasis point for debates, anything outside of that ruins prep and clash by allowing the affirmative to pick any grounds for debate. That greenlights a race away from the core topic controversies that allow for robust contestation, which favors the aff by making neg ground inapplicable, susceptible to the perm, or concessionary.</w:t>
      </w:r>
    </w:p>
    <w:p w14:paraId="0000000F" w14:textId="77777777" w:rsidR="00507030" w:rsidRDefault="00507030">
      <w:pPr>
        <w:widowControl w:val="0"/>
        <w:rPr>
          <w:sz w:val="27"/>
          <w:szCs w:val="27"/>
        </w:rPr>
      </w:pPr>
    </w:p>
    <w:p w14:paraId="00000010" w14:textId="77777777" w:rsidR="00507030" w:rsidRDefault="005151C6">
      <w:pPr>
        <w:widowControl w:val="0"/>
        <w:rPr>
          <w:sz w:val="27"/>
          <w:szCs w:val="27"/>
        </w:rPr>
      </w:pPr>
      <w:r>
        <w:rPr>
          <w:b/>
          <w:sz w:val="26"/>
          <w:szCs w:val="26"/>
        </w:rPr>
        <w:t>The impact is iterative content mastery---getting to the third and fourth level of tactical engagement is only possible with refined and well-researched positions connected to the resolutional mechanism. Repeated debates over core issues incentivize innovative argument production and improved advocacy based on feedback and nuanced responses from opponents.</w:t>
      </w:r>
    </w:p>
    <w:p w14:paraId="00000011" w14:textId="77777777" w:rsidR="00507030" w:rsidRDefault="00507030">
      <w:pPr>
        <w:widowControl w:val="0"/>
        <w:rPr>
          <w:sz w:val="27"/>
          <w:szCs w:val="27"/>
        </w:rPr>
      </w:pPr>
    </w:p>
    <w:p w14:paraId="00000012" w14:textId="77777777" w:rsidR="00507030" w:rsidRDefault="005151C6">
      <w:pPr>
        <w:widowControl w:val="0"/>
        <w:rPr>
          <w:b/>
          <w:sz w:val="26"/>
          <w:szCs w:val="26"/>
        </w:rPr>
      </w:pPr>
      <w:r>
        <w:rPr>
          <w:b/>
          <w:sz w:val="26"/>
          <w:szCs w:val="26"/>
        </w:rPr>
        <w:t>Independently, fairness outweighs because the aff presumes its evaluated fairly, controls our ability to test the truth value of the aff which also means they don’t get to weigh case, and the win is what motivates people to listen - if you don’t understand how they create change by the end of this round but you do understand why iterative testing and fair clash is good for debate - vote negative.</w:t>
      </w:r>
    </w:p>
    <w:p w14:paraId="00000013" w14:textId="77777777" w:rsidR="00507030" w:rsidRDefault="00507030">
      <w:pPr>
        <w:widowControl w:val="0"/>
        <w:rPr>
          <w:b/>
          <w:sz w:val="26"/>
          <w:szCs w:val="26"/>
        </w:rPr>
      </w:pPr>
    </w:p>
    <w:p w14:paraId="00000014" w14:textId="77777777" w:rsidR="00507030" w:rsidRDefault="005151C6">
      <w:pPr>
        <w:widowControl w:val="0"/>
        <w:rPr>
          <w:b/>
          <w:sz w:val="26"/>
          <w:szCs w:val="26"/>
        </w:rPr>
      </w:pPr>
      <w:r>
        <w:rPr>
          <w:b/>
          <w:sz w:val="26"/>
          <w:szCs w:val="26"/>
        </w:rPr>
        <w:t>TVA solves - read your aff under a whole res plan text - still get discussions of cybernetics and SSD solves - read cybernetics on neg or out of round which solves</w:t>
      </w:r>
    </w:p>
    <w:p w14:paraId="00000015" w14:textId="77777777" w:rsidR="00507030" w:rsidRDefault="005151C6">
      <w:r>
        <w:lastRenderedPageBreak/>
        <w:br w:type="page"/>
      </w:r>
    </w:p>
    <w:p w14:paraId="00000016" w14:textId="77777777" w:rsidR="00507030" w:rsidRDefault="005151C6">
      <w:pPr>
        <w:pStyle w:val="Heading2"/>
      </w:pPr>
      <w:bookmarkStart w:id="2" w:name="_1mjq3s7kaufc" w:colFirst="0" w:colLast="0"/>
      <w:bookmarkEnd w:id="2"/>
      <w:r>
        <w:lastRenderedPageBreak/>
        <w:t>2</w:t>
      </w:r>
    </w:p>
    <w:p w14:paraId="00000017" w14:textId="77777777" w:rsidR="00507030" w:rsidRDefault="005151C6">
      <w:pPr>
        <w:rPr>
          <w:b/>
          <w:sz w:val="26"/>
          <w:szCs w:val="26"/>
        </w:rPr>
      </w:pPr>
      <w:r>
        <w:rPr>
          <w:b/>
          <w:sz w:val="26"/>
          <w:szCs w:val="26"/>
        </w:rPr>
        <w:t>Interp: The affirmative must have an author who explicitly advocates for the aff advocacy other than themselves</w:t>
      </w:r>
    </w:p>
    <w:p w14:paraId="00000018" w14:textId="77777777" w:rsidR="00507030" w:rsidRDefault="00507030">
      <w:pPr>
        <w:rPr>
          <w:b/>
          <w:sz w:val="26"/>
          <w:szCs w:val="26"/>
        </w:rPr>
      </w:pPr>
    </w:p>
    <w:p w14:paraId="00000019" w14:textId="4DFA3753" w:rsidR="00507030" w:rsidRDefault="005151C6">
      <w:pPr>
        <w:rPr>
          <w:b/>
          <w:sz w:val="26"/>
          <w:szCs w:val="26"/>
        </w:rPr>
      </w:pPr>
      <w:r>
        <w:rPr>
          <w:b/>
          <w:sz w:val="26"/>
          <w:szCs w:val="26"/>
        </w:rPr>
        <w:t>V:</w:t>
      </w:r>
    </w:p>
    <w:p w14:paraId="0000001A" w14:textId="77777777" w:rsidR="00507030" w:rsidRDefault="00507030">
      <w:pPr>
        <w:rPr>
          <w:b/>
          <w:sz w:val="26"/>
          <w:szCs w:val="26"/>
        </w:rPr>
      </w:pPr>
    </w:p>
    <w:p w14:paraId="0000001B" w14:textId="77777777" w:rsidR="00507030" w:rsidRDefault="005151C6">
      <w:pPr>
        <w:numPr>
          <w:ilvl w:val="0"/>
          <w:numId w:val="1"/>
        </w:numPr>
        <w:rPr>
          <w:b/>
          <w:sz w:val="26"/>
          <w:szCs w:val="26"/>
        </w:rPr>
      </w:pPr>
      <w:r>
        <w:rPr>
          <w:b/>
          <w:sz w:val="26"/>
          <w:szCs w:val="26"/>
        </w:rPr>
        <w:t xml:space="preserve">Predictability--we have no basis to predict the aff insofar as you can’t prove </w:t>
      </w:r>
      <w:proofErr w:type="spellStart"/>
      <w:r>
        <w:rPr>
          <w:b/>
          <w:sz w:val="26"/>
          <w:szCs w:val="26"/>
        </w:rPr>
        <w:t>its</w:t>
      </w:r>
      <w:proofErr w:type="spellEnd"/>
      <w:r>
        <w:rPr>
          <w:b/>
          <w:sz w:val="26"/>
          <w:szCs w:val="26"/>
        </w:rPr>
        <w:t xml:space="preserve"> in the lit </w:t>
      </w:r>
      <w:proofErr w:type="gramStart"/>
      <w:r>
        <w:rPr>
          <w:b/>
          <w:sz w:val="26"/>
          <w:szCs w:val="26"/>
        </w:rPr>
        <w:t>thus</w:t>
      </w:r>
      <w:proofErr w:type="gramEnd"/>
      <w:r>
        <w:rPr>
          <w:b/>
          <w:sz w:val="26"/>
          <w:szCs w:val="26"/>
        </w:rPr>
        <w:t xml:space="preserve"> we can’t prove arguments against it are in the lit. The resolution is our only pre round stasis point otherwise incentivizes cheap shot strategies that try to solely win on the surprise factor</w:t>
      </w:r>
    </w:p>
    <w:p w14:paraId="0000001C" w14:textId="77777777" w:rsidR="00507030" w:rsidRDefault="00507030">
      <w:pPr>
        <w:rPr>
          <w:b/>
          <w:sz w:val="26"/>
          <w:szCs w:val="26"/>
        </w:rPr>
      </w:pPr>
    </w:p>
    <w:p w14:paraId="0000001D" w14:textId="77777777" w:rsidR="00507030" w:rsidRDefault="005151C6">
      <w:pPr>
        <w:numPr>
          <w:ilvl w:val="0"/>
          <w:numId w:val="1"/>
        </w:numPr>
        <w:rPr>
          <w:b/>
          <w:sz w:val="26"/>
          <w:szCs w:val="26"/>
        </w:rPr>
      </w:pPr>
      <w:r>
        <w:rPr>
          <w:b/>
          <w:sz w:val="26"/>
          <w:szCs w:val="26"/>
        </w:rPr>
        <w:t>Research--our model forces you to research your advocacies allowing for more nuanced argumentation and learning new justifications for the plan and give an out of round portable skill</w:t>
      </w:r>
    </w:p>
    <w:p w14:paraId="0000001E" w14:textId="77777777" w:rsidR="00507030" w:rsidRDefault="00507030">
      <w:pPr>
        <w:rPr>
          <w:b/>
          <w:sz w:val="26"/>
          <w:szCs w:val="26"/>
        </w:rPr>
      </w:pPr>
    </w:p>
    <w:p w14:paraId="0000001F" w14:textId="77777777" w:rsidR="00507030" w:rsidRDefault="005151C6">
      <w:pPr>
        <w:numPr>
          <w:ilvl w:val="0"/>
          <w:numId w:val="1"/>
        </w:numPr>
        <w:rPr>
          <w:b/>
          <w:sz w:val="26"/>
          <w:szCs w:val="26"/>
        </w:rPr>
      </w:pPr>
      <w:r>
        <w:rPr>
          <w:b/>
          <w:sz w:val="26"/>
          <w:szCs w:val="26"/>
        </w:rPr>
        <w:t xml:space="preserve">Shiftiness - w/o a solvency advocate there is nothing binding from reinterpreting the 1ac advocacy in the 1ar to delink out of neg ground - vague terms like “inhuman” prove their ability to shift and makes coherent </w:t>
      </w:r>
      <w:proofErr w:type="gramStart"/>
      <w:r>
        <w:rPr>
          <w:b/>
          <w:sz w:val="26"/>
          <w:szCs w:val="26"/>
        </w:rPr>
        <w:t>real world</w:t>
      </w:r>
      <w:proofErr w:type="gramEnd"/>
      <w:r>
        <w:rPr>
          <w:b/>
          <w:sz w:val="26"/>
          <w:szCs w:val="26"/>
        </w:rPr>
        <w:t xml:space="preserve"> resistance impossible since we don’t know how to follow it.</w:t>
      </w:r>
    </w:p>
    <w:p w14:paraId="00000020" w14:textId="77777777" w:rsidR="00507030" w:rsidRDefault="00507030">
      <w:pPr>
        <w:rPr>
          <w:b/>
          <w:sz w:val="26"/>
          <w:szCs w:val="26"/>
        </w:rPr>
      </w:pPr>
    </w:p>
    <w:p w14:paraId="00000021" w14:textId="77777777" w:rsidR="00507030" w:rsidRDefault="005151C6">
      <w:pPr>
        <w:rPr>
          <w:b/>
          <w:sz w:val="26"/>
          <w:szCs w:val="26"/>
        </w:rPr>
      </w:pPr>
      <w:r>
        <w:rPr>
          <w:b/>
          <w:sz w:val="26"/>
          <w:szCs w:val="26"/>
        </w:rPr>
        <w:t>Fairness and education are voters – debate’s a game that needs rules to evaluate it and it teaches portable skills that we use lifelong.</w:t>
      </w:r>
    </w:p>
    <w:p w14:paraId="00000022" w14:textId="77777777" w:rsidR="00507030" w:rsidRDefault="00507030">
      <w:pPr>
        <w:rPr>
          <w:b/>
          <w:sz w:val="26"/>
          <w:szCs w:val="26"/>
        </w:rPr>
      </w:pPr>
    </w:p>
    <w:p w14:paraId="00000023" w14:textId="77777777" w:rsidR="00507030" w:rsidRDefault="005151C6">
      <w:pPr>
        <w:rPr>
          <w:b/>
          <w:sz w:val="26"/>
          <w:szCs w:val="26"/>
        </w:rPr>
      </w:pPr>
      <w:r>
        <w:rPr>
          <w:b/>
          <w:sz w:val="26"/>
          <w:szCs w:val="26"/>
        </w:rPr>
        <w:t>Drop the debater - severance kills 1NC strat construction—1AR restart favors aff since it’s 7-6 time skew and they get 2 speeches to my one.</w:t>
      </w:r>
    </w:p>
    <w:p w14:paraId="00000024" w14:textId="77777777" w:rsidR="00507030" w:rsidRDefault="00507030">
      <w:pPr>
        <w:rPr>
          <w:b/>
          <w:sz w:val="26"/>
          <w:szCs w:val="26"/>
        </w:rPr>
      </w:pPr>
    </w:p>
    <w:p w14:paraId="00000025" w14:textId="77777777" w:rsidR="00507030" w:rsidRDefault="005151C6">
      <w:pPr>
        <w:rPr>
          <w:b/>
          <w:sz w:val="26"/>
          <w:szCs w:val="26"/>
        </w:rPr>
      </w:pPr>
      <w:r>
        <w:rPr>
          <w:b/>
          <w:sz w:val="26"/>
          <w:szCs w:val="26"/>
        </w:rPr>
        <w:t>No rvi or impact turns-</w:t>
      </w:r>
    </w:p>
    <w:p w14:paraId="00000026" w14:textId="77777777" w:rsidR="00507030" w:rsidRDefault="00507030">
      <w:pPr>
        <w:rPr>
          <w:b/>
          <w:sz w:val="26"/>
          <w:szCs w:val="26"/>
        </w:rPr>
      </w:pPr>
    </w:p>
    <w:p w14:paraId="00000027" w14:textId="77777777" w:rsidR="00507030" w:rsidRDefault="005151C6">
      <w:pPr>
        <w:rPr>
          <w:b/>
          <w:sz w:val="26"/>
          <w:szCs w:val="26"/>
        </w:rPr>
      </w:pPr>
      <w:r>
        <w:rPr>
          <w:b/>
          <w:sz w:val="26"/>
          <w:szCs w:val="26"/>
        </w:rPr>
        <w:t>a) they’ll bait theory and prep it out with aff infinite prep—justifies infinite abuse and chilling us from checking abuse in fear of things like 2ar ethos which lets them recontextualize and always seem right on the issue</w:t>
      </w:r>
    </w:p>
    <w:p w14:paraId="00000028" w14:textId="77777777" w:rsidR="00507030" w:rsidRDefault="00507030">
      <w:pPr>
        <w:rPr>
          <w:b/>
          <w:sz w:val="26"/>
          <w:szCs w:val="26"/>
        </w:rPr>
      </w:pPr>
    </w:p>
    <w:p w14:paraId="00000029" w14:textId="77777777" w:rsidR="00507030" w:rsidRDefault="005151C6">
      <w:pPr>
        <w:rPr>
          <w:b/>
          <w:sz w:val="26"/>
          <w:szCs w:val="26"/>
        </w:rPr>
      </w:pPr>
      <w:r>
        <w:rPr>
          <w:b/>
          <w:sz w:val="26"/>
          <w:szCs w:val="26"/>
        </w:rPr>
        <w:t xml:space="preserve">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nc is our only route to generate offense. </w:t>
      </w:r>
    </w:p>
    <w:p w14:paraId="0000002A" w14:textId="77777777" w:rsidR="00507030" w:rsidRDefault="00507030">
      <w:pPr>
        <w:rPr>
          <w:b/>
          <w:sz w:val="26"/>
          <w:szCs w:val="26"/>
        </w:rPr>
      </w:pPr>
    </w:p>
    <w:p w14:paraId="0000002B" w14:textId="77777777" w:rsidR="00507030" w:rsidRDefault="005151C6">
      <w:pPr>
        <w:rPr>
          <w:b/>
          <w:sz w:val="26"/>
          <w:szCs w:val="26"/>
        </w:rPr>
      </w:pPr>
      <w:r>
        <w:rPr>
          <w:b/>
          <w:sz w:val="26"/>
          <w:szCs w:val="26"/>
        </w:rPr>
        <w:t xml:space="preserve">c) You shouldn’t win for being T - if you win T is a bad thing then </w:t>
      </w:r>
      <w:proofErr w:type="spellStart"/>
      <w:r>
        <w:rPr>
          <w:b/>
          <w:sz w:val="26"/>
          <w:szCs w:val="26"/>
        </w:rPr>
        <w:t>its</w:t>
      </w:r>
      <w:proofErr w:type="spellEnd"/>
      <w:r>
        <w:rPr>
          <w:b/>
          <w:sz w:val="26"/>
          <w:szCs w:val="26"/>
        </w:rPr>
        <w:t xml:space="preserve"> at most just a </w:t>
      </w:r>
      <w:proofErr w:type="gramStart"/>
      <w:r>
        <w:rPr>
          <w:b/>
          <w:sz w:val="26"/>
          <w:szCs w:val="26"/>
        </w:rPr>
        <w:t>reason</w:t>
      </w:r>
      <w:proofErr w:type="gramEnd"/>
      <w:r>
        <w:rPr>
          <w:b/>
          <w:sz w:val="26"/>
          <w:szCs w:val="26"/>
        </w:rPr>
        <w:t xml:space="preserve"> we should drop it to let us learn from our mistakes</w:t>
      </w:r>
    </w:p>
    <w:p w14:paraId="0000002C" w14:textId="77777777" w:rsidR="00507030" w:rsidRDefault="00507030">
      <w:pPr>
        <w:rPr>
          <w:b/>
          <w:sz w:val="26"/>
          <w:szCs w:val="26"/>
        </w:rPr>
      </w:pPr>
    </w:p>
    <w:p w14:paraId="0000002D" w14:textId="77777777" w:rsidR="00507030" w:rsidRDefault="005151C6">
      <w:pPr>
        <w:rPr>
          <w:b/>
          <w:sz w:val="26"/>
          <w:szCs w:val="26"/>
        </w:rPr>
      </w:pPr>
      <w:r>
        <w:rPr>
          <w:b/>
          <w:sz w:val="26"/>
          <w:szCs w:val="26"/>
        </w:rPr>
        <w:lastRenderedPageBreak/>
        <w:t>d) T just says the aff is a bad idea like any other argument, under their logic every argument for why the aff is a bad idea would also be an independent voter</w:t>
      </w:r>
    </w:p>
    <w:p w14:paraId="0000002E" w14:textId="77777777" w:rsidR="00507030" w:rsidRDefault="00507030">
      <w:pPr>
        <w:rPr>
          <w:b/>
          <w:sz w:val="26"/>
          <w:szCs w:val="26"/>
        </w:rPr>
      </w:pPr>
    </w:p>
    <w:p w14:paraId="0000002F" w14:textId="77777777" w:rsidR="00507030" w:rsidRDefault="005151C6">
      <w:pPr>
        <w:rPr>
          <w:b/>
          <w:sz w:val="26"/>
          <w:szCs w:val="26"/>
        </w:rPr>
      </w:pPr>
      <w:r>
        <w:rPr>
          <w:b/>
          <w:sz w:val="26"/>
          <w:szCs w:val="26"/>
        </w:rPr>
        <w:t xml:space="preserve">Competing interps - </w:t>
      </w:r>
    </w:p>
    <w:p w14:paraId="00000030" w14:textId="77777777" w:rsidR="00507030" w:rsidRDefault="00507030">
      <w:pPr>
        <w:rPr>
          <w:b/>
          <w:sz w:val="26"/>
          <w:szCs w:val="26"/>
        </w:rPr>
      </w:pPr>
    </w:p>
    <w:p w14:paraId="00000031" w14:textId="77777777" w:rsidR="00507030" w:rsidRDefault="005151C6">
      <w:pPr>
        <w:rPr>
          <w:b/>
          <w:sz w:val="26"/>
          <w:szCs w:val="26"/>
        </w:rPr>
      </w:pPr>
      <w:r>
        <w:rPr>
          <w:b/>
          <w:sz w:val="26"/>
          <w:szCs w:val="26"/>
        </w:rPr>
        <w:t>a) reasonability’s arbitrary &amp; forces judge intervention especially with 2ar recontextualizations to always sound like the more reasonable debater</w:t>
      </w:r>
    </w:p>
    <w:p w14:paraId="00000032" w14:textId="77777777" w:rsidR="00507030" w:rsidRDefault="00507030">
      <w:pPr>
        <w:rPr>
          <w:b/>
          <w:sz w:val="26"/>
          <w:szCs w:val="26"/>
        </w:rPr>
      </w:pPr>
    </w:p>
    <w:p w14:paraId="00000033" w14:textId="77777777" w:rsidR="00507030" w:rsidRDefault="005151C6">
      <w:pPr>
        <w:rPr>
          <w:b/>
          <w:sz w:val="26"/>
          <w:szCs w:val="26"/>
        </w:rPr>
      </w:pPr>
      <w:r>
        <w:rPr>
          <w:b/>
          <w:sz w:val="26"/>
          <w:szCs w:val="26"/>
        </w:rPr>
        <w:t>b) norm setting - we find the best possible norms</w:t>
      </w:r>
    </w:p>
    <w:p w14:paraId="00000034" w14:textId="77777777" w:rsidR="00507030" w:rsidRDefault="00507030">
      <w:pPr>
        <w:rPr>
          <w:b/>
          <w:sz w:val="26"/>
          <w:szCs w:val="26"/>
        </w:rPr>
      </w:pPr>
    </w:p>
    <w:p w14:paraId="00000035" w14:textId="77777777" w:rsidR="00507030" w:rsidRDefault="005151C6">
      <w:pPr>
        <w:rPr>
          <w:b/>
          <w:sz w:val="26"/>
          <w:szCs w:val="26"/>
        </w:rPr>
      </w:pPr>
      <w:r>
        <w:rPr>
          <w:b/>
          <w:sz w:val="26"/>
          <w:szCs w:val="26"/>
        </w:rPr>
        <w:t>c) reasonability collapses - you use offense/defense paradigm to evaluate brightlines</w:t>
      </w:r>
    </w:p>
    <w:p w14:paraId="00000036" w14:textId="77777777" w:rsidR="00507030" w:rsidRDefault="005151C6">
      <w:r>
        <w:br w:type="page"/>
      </w:r>
    </w:p>
    <w:p w14:paraId="00000037" w14:textId="77777777" w:rsidR="00507030" w:rsidRDefault="005151C6">
      <w:pPr>
        <w:pStyle w:val="Heading2"/>
      </w:pPr>
      <w:bookmarkStart w:id="3" w:name="_1du07acnrvdh" w:colFirst="0" w:colLast="0"/>
      <w:bookmarkEnd w:id="3"/>
      <w:r>
        <w:lastRenderedPageBreak/>
        <w:t>3</w:t>
      </w:r>
    </w:p>
    <w:p w14:paraId="00000038" w14:textId="77777777" w:rsidR="00507030" w:rsidRDefault="005151C6">
      <w:pPr>
        <w:rPr>
          <w:b/>
          <w:sz w:val="26"/>
          <w:szCs w:val="26"/>
          <w:u w:val="single"/>
        </w:rPr>
      </w:pPr>
      <w:r>
        <w:rPr>
          <w:b/>
          <w:sz w:val="26"/>
          <w:szCs w:val="26"/>
          <w:u w:val="single"/>
        </w:rPr>
        <w:t>CP: The inhuman ought to reduce intellectual property protections for all medicines except for medicines created by indigenous folks, for which all ownership ought to be transferred to the indigenous communities that originally developed the medicine.</w:t>
      </w:r>
    </w:p>
    <w:p w14:paraId="00000039" w14:textId="77777777" w:rsidR="00507030" w:rsidRDefault="005151C6">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7">
        <w:r>
          <w:rPr>
            <w:color w:val="1155CC"/>
            <w:u w:val="single"/>
          </w:rPr>
          <w:t>https://www.csulb.edu/college-of-business/legal-resource-center/article/the-importance-of-native-american-intellectual</w:t>
        </w:r>
      </w:hyperlink>
      <w:r>
        <w:t xml:space="preserve"> //SR *brackets in text*</w:t>
      </w:r>
    </w:p>
    <w:p w14:paraId="0000003A" w14:textId="77777777" w:rsidR="00507030" w:rsidRDefault="005151C6">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w:t>
      </w:r>
      <w:proofErr w:type="spellStart"/>
      <w:r>
        <w:rPr>
          <w:sz w:val="16"/>
          <w:szCs w:val="16"/>
        </w:rPr>
        <w:t>Dalindyebo</w:t>
      </w:r>
      <w:proofErr w:type="spellEnd"/>
      <w:r>
        <w:rPr>
          <w:sz w:val="16"/>
          <w:szCs w:val="16"/>
        </w:rPr>
        <w:t xml:space="preserve">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w:t>
      </w:r>
      <w:proofErr w:type="gramStart"/>
      <w:r>
        <w:rPr>
          <w:sz w:val="16"/>
          <w:szCs w:val="16"/>
        </w:rPr>
        <w:t>Act  (</w:t>
      </w:r>
      <w:proofErr w:type="gramEnd"/>
      <w:r>
        <w:rPr>
          <w:sz w:val="16"/>
          <w:szCs w:val="16"/>
        </w:rPr>
        <w:t xml:space="preserve">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w:t>
      </w:r>
      <w:proofErr w:type="gramStart"/>
      <w:r>
        <w:rPr>
          <w:sz w:val="16"/>
          <w:szCs w:val="16"/>
        </w:rPr>
        <w:t>in  Westmoreland’s</w:t>
      </w:r>
      <w:proofErr w:type="gramEnd"/>
      <w:r>
        <w:rPr>
          <w:sz w:val="16"/>
          <w:szCs w:val="16"/>
        </w:rPr>
        <w:t xml:space="preserve">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0000003B" w14:textId="77777777" w:rsidR="00507030" w:rsidRDefault="00507030"/>
    <w:p w14:paraId="0000003C" w14:textId="77777777" w:rsidR="00507030" w:rsidRDefault="005151C6">
      <w:pPr>
        <w:rPr>
          <w:b/>
          <w:sz w:val="26"/>
          <w:szCs w:val="26"/>
        </w:rPr>
      </w:pPr>
      <w:r>
        <w:rPr>
          <w:b/>
          <w:sz w:val="26"/>
          <w:szCs w:val="26"/>
        </w:rPr>
        <w:lastRenderedPageBreak/>
        <w:t xml:space="preserve">The CP gives indigenous nations resources for </w:t>
      </w:r>
      <w:proofErr w:type="spellStart"/>
      <w:r>
        <w:rPr>
          <w:b/>
          <w:sz w:val="26"/>
          <w:szCs w:val="26"/>
        </w:rPr>
        <w:t>self sovereignty</w:t>
      </w:r>
      <w:proofErr w:type="spellEnd"/>
      <w:r>
        <w:rPr>
          <w:b/>
          <w:sz w:val="26"/>
          <w:szCs w:val="26"/>
        </w:rPr>
        <w:t xml:space="preserve"> and centers discussions around native demands, which better allows for the accessibility of those medicines</w:t>
      </w:r>
    </w:p>
    <w:p w14:paraId="0000003D" w14:textId="77777777" w:rsidR="00507030" w:rsidRDefault="005151C6">
      <w:r>
        <w:t xml:space="preserve">Simon </w:t>
      </w:r>
      <w:proofErr w:type="spellStart"/>
      <w:r>
        <w:rPr>
          <w:b/>
          <w:sz w:val="26"/>
          <w:szCs w:val="26"/>
        </w:rPr>
        <w:t>Brascoupé</w:t>
      </w:r>
      <w:proofErr w:type="spellEnd"/>
      <w:r>
        <w:rPr>
          <w:b/>
          <w:sz w:val="26"/>
          <w:szCs w:val="26"/>
        </w:rPr>
        <w:t xml:space="preserve"> and</w:t>
      </w:r>
      <w:r>
        <w:t xml:space="preserve"> Karin </w:t>
      </w:r>
      <w:proofErr w:type="spellStart"/>
      <w:r>
        <w:rPr>
          <w:b/>
          <w:sz w:val="26"/>
          <w:szCs w:val="26"/>
        </w:rPr>
        <w:t>Endemann</w:t>
      </w:r>
      <w:proofErr w:type="spellEnd"/>
      <w:r>
        <w:t xml:space="preserve">, Fall </w:t>
      </w:r>
      <w:r>
        <w:rPr>
          <w:b/>
          <w:sz w:val="26"/>
          <w:szCs w:val="26"/>
        </w:rPr>
        <w:t>1999</w:t>
      </w:r>
      <w:r>
        <w:t xml:space="preserve">, INTELLECTUAL PROPERTY AND ABORIGINAL PEOPLE: A WORKING PAPER </w:t>
      </w:r>
      <w:hyperlink r:id="rId8">
        <w:r>
          <w:rPr>
            <w:color w:val="1155CC"/>
            <w:u w:val="single"/>
          </w:rPr>
          <w:t>https://www.wipo.int/export/sites/www/tk/en/databases/creative_heritage/docs/ip_aboriginal_people.pdf</w:t>
        </w:r>
      </w:hyperlink>
      <w:r>
        <w:t xml:space="preserve"> //SR</w:t>
      </w:r>
    </w:p>
    <w:p w14:paraId="0000003E" w14:textId="77777777" w:rsidR="00507030" w:rsidRDefault="005151C6">
      <w:r>
        <w:rPr>
          <w:sz w:val="16"/>
          <w:szCs w:val="16"/>
        </w:rPr>
        <w:t xml:space="preserve">Traditional Knowledge and Intellectual Property </w:t>
      </w:r>
      <w:proofErr w:type="gramStart"/>
      <w:r>
        <w:rPr>
          <w:sz w:val="16"/>
          <w:szCs w:val="16"/>
        </w:rPr>
        <w:t>The</w:t>
      </w:r>
      <w:proofErr w:type="gramEnd"/>
      <w:r>
        <w:rPr>
          <w:sz w:val="16"/>
          <w:szCs w:val="16"/>
        </w:rPr>
        <w:t xml:space="preserv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proofErr w:type="gramStart"/>
      <w:r>
        <w:rPr>
          <w:sz w:val="16"/>
          <w:szCs w:val="16"/>
        </w:rPr>
        <w:t>: !</w:t>
      </w:r>
      <w:proofErr w:type="gramEnd"/>
      <w:r>
        <w:rPr>
          <w:sz w:val="16"/>
          <w:szCs w:val="16"/>
        </w:rPr>
        <w:t xml:space="preserve">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Only after a full dialogue will these communities be in a position to determine the best mechanisms to control access to their traditional knowledge, and what knowledge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 xml:space="preserve">develop guidelines to </w:t>
      </w:r>
      <w:r>
        <w:rPr>
          <w:highlight w:val="cyan"/>
          <w:u w:val="single"/>
        </w:rPr>
        <w:lastRenderedPageBreak/>
        <w:t>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0000003F" w14:textId="77777777" w:rsidR="00507030" w:rsidRDefault="00507030"/>
    <w:p w14:paraId="00000040" w14:textId="13293A81" w:rsidR="00507030" w:rsidRDefault="005151C6">
      <w:pPr>
        <w:rPr>
          <w:b/>
          <w:sz w:val="26"/>
          <w:szCs w:val="26"/>
        </w:rPr>
      </w:pPr>
      <w:r>
        <w:rPr>
          <w:b/>
          <w:sz w:val="26"/>
          <w:szCs w:val="26"/>
        </w:rPr>
        <w:t xml:space="preserve">Solves the aff - </w:t>
      </w:r>
    </w:p>
    <w:p w14:paraId="00000041" w14:textId="77777777" w:rsidR="00507030" w:rsidRDefault="005151C6">
      <w:r>
        <w:br w:type="page"/>
      </w:r>
    </w:p>
    <w:p w14:paraId="00000042" w14:textId="77777777" w:rsidR="00507030" w:rsidRDefault="005151C6">
      <w:pPr>
        <w:pStyle w:val="Heading2"/>
      </w:pPr>
      <w:bookmarkStart w:id="4" w:name="_ywomflcst9cz" w:colFirst="0" w:colLast="0"/>
      <w:bookmarkEnd w:id="4"/>
      <w:r>
        <w:lastRenderedPageBreak/>
        <w:t>4</w:t>
      </w:r>
    </w:p>
    <w:p w14:paraId="00000043" w14:textId="77777777" w:rsidR="00507030" w:rsidRDefault="005151C6">
      <w:pPr>
        <w:widowControl w:val="0"/>
        <w:rPr>
          <w:sz w:val="27"/>
          <w:szCs w:val="27"/>
        </w:rPr>
      </w:pPr>
      <w:r>
        <w:rPr>
          <w:b/>
          <w:sz w:val="26"/>
          <w:szCs w:val="26"/>
          <w:u w:val="single"/>
        </w:rPr>
        <w:t>CP Text: Vote negative to inject the affirmative advocacy with a radical loss. </w:t>
      </w:r>
    </w:p>
    <w:p w14:paraId="00000044" w14:textId="77777777" w:rsidR="00507030" w:rsidRDefault="005151C6">
      <w:pPr>
        <w:widowControl w:val="0"/>
        <w:rPr>
          <w:sz w:val="27"/>
          <w:szCs w:val="27"/>
        </w:rPr>
      </w:pPr>
      <w:proofErr w:type="spellStart"/>
      <w:r>
        <w:rPr>
          <w:b/>
          <w:sz w:val="26"/>
          <w:szCs w:val="26"/>
        </w:rPr>
        <w:t>Genosko</w:t>
      </w:r>
      <w:proofErr w:type="spellEnd"/>
      <w:r>
        <w:rPr>
          <w:b/>
          <w:sz w:val="26"/>
          <w:szCs w:val="26"/>
        </w:rPr>
        <w:t xml:space="preserve"> 16 </w:t>
      </w:r>
      <w:r>
        <w:t xml:space="preserve">- Gary </w:t>
      </w:r>
      <w:proofErr w:type="spellStart"/>
      <w:r>
        <w:t>Genosko</w:t>
      </w:r>
      <w:proofErr w:type="spellEnd"/>
      <w:r>
        <w:t xml:space="preserve">, University of Ontario, Lo </w:t>
      </w:r>
      <w:proofErr w:type="spellStart"/>
      <w:r>
        <w:t>Sguardo</w:t>
      </w:r>
      <w:proofErr w:type="spellEnd"/>
      <w:r>
        <w:t>, 8/29/16 “How to Lose to a Chess Playing Computer According to Jean Baudrillard” [</w:t>
      </w:r>
      <w:hyperlink r:id="rId9">
        <w:r>
          <w:rPr>
            <w:color w:val="0000FF"/>
            <w:u w:val="single"/>
          </w:rPr>
          <w:t>http://www.losguardo.net/wp-content/uploads/2017/05/2017-23-Genosko.pdf</w:t>
        </w:r>
      </w:hyperlink>
      <w:r>
        <w:t>] Accessed 9/14/20 SAO </w:t>
      </w:r>
    </w:p>
    <w:p w14:paraId="00000045" w14:textId="77777777" w:rsidR="00507030" w:rsidRDefault="005151C6">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Pr>
          <w:sz w:val="16"/>
          <w:szCs w:val="16"/>
        </w:rPr>
        <w:t>Gipper</w:t>
      </w:r>
      <w:proofErr w:type="spellEnd"/>
      <w:r>
        <w:rPr>
          <w:sz w:val="16"/>
          <w:szCs w:val="16"/>
        </w:rPr>
        <w:t>!»</w:t>
      </w:r>
      <w:proofErr w:type="gramEnd"/>
      <w:r>
        <w:rPr>
          <w:sz w:val="16"/>
          <w:szCs w:val="16"/>
        </w:rPr>
        <w:t xml:space="preserve">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xml:space="preserve">. There are those </w:t>
      </w:r>
      <w:proofErr w:type="spellStart"/>
      <w:r>
        <w:rPr>
          <w:sz w:val="16"/>
          <w:szCs w:val="16"/>
        </w:rPr>
        <w:t>whso</w:t>
      </w:r>
      <w:proofErr w:type="spellEnd"/>
      <w:r>
        <w:rPr>
          <w:sz w:val="16"/>
          <w:szCs w:val="16"/>
        </w:rPr>
        <w:t xml:space="preserve"> are irresistibly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w:t>
      </w:r>
      <w:proofErr w:type="spellStart"/>
      <w:r>
        <w:rPr>
          <w:highlight w:val="cyan"/>
          <w:u w:val="single"/>
        </w:rPr>
        <w:t>dys</w:t>
      </w:r>
      <w:proofErr w:type="spellEnd"/>
      <w:r>
        <w:rPr>
          <w:highlight w:val="cyan"/>
          <w:u w:val="single"/>
        </w:rPr>
        <w:t>)functional skills of the loser</w:t>
      </w:r>
      <w:r>
        <w:rPr>
          <w:sz w:val="16"/>
          <w:szCs w:val="16"/>
        </w:rPr>
        <w:t>. </w:t>
      </w:r>
    </w:p>
    <w:p w14:paraId="00000046" w14:textId="77777777" w:rsidR="00507030" w:rsidRDefault="00507030">
      <w:pPr>
        <w:widowControl w:val="0"/>
        <w:rPr>
          <w:sz w:val="27"/>
          <w:szCs w:val="27"/>
        </w:rPr>
      </w:pPr>
    </w:p>
    <w:p w14:paraId="00000047" w14:textId="77777777" w:rsidR="00507030" w:rsidRDefault="005151C6">
      <w:pPr>
        <w:widowControl w:val="0"/>
        <w:rPr>
          <w:sz w:val="27"/>
          <w:szCs w:val="27"/>
        </w:rPr>
      </w:pPr>
      <w:r>
        <w:rPr>
          <w:b/>
          <w:sz w:val="26"/>
          <w:szCs w:val="26"/>
        </w:rPr>
        <w:t xml:space="preserve">The Affirmative critique is assimilated to justify the moral superstructure they criticize. It’s </w:t>
      </w:r>
      <w:proofErr w:type="gramStart"/>
      <w:r>
        <w:rPr>
          <w:b/>
          <w:sz w:val="26"/>
          <w:szCs w:val="26"/>
        </w:rPr>
        <w:t>try</w:t>
      </w:r>
      <w:proofErr w:type="gramEnd"/>
      <w:r>
        <w:rPr>
          <w:b/>
          <w:sz w:val="26"/>
          <w:szCs w:val="26"/>
        </w:rPr>
        <w:t xml:space="preserve"> or die for the CP under their role of the ballot.</w:t>
      </w:r>
    </w:p>
    <w:p w14:paraId="00000048" w14:textId="77777777" w:rsidR="00507030" w:rsidRDefault="005151C6">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10">
        <w:r>
          <w:rPr>
            <w:color w:val="0000FF"/>
            <w:u w:val="single"/>
          </w:rPr>
          <w:t>https://ceasefiremagazine.co.uk/in-theory-baudrillard-10/</w:t>
        </w:r>
      </w:hyperlink>
      <w:r>
        <w:t>] Accessed 3/9/20 SAO</w:t>
      </w:r>
    </w:p>
    <w:p w14:paraId="000000A4" w14:textId="4FF240D9" w:rsidR="00507030" w:rsidRPr="00CD5963" w:rsidRDefault="005151C6" w:rsidP="00CD5963">
      <w:pPr>
        <w:widowControl w:val="0"/>
        <w:rPr>
          <w:sz w:val="27"/>
          <w:szCs w:val="27"/>
        </w:rPr>
      </w:pPr>
      <w:r>
        <w:rPr>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w:t>
      </w:r>
      <w:proofErr w:type="spellStart"/>
      <w:r>
        <w:rPr>
          <w:sz w:val="14"/>
          <w:szCs w:val="14"/>
        </w:rPr>
        <w:t>generalised</w:t>
      </w:r>
      <w:proofErr w:type="spellEnd"/>
      <w:r>
        <w:rPr>
          <w:sz w:val="14"/>
          <w:szCs w:val="14"/>
        </w:rPr>
        <w:t xml:space="preserve">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Pr>
          <w:sz w:val="14"/>
          <w:szCs w:val="14"/>
        </w:rPr>
        <w:t>theorises</w:t>
      </w:r>
      <w:proofErr w:type="spellEnd"/>
      <w:r>
        <w:rPr>
          <w:sz w:val="14"/>
          <w:szCs w:val="14"/>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w:t>
      </w:r>
      <w:proofErr w:type="spellStart"/>
      <w:r>
        <w:rPr>
          <w:sz w:val="14"/>
          <w:szCs w:val="14"/>
        </w:rPr>
        <w:t>Labour</w:t>
      </w:r>
      <w:proofErr w:type="spellEnd"/>
      <w:r>
        <w:rPr>
          <w:sz w:val="14"/>
          <w:szCs w:val="14"/>
        </w:rPr>
        <w:t xml:space="preserve"> has become another sign. There is no tendency for it to liberate itself by moving beyond capitalism. Baudrillard is deeply critical of standard leftist responses to neoliberalism. He </w:t>
      </w:r>
      <w:proofErr w:type="spellStart"/>
      <w:r>
        <w:rPr>
          <w:sz w:val="14"/>
          <w:szCs w:val="14"/>
        </w:rPr>
        <w:t>criticises</w:t>
      </w:r>
      <w:proofErr w:type="spellEnd"/>
      <w:r>
        <w:rPr>
          <w:sz w:val="14"/>
          <w:szCs w:val="14"/>
        </w:rPr>
        <w:t xml:space="preserve">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Pr>
          <w:u w:val="single"/>
        </w:rPr>
        <w:t xml:space="preserve">the weapons of the previous period are already </w:t>
      </w:r>
      <w:proofErr w:type="spellStart"/>
      <w:r>
        <w:rPr>
          <w:u w:val="single"/>
        </w:rPr>
        <w:t>neutralised</w:t>
      </w:r>
      <w:proofErr w:type="spellEnd"/>
      <w:r>
        <w:rPr>
          <w:u w:val="single"/>
        </w:rPr>
        <w:t xml:space="preserve">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w:t>
      </w:r>
      <w:r>
        <w:rPr>
          <w:sz w:val="14"/>
          <w:szCs w:val="14"/>
        </w:rPr>
        <w:lastRenderedPageBreak/>
        <w:t>It is as if the forces carrying the meaning of an event beyond itself have slowed to a standstill. The London ‘</w:t>
      </w:r>
      <w:proofErr w:type="gramStart"/>
      <w:r>
        <w:rPr>
          <w:u w:val="single"/>
        </w:rPr>
        <w:t>riots’</w:t>
      </w:r>
      <w:proofErr w:type="gramEnd"/>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 xml:space="preserve">do not turn into </w:t>
      </w:r>
      <w:proofErr w:type="spellStart"/>
      <w:r>
        <w:rPr>
          <w:u w:val="single"/>
        </w:rPr>
        <w:t>generalised</w:t>
      </w:r>
      <w:proofErr w:type="spellEnd"/>
      <w:r>
        <w:rPr>
          <w:u w:val="single"/>
        </w:rPr>
        <w:t xml:space="preserve"> rebellions</w:t>
      </w:r>
      <w:r>
        <w:rPr>
          <w:sz w:val="14"/>
          <w:szCs w:val="14"/>
        </w:rPr>
        <w:t xml:space="preserve"> in Britain as perhaps they still might in Egypt or Greece. </w:t>
      </w:r>
      <w:r>
        <w:rPr>
          <w:u w:val="single"/>
        </w:rPr>
        <w:t xml:space="preserve">We are in an era of ‘anomalies without </w:t>
      </w:r>
      <w:proofErr w:type="gramStart"/>
      <w:r>
        <w:rPr>
          <w:u w:val="single"/>
        </w:rPr>
        <w:t>consequences’</w:t>
      </w:r>
      <w:proofErr w:type="gramEnd"/>
      <w:r>
        <w:rPr>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Pr>
          <w:sz w:val="14"/>
          <w:szCs w:val="14"/>
        </w:rPr>
        <w:t>generalised</w:t>
      </w:r>
      <w:proofErr w:type="spellEnd"/>
      <w:r>
        <w:rPr>
          <w:sz w:val="14"/>
          <w:szCs w:val="14"/>
        </w:rPr>
        <w:t xml:space="preserve"> responsibility, and saturation. Beyond saturation there is only implosion. Anti-consumerism is another target of critique. </w:t>
      </w:r>
      <w:proofErr w:type="spellStart"/>
      <w:r>
        <w:rPr>
          <w:sz w:val="14"/>
          <w:szCs w:val="14"/>
        </w:rPr>
        <w:t>Criticising</w:t>
      </w:r>
      <w:proofErr w:type="spellEnd"/>
      <w:r>
        <w:rPr>
          <w:sz w:val="14"/>
          <w:szCs w:val="14"/>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Pr>
          <w:sz w:val="14"/>
          <w:szCs w:val="14"/>
        </w:rPr>
        <w:t>criticises</w:t>
      </w:r>
      <w:proofErr w:type="spellEnd"/>
      <w:r>
        <w:rPr>
          <w:sz w:val="14"/>
          <w:szCs w:val="14"/>
        </w:rPr>
        <w:t xml:space="preserve"> moral critique and scandal, such as Watergate. He argues that </w:t>
      </w:r>
      <w:r>
        <w:rPr>
          <w:highlight w:val="cyan"/>
          <w:u w:val="single"/>
        </w:rPr>
        <w:t>the system requires a moral superstructure to operate</w:t>
      </w:r>
      <w:r>
        <w:rPr>
          <w:u w:val="single"/>
        </w:rPr>
        <w:t xml:space="preserve">, </w:t>
      </w:r>
      <w:r>
        <w:rPr>
          <w:sz w:val="14"/>
          <w:szCs w:val="14"/>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Pr>
          <w:sz w:val="14"/>
          <w:szCs w:val="14"/>
        </w:rPr>
        <w:t>criticises</w:t>
      </w:r>
      <w:proofErr w:type="spellEnd"/>
      <w:r>
        <w:rPr>
          <w:sz w:val="14"/>
          <w:szCs w:val="14"/>
        </w:rPr>
        <w:t xml:space="preserve"> theories such as </w:t>
      </w:r>
      <w:proofErr w:type="spellStart"/>
      <w:r>
        <w:rPr>
          <w:sz w:val="14"/>
          <w:szCs w:val="14"/>
        </w:rPr>
        <w:t>Laclau’s</w:t>
      </w:r>
      <w:proofErr w:type="spellEnd"/>
      <w:r>
        <w:rPr>
          <w:sz w:val="14"/>
          <w:szCs w:val="14"/>
        </w:rPr>
        <w:t xml:space="preserve">,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Pr>
          <w:sz w:val="14"/>
          <w:szCs w:val="14"/>
        </w:rPr>
        <w:t>i.e.</w:t>
      </w:r>
      <w:proofErr w:type="gramEnd"/>
      <w:r>
        <w:rPr>
          <w:sz w:val="14"/>
          <w:szCs w:val="14"/>
        </w:rPr>
        <w:t xml:space="preserv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Pr>
          <w:sz w:val="14"/>
          <w:szCs w:val="14"/>
        </w:rPr>
        <w:t>recognised</w:t>
      </w:r>
      <w:proofErr w:type="spellEnd"/>
      <w:r>
        <w:rPr>
          <w:sz w:val="14"/>
          <w:szCs w:val="14"/>
        </w:rPr>
        <w:t xml:space="preserve">. It is because it channels such resistance that it is able to </w:t>
      </w:r>
      <w:proofErr w:type="spellStart"/>
      <w:r>
        <w:rPr>
          <w:sz w:val="14"/>
          <w:szCs w:val="14"/>
        </w:rPr>
        <w:t>mobilise</w:t>
      </w:r>
      <w:proofErr w:type="spellEnd"/>
      <w:r>
        <w:rPr>
          <w:sz w:val="14"/>
          <w:szCs w:val="14"/>
        </w:rPr>
        <w:t xml:space="preserv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proofErr w:type="spellStart"/>
      <w:r>
        <w:rPr>
          <w:sz w:val="14"/>
          <w:szCs w:val="14"/>
        </w:rPr>
        <w:t>exacberation</w:t>
      </w:r>
      <w:proofErr w:type="spellEnd"/>
      <w:r>
        <w:rPr>
          <w:sz w:val="14"/>
          <w:szCs w:val="14"/>
        </w:rPr>
        <w:t xml:space="preserve">, towards </w:t>
      </w:r>
      <w:r>
        <w:rPr>
          <w:highlight w:val="cyan"/>
          <w:u w:val="single"/>
        </w:rPr>
        <w:t>a catastrophic end of the system</w:t>
      </w:r>
      <w:r>
        <w:rPr>
          <w:sz w:val="14"/>
          <w:szCs w:val="14"/>
        </w:rPr>
        <w:t>. Baudrillard believes that the resultant death of the social will paradoxically bring about socialism</w:t>
      </w:r>
      <w:bookmarkStart w:id="5" w:name="_536pqlmqj1ao" w:colFirst="0" w:colLast="0"/>
      <w:bookmarkEnd w:id="5"/>
      <w:r>
        <w:rPr>
          <w:sz w:val="14"/>
          <w:szCs w:val="14"/>
        </w:rPr>
        <w:t>.</w:t>
      </w:r>
    </w:p>
    <w:sectPr w:rsidR="00507030" w:rsidRPr="00CD59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250"/>
    <w:multiLevelType w:val="multilevel"/>
    <w:tmpl w:val="55B8C8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6F32893"/>
    <w:multiLevelType w:val="multilevel"/>
    <w:tmpl w:val="B0D202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3863D0F"/>
    <w:multiLevelType w:val="multilevel"/>
    <w:tmpl w:val="53D20D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030"/>
    <w:rsid w:val="00507030"/>
    <w:rsid w:val="005151C6"/>
    <w:rsid w:val="00CD5963"/>
    <w:rsid w:val="00D04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3A6D50"/>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ipo.int/export/sites/www/tk/en/databases/creative_heritage/docs/ip_aboriginal_people.pdf" TargetMode="External"/><Relationship Id="rId3" Type="http://schemas.openxmlformats.org/officeDocument/2006/relationships/settings" Target="settings.xml"/><Relationship Id="rId7" Type="http://schemas.openxmlformats.org/officeDocument/2006/relationships/hyperlink" Target="https://www.csulb.edu/college-of-business/legal-resource-center/article/the-importance-of-native-american-intellectu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to.org/english/thewto_e/whatis_e/whatis_e.htm" TargetMode="External"/><Relationship Id="rId11" Type="http://schemas.openxmlformats.org/officeDocument/2006/relationships/fontTable" Target="fontTable.xml"/><Relationship Id="rId5" Type="http://schemas.openxmlformats.org/officeDocument/2006/relationships/hyperlink" Target="https://dictionary.findlaw.com/definition/resolve.html" TargetMode="External"/><Relationship Id="rId10" Type="http://schemas.openxmlformats.org/officeDocument/2006/relationships/hyperlink" Target="https://ceasefiremagazine.co.uk/in-theory-baudrillard-10/" TargetMode="External"/><Relationship Id="rId4" Type="http://schemas.openxmlformats.org/officeDocument/2006/relationships/webSettings" Target="webSettings.xml"/><Relationship Id="rId9" Type="http://schemas.openxmlformats.org/officeDocument/2006/relationships/hyperlink" Target="http://www.losguardo.net/wp-content/uploads/2017/05/2017-23-Genosk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4651</Words>
  <Characters>26513</Characters>
  <Application>Microsoft Office Word</Application>
  <DocSecurity>0</DocSecurity>
  <Lines>220</Lines>
  <Paragraphs>62</Paragraphs>
  <ScaleCrop>false</ScaleCrop>
  <Company/>
  <LinksUpToDate>false</LinksUpToDate>
  <CharactersWithSpaces>31102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7</cp:revision>
  <dcterms:created xsi:type="dcterms:W3CDTF">2021-09-24T16:28:00Z</dcterms:created>
  <dcterms:modified xsi:type="dcterms:W3CDTF">2021-09-24T17:24:00Z</dcterms:modified>
</cp:coreProperties>
</file>