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DCA9B" w14:textId="77777777" w:rsidR="00AA0503" w:rsidRDefault="009B2E1E">
      <w:pPr>
        <w:pStyle w:val="Heading1"/>
      </w:pPr>
      <w:bookmarkStart w:id="0" w:name="_4he6lh5zbin0" w:colFirst="0" w:colLast="0"/>
      <w:bookmarkEnd w:id="0"/>
      <w:r>
        <w:t>Apple Valley Round 6</w:t>
      </w:r>
    </w:p>
    <w:p w14:paraId="3C726D62" w14:textId="77777777" w:rsidR="00AA0503" w:rsidRDefault="009B2E1E">
      <w:pPr>
        <w:pStyle w:val="Heading2"/>
      </w:pPr>
      <w:bookmarkStart w:id="1" w:name="_ujmyjnu38bp7" w:colFirst="0" w:colLast="0"/>
      <w:bookmarkEnd w:id="1"/>
      <w:r>
        <w:t>1</w:t>
      </w:r>
    </w:p>
    <w:p w14:paraId="0CDB109C" w14:textId="77777777" w:rsidR="00AA0503" w:rsidRDefault="009B2E1E">
      <w:pPr>
        <w:rPr>
          <w:sz w:val="24"/>
          <w:szCs w:val="24"/>
        </w:rPr>
      </w:pPr>
      <w:r>
        <w:rPr>
          <w:b/>
          <w:sz w:val="26"/>
          <w:szCs w:val="26"/>
        </w:rPr>
        <w:t>Interpretation: All clarifications and definitions read by the affirmative must be read out loud. To clarify, no “check the doc for spec”</w:t>
      </w:r>
    </w:p>
    <w:p w14:paraId="4B18F980" w14:textId="77777777" w:rsidR="00AA0503" w:rsidRDefault="009B2E1E">
      <w:pPr>
        <w:rPr>
          <w:sz w:val="24"/>
          <w:szCs w:val="24"/>
        </w:rPr>
      </w:pPr>
      <w:r>
        <w:rPr>
          <w:b/>
          <w:sz w:val="26"/>
          <w:szCs w:val="26"/>
        </w:rPr>
        <w:t>Standards:</w:t>
      </w:r>
    </w:p>
    <w:p w14:paraId="1828929F" w14:textId="77777777" w:rsidR="00AA0503" w:rsidRDefault="009B2E1E">
      <w:pPr>
        <w:numPr>
          <w:ilvl w:val="0"/>
          <w:numId w:val="7"/>
        </w:numPr>
        <w:rPr>
          <w:b/>
          <w:sz w:val="26"/>
          <w:szCs w:val="26"/>
        </w:rPr>
      </w:pPr>
      <w:r>
        <w:rPr>
          <w:b/>
          <w:sz w:val="26"/>
          <w:szCs w:val="26"/>
        </w:rPr>
        <w:t>Infinite abuse – justifies you spamming an infinite amount of a prioris in the aff under your definitions and extending it in the 1ar so we always lose</w:t>
      </w:r>
    </w:p>
    <w:p w14:paraId="678D9F8C" w14:textId="77777777" w:rsidR="00AA0503" w:rsidRDefault="009B2E1E">
      <w:pPr>
        <w:numPr>
          <w:ilvl w:val="0"/>
          <w:numId w:val="7"/>
        </w:numPr>
        <w:rPr>
          <w:b/>
          <w:sz w:val="26"/>
          <w:szCs w:val="26"/>
        </w:rPr>
      </w:pPr>
      <w:r>
        <w:rPr>
          <w:b/>
          <w:sz w:val="26"/>
          <w:szCs w:val="26"/>
        </w:rPr>
        <w:t>Prep Skew--forces us to read through a document and flow it and also flow the AC while you just have to flow the AC, means we can’t prep the aff</w:t>
      </w:r>
    </w:p>
    <w:p w14:paraId="3F2EAA22" w14:textId="77777777" w:rsidR="00AA0503" w:rsidRDefault="009B2E1E">
      <w:pPr>
        <w:numPr>
          <w:ilvl w:val="0"/>
          <w:numId w:val="7"/>
        </w:numPr>
        <w:rPr>
          <w:b/>
          <w:sz w:val="26"/>
          <w:szCs w:val="26"/>
        </w:rPr>
      </w:pPr>
      <w:r>
        <w:rPr>
          <w:b/>
          <w:sz w:val="26"/>
          <w:szCs w:val="26"/>
        </w:rPr>
        <w:t>Time Skew--we have to take time to respond to abusive definitions in the NC but they don’t have to spend time reading the definitions in the AC</w:t>
      </w:r>
    </w:p>
    <w:p w14:paraId="7C419FE2" w14:textId="77777777" w:rsidR="00AA0503" w:rsidRDefault="009B2E1E">
      <w:pPr>
        <w:numPr>
          <w:ilvl w:val="0"/>
          <w:numId w:val="7"/>
        </w:numPr>
        <w:rPr>
          <w:b/>
          <w:sz w:val="26"/>
          <w:szCs w:val="26"/>
        </w:rPr>
      </w:pPr>
      <w:r>
        <w:rPr>
          <w:b/>
          <w:sz w:val="26"/>
          <w:szCs w:val="26"/>
        </w:rPr>
        <w:t>Reading the definitions out loud solves--doesn’t waste neg prep but allows for a clear debate</w:t>
      </w:r>
    </w:p>
    <w:p w14:paraId="7C9F9084" w14:textId="77777777" w:rsidR="00AA0503" w:rsidRDefault="009B2E1E">
      <w:pPr>
        <w:rPr>
          <w:b/>
          <w:sz w:val="26"/>
          <w:szCs w:val="26"/>
        </w:rPr>
      </w:pPr>
      <w:r>
        <w:rPr>
          <w:b/>
          <w:sz w:val="26"/>
          <w:szCs w:val="26"/>
        </w:rPr>
        <w:t>Fairness and education are voters – debate’s a game that needs rules to evaluate it and it teaches portable skills that we use lifelong. 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10781C0E" w14:textId="77777777" w:rsidR="00AA0503" w:rsidRDefault="009B2E1E">
      <w:r>
        <w:br w:type="page"/>
      </w:r>
    </w:p>
    <w:p w14:paraId="6AD9018D" w14:textId="77777777" w:rsidR="00AA0503" w:rsidRDefault="009B2E1E">
      <w:pPr>
        <w:pStyle w:val="Heading2"/>
      </w:pPr>
      <w:bookmarkStart w:id="2" w:name="_6rs86tske1zl" w:colFirst="0" w:colLast="0"/>
      <w:bookmarkEnd w:id="2"/>
      <w:r>
        <w:lastRenderedPageBreak/>
        <w:t>2</w:t>
      </w:r>
    </w:p>
    <w:p w14:paraId="221D6E78" w14:textId="77777777" w:rsidR="00AA0503" w:rsidRDefault="009B2E1E">
      <w:pPr>
        <w:shd w:val="clear" w:color="auto" w:fill="FFFFFF"/>
        <w:rPr>
          <w:rFonts w:ascii="Times New Roman" w:eastAsia="Times New Roman" w:hAnsi="Times New Roman" w:cs="Times New Roman"/>
          <w:sz w:val="24"/>
          <w:szCs w:val="24"/>
        </w:rPr>
      </w:pPr>
      <w:r>
        <w:rPr>
          <w:b/>
          <w:sz w:val="26"/>
          <w:szCs w:val="26"/>
        </w:rPr>
        <w:t>Interp: Debaters must disclose tournaments on the 2021-2022 NDCA LD wiki under the actual name of the tournament on tabroom for every round at said tournament. To clarify- when you look up the tournament name from the wiki on tab, the exact entry must pop up</w:t>
      </w:r>
    </w:p>
    <w:p w14:paraId="5E23A8F7" w14:textId="77777777" w:rsidR="00AA0503" w:rsidRDefault="009B2E1E">
      <w:pPr>
        <w:shd w:val="clear" w:color="auto" w:fill="FFFFFF"/>
        <w:rPr>
          <w:b/>
          <w:sz w:val="26"/>
          <w:szCs w:val="26"/>
        </w:rPr>
      </w:pPr>
      <w:r>
        <w:rPr>
          <w:b/>
          <w:noProof/>
          <w:sz w:val="26"/>
          <w:szCs w:val="26"/>
        </w:rPr>
        <w:drawing>
          <wp:inline distT="114300" distB="114300" distL="114300" distR="114300" wp14:anchorId="70E2D490" wp14:editId="49018230">
            <wp:extent cx="4410075" cy="63436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410075" cy="6343650"/>
                    </a:xfrm>
                    <a:prstGeom prst="rect">
                      <a:avLst/>
                    </a:prstGeom>
                    <a:ln/>
                  </pic:spPr>
                </pic:pic>
              </a:graphicData>
            </a:graphic>
          </wp:inline>
        </w:drawing>
      </w:r>
    </w:p>
    <w:p w14:paraId="1915EE7D" w14:textId="77777777" w:rsidR="00AA0503" w:rsidRDefault="00AA0503">
      <w:pPr>
        <w:shd w:val="clear" w:color="auto" w:fill="FFFFFF"/>
        <w:rPr>
          <w:b/>
          <w:sz w:val="26"/>
          <w:szCs w:val="26"/>
        </w:rPr>
      </w:pPr>
    </w:p>
    <w:p w14:paraId="796AF451" w14:textId="77777777" w:rsidR="00AA0503" w:rsidRDefault="00DE0371">
      <w:pPr>
        <w:shd w:val="clear" w:color="auto" w:fill="FFFFFF"/>
        <w:rPr>
          <w:b/>
          <w:sz w:val="26"/>
          <w:szCs w:val="26"/>
        </w:rPr>
      </w:pPr>
      <w:hyperlink r:id="rId8">
        <w:r w:rsidR="009B2E1E">
          <w:rPr>
            <w:b/>
            <w:color w:val="1155CC"/>
            <w:sz w:val="26"/>
            <w:szCs w:val="26"/>
            <w:u w:val="single"/>
          </w:rPr>
          <w:t>https://www.tabroom.com/index/tourn/index.mhtml?tourn_id=20874</w:t>
        </w:r>
      </w:hyperlink>
    </w:p>
    <w:p w14:paraId="172BCF80" w14:textId="77777777" w:rsidR="00AA0503" w:rsidRDefault="009B2E1E">
      <w:pPr>
        <w:shd w:val="clear" w:color="auto" w:fill="FFFFFF"/>
        <w:rPr>
          <w:b/>
          <w:sz w:val="26"/>
          <w:szCs w:val="26"/>
        </w:rPr>
      </w:pPr>
      <w:r>
        <w:rPr>
          <w:b/>
          <w:sz w:val="26"/>
          <w:szCs w:val="26"/>
        </w:rPr>
        <w:t>Apple Valley MinneApple Debate Tournament</w:t>
      </w:r>
      <w:r>
        <w:rPr>
          <w:b/>
          <w:sz w:val="26"/>
          <w:szCs w:val="26"/>
        </w:rPr>
        <w:tab/>
      </w:r>
    </w:p>
    <w:p w14:paraId="06C40F96" w14:textId="77777777" w:rsidR="00AA0503" w:rsidRDefault="00DE0371">
      <w:pPr>
        <w:shd w:val="clear" w:color="auto" w:fill="FFFFFF"/>
        <w:rPr>
          <w:b/>
          <w:sz w:val="26"/>
          <w:szCs w:val="26"/>
        </w:rPr>
      </w:pPr>
      <w:hyperlink r:id="rId9">
        <w:r w:rsidR="009B2E1E">
          <w:rPr>
            <w:b/>
            <w:color w:val="1155CC"/>
            <w:sz w:val="26"/>
            <w:szCs w:val="26"/>
            <w:u w:val="single"/>
          </w:rPr>
          <w:t>https://www.tabroom.com/index/tourn/index.mhtml?tourn_id=20399</w:t>
        </w:r>
      </w:hyperlink>
    </w:p>
    <w:p w14:paraId="2A9695CE" w14:textId="77777777" w:rsidR="00AA0503" w:rsidRDefault="009B2E1E">
      <w:pPr>
        <w:shd w:val="clear" w:color="auto" w:fill="FFFFFF"/>
        <w:rPr>
          <w:b/>
          <w:sz w:val="26"/>
          <w:szCs w:val="26"/>
        </w:rPr>
      </w:pPr>
      <w:r>
        <w:rPr>
          <w:b/>
          <w:sz w:val="26"/>
          <w:szCs w:val="26"/>
        </w:rPr>
        <w:t>New York City Invitational Debate and Speech Tournament</w:t>
      </w:r>
      <w:r>
        <w:rPr>
          <w:b/>
          <w:sz w:val="26"/>
          <w:szCs w:val="26"/>
        </w:rPr>
        <w:tab/>
      </w:r>
    </w:p>
    <w:p w14:paraId="6DFDCF08" w14:textId="77777777" w:rsidR="00AA0503" w:rsidRDefault="00AA0503">
      <w:pPr>
        <w:shd w:val="clear" w:color="auto" w:fill="FFFFFF"/>
        <w:rPr>
          <w:b/>
          <w:sz w:val="26"/>
          <w:szCs w:val="26"/>
        </w:rPr>
      </w:pPr>
    </w:p>
    <w:p w14:paraId="3CFC65E2" w14:textId="77777777" w:rsidR="00AA0503" w:rsidRDefault="009B2E1E">
      <w:pPr>
        <w:shd w:val="clear" w:color="auto" w:fill="FFFFFF"/>
        <w:rPr>
          <w:rFonts w:ascii="Times New Roman" w:eastAsia="Times New Roman" w:hAnsi="Times New Roman" w:cs="Times New Roman"/>
          <w:sz w:val="24"/>
          <w:szCs w:val="24"/>
        </w:rPr>
      </w:pPr>
      <w:r>
        <w:rPr>
          <w:b/>
          <w:sz w:val="26"/>
          <w:szCs w:val="26"/>
        </w:rPr>
        <w:t>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didnt’ you had the advantage in this round. Outweighs - none of their standards matter if debaters can’t access them and means reasonability is uniquely wrong since even a 1% risk of exclusion is bad, you obviously don’t say some level of exclusion is justified</w:t>
      </w:r>
    </w:p>
    <w:p w14:paraId="39DD723B" w14:textId="77777777" w:rsidR="00AA0503" w:rsidRDefault="009B2E1E">
      <w:r>
        <w:br w:type="page"/>
      </w:r>
    </w:p>
    <w:p w14:paraId="7F74272F" w14:textId="77777777" w:rsidR="00AA0503" w:rsidRDefault="009B2E1E">
      <w:pPr>
        <w:pStyle w:val="Heading2"/>
      </w:pPr>
      <w:bookmarkStart w:id="3" w:name="_56kkazb26cn4" w:colFirst="0" w:colLast="0"/>
      <w:bookmarkEnd w:id="3"/>
      <w:r>
        <w:lastRenderedPageBreak/>
        <w:t>3</w:t>
      </w:r>
    </w:p>
    <w:p w14:paraId="2610298A" w14:textId="77777777" w:rsidR="00AA0503" w:rsidRDefault="009B2E1E">
      <w:pPr>
        <w:rPr>
          <w:b/>
          <w:sz w:val="26"/>
          <w:szCs w:val="26"/>
        </w:rPr>
      </w:pPr>
      <w:r>
        <w:rPr>
          <w:b/>
          <w:sz w:val="26"/>
          <w:szCs w:val="26"/>
        </w:rPr>
        <w:t>Counterplan: A just government ought to recognize an unconditional right of workers to strike except in the instance that strikes directly demand discrimination towards certain groups of individuals</w:t>
      </w:r>
    </w:p>
    <w:p w14:paraId="55166986" w14:textId="77777777" w:rsidR="00AA0503" w:rsidRDefault="009B2E1E">
      <w:r>
        <w:rPr>
          <w:b/>
          <w:sz w:val="26"/>
          <w:szCs w:val="26"/>
        </w:rPr>
        <w:t xml:space="preserve">BPSC </w:t>
      </w:r>
      <w:r>
        <w:t>[Unfair Labor Practices by Union, http://bpscllc.com/unfair-labor-practices-by-unions.html, N.D., Business &amp; People Strategy Consulting Group, California's trusted source for workplace human resources and employment law] [SS]</w:t>
      </w:r>
    </w:p>
    <w:p w14:paraId="57DB2414" w14:textId="77777777" w:rsidR="00AA0503" w:rsidRDefault="009B2E1E">
      <w:r>
        <w:rPr>
          <w:sz w:val="16"/>
          <w:szCs w:val="16"/>
        </w:rPr>
        <w:t xml:space="preserve">Causing or Attempting to Cause Discrimination: Section 8(b)(2) makes it </w:t>
      </w:r>
      <w:r>
        <w:rPr>
          <w:highlight w:val="cyan"/>
          <w:u w:val="single"/>
        </w:rPr>
        <w:t>an unfair labor practice for a labor organization</w:t>
      </w:r>
      <w:r>
        <w:rPr>
          <w:u w:val="single"/>
        </w:rPr>
        <w:t xml:space="preserve"> to </w:t>
      </w:r>
      <w:r>
        <w:rPr>
          <w:highlight w:val="cyan"/>
          <w:u w:val="single"/>
        </w:rPr>
        <w:t>cause</w:t>
      </w:r>
      <w:r>
        <w:rPr>
          <w:sz w:val="16"/>
          <w:szCs w:val="16"/>
        </w:rPr>
        <w:t xml:space="preserve"> or attempt to cause </w:t>
      </w:r>
      <w:r>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highlight w:val="cyan"/>
          <w:u w:val="single"/>
        </w:rPr>
        <w:t>A union</w:t>
      </w:r>
      <w:r>
        <w:rPr>
          <w:u w:val="single"/>
        </w:rPr>
        <w:t xml:space="preserve">’s conduct, accompanied by statements </w:t>
      </w:r>
      <w:r>
        <w:rPr>
          <w:highlight w:val="cyan"/>
          <w:u w:val="single"/>
        </w:rPr>
        <w:t xml:space="preserve">advising </w:t>
      </w:r>
      <w:r>
        <w:rPr>
          <w:sz w:val="16"/>
          <w:szCs w:val="16"/>
        </w:rPr>
        <w:t xml:space="preserve">or suggesting </w:t>
      </w:r>
      <w:r>
        <w:rPr>
          <w:u w:val="single"/>
        </w:rPr>
        <w:t xml:space="preserve">that action is expected of </w:t>
      </w:r>
      <w:r>
        <w:rPr>
          <w:highlight w:val="cyan"/>
          <w:u w:val="single"/>
        </w:rPr>
        <w:t>an employer</w:t>
      </w:r>
      <w:r>
        <w:rPr>
          <w:sz w:val="16"/>
          <w:szCs w:val="16"/>
        </w:rPr>
        <w:t xml:space="preserve">, may be enough to find a violation of this section </w:t>
      </w:r>
      <w:r>
        <w:rPr>
          <w:u w:val="single"/>
        </w:rPr>
        <w:t xml:space="preserve">if the union’s action can be shown </w:t>
      </w:r>
      <w:r>
        <w:rPr>
          <w:highlight w:val="cyan"/>
          <w:u w:val="single"/>
        </w:rPr>
        <w:t>to</w:t>
      </w:r>
      <w:r>
        <w:rPr>
          <w:u w:val="single"/>
        </w:rPr>
        <w:t xml:space="preserve"> be a causal factor in the employer’s </w:t>
      </w:r>
      <w:r>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highlight w:val="cyan"/>
          <w:u w:val="single"/>
        </w:rPr>
        <w:t>require</w:t>
      </w:r>
      <w:r>
        <w:rPr>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0D03EA69" w14:textId="77777777" w:rsidR="00AA0503" w:rsidRDefault="00AA0503"/>
    <w:p w14:paraId="6A447B22" w14:textId="77777777" w:rsidR="00AA0503" w:rsidRDefault="009B2E1E">
      <w:pPr>
        <w:rPr>
          <w:b/>
          <w:sz w:val="26"/>
          <w:szCs w:val="26"/>
        </w:rPr>
      </w:pPr>
      <w:r>
        <w:rPr>
          <w:b/>
          <w:sz w:val="26"/>
          <w:szCs w:val="26"/>
        </w:rPr>
        <w:t>Racist union strikes have happened before and renders marginalized voices as ungrievable</w:t>
      </w:r>
    </w:p>
    <w:p w14:paraId="6034C202" w14:textId="77777777" w:rsidR="00AA0503" w:rsidRDefault="009B2E1E">
      <w:r>
        <w:t xml:space="preserve">Allison </w:t>
      </w:r>
      <w:r>
        <w:rPr>
          <w:b/>
          <w:sz w:val="26"/>
          <w:szCs w:val="26"/>
        </w:rPr>
        <w:t>Keyes</w:t>
      </w:r>
      <w:r>
        <w:t xml:space="preserve">, JUNE 30, </w:t>
      </w:r>
      <w:r>
        <w:rPr>
          <w:b/>
          <w:sz w:val="26"/>
          <w:szCs w:val="26"/>
        </w:rPr>
        <w:t>2017</w:t>
      </w:r>
      <w:r>
        <w:t>, "The East St. Louis Race Riot Left Dozens Dead, Devastating a Community on the Rise," Smithsonian Magazine, https://www.smithsonianmag.com/smithsonian-institution/east-st-louis-race-riot-left-dozens-dead-devastating-community-on-the-rise-180963885/ //SR</w:t>
      </w:r>
    </w:p>
    <w:p w14:paraId="6303ADD3" w14:textId="77777777" w:rsidR="00AA0503" w:rsidRDefault="009B2E1E">
      <w:r>
        <w:rPr>
          <w:highlight w:val="cyan"/>
          <w:u w:val="single"/>
        </w:rPr>
        <w:t>Racial tensions began simmering in East St. Louis</w:t>
      </w:r>
      <w:r>
        <w:rPr>
          <w:sz w:val="16"/>
          <w:szCs w:val="16"/>
        </w:rPr>
        <w:t xml:space="preserve">—a city </w:t>
      </w:r>
      <w:r>
        <w:rPr>
          <w:u w:val="single"/>
        </w:rPr>
        <w:t xml:space="preserve">where </w:t>
      </w:r>
      <w:r>
        <w:rPr>
          <w:highlight w:val="cyan"/>
          <w:u w:val="single"/>
        </w:rPr>
        <w:t>thousands of blacks</w:t>
      </w:r>
      <w:r>
        <w:rPr>
          <w:u w:val="single"/>
        </w:rPr>
        <w:t xml:space="preserve"> had </w:t>
      </w:r>
      <w:r>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Pr>
          <w:highlight w:val="cyan"/>
          <w:u w:val="single"/>
        </w:rPr>
        <w:t>the</w:t>
      </w:r>
      <w:r>
        <w:rPr>
          <w:u w:val="single"/>
        </w:rPr>
        <w:t xml:space="preserve"> largely </w:t>
      </w:r>
      <w:r>
        <w:rPr>
          <w:highlight w:val="cyan"/>
          <w:u w:val="single"/>
        </w:rPr>
        <w:t>white workforce</w:t>
      </w:r>
      <w:r>
        <w:rPr>
          <w:u w:val="single"/>
        </w:rPr>
        <w:t xml:space="preserve"> at the Aluminum Ore Company </w:t>
      </w:r>
      <w:r>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Pr>
          <w:highlight w:val="cyan"/>
          <w:u w:val="single"/>
        </w:rPr>
        <w:t>beating any African-Americans they found</w:t>
      </w:r>
      <w:r>
        <w:rPr>
          <w:sz w:val="16"/>
          <w:szCs w:val="16"/>
        </w:rPr>
        <w:t>, even pulling individuals off of streetcars and trolleys. The National Guard was called in but dispersed in June.</w:t>
      </w:r>
    </w:p>
    <w:p w14:paraId="1F307576" w14:textId="77777777" w:rsidR="00AA0503" w:rsidRDefault="009B2E1E">
      <w:r>
        <w:br w:type="page"/>
      </w:r>
    </w:p>
    <w:p w14:paraId="2116E25F" w14:textId="77777777" w:rsidR="00AA0503" w:rsidRDefault="009B2E1E">
      <w:pPr>
        <w:pStyle w:val="Heading2"/>
      </w:pPr>
      <w:bookmarkStart w:id="4" w:name="_fdzj13b9k8vk" w:colFirst="0" w:colLast="0"/>
      <w:bookmarkEnd w:id="4"/>
      <w:r>
        <w:lastRenderedPageBreak/>
        <w:t>4</w:t>
      </w:r>
    </w:p>
    <w:p w14:paraId="05F71A53" w14:textId="77777777" w:rsidR="00AA0503" w:rsidRDefault="009B2E1E">
      <w:pPr>
        <w:rPr>
          <w:b/>
          <w:sz w:val="26"/>
          <w:szCs w:val="26"/>
        </w:rPr>
      </w:pPr>
      <w:r>
        <w:rPr>
          <w:b/>
          <w:sz w:val="26"/>
          <w:szCs w:val="26"/>
        </w:rPr>
        <w:t>CP: The United States ought to recognize an unconditional right of workers to strike through tribal law</w:t>
      </w:r>
    </w:p>
    <w:p w14:paraId="73B9A463" w14:textId="77777777" w:rsidR="00AA0503" w:rsidRDefault="00AA0503">
      <w:pPr>
        <w:rPr>
          <w:b/>
          <w:sz w:val="26"/>
          <w:szCs w:val="26"/>
        </w:rPr>
      </w:pPr>
    </w:p>
    <w:p w14:paraId="33E459AF" w14:textId="77777777" w:rsidR="00AA0503" w:rsidRDefault="009B2E1E">
      <w:pPr>
        <w:rPr>
          <w:b/>
          <w:sz w:val="26"/>
          <w:szCs w:val="26"/>
        </w:rPr>
      </w:pPr>
      <w:r>
        <w:rPr>
          <w:b/>
          <w:sz w:val="26"/>
          <w:szCs w:val="26"/>
        </w:rPr>
        <w:t>To clarify, we pic out of the United States process for the aff and replace it with the counterplan, but every other country stays the same</w:t>
      </w:r>
    </w:p>
    <w:p w14:paraId="5A5161D1" w14:textId="77777777" w:rsidR="00AA0503" w:rsidRDefault="00AA0503">
      <w:pPr>
        <w:rPr>
          <w:b/>
          <w:sz w:val="26"/>
          <w:szCs w:val="26"/>
        </w:rPr>
      </w:pPr>
    </w:p>
    <w:p w14:paraId="7F22878F" w14:textId="77777777" w:rsidR="00AA0503" w:rsidRDefault="009B2E1E">
      <w:pPr>
        <w:rPr>
          <w:b/>
          <w:sz w:val="26"/>
          <w:szCs w:val="26"/>
        </w:rPr>
      </w:pPr>
      <w:r>
        <w:rPr>
          <w:b/>
          <w:sz w:val="26"/>
          <w:szCs w:val="26"/>
        </w:rPr>
        <w:t>They say they defend normal means which is federal law, but tribal law is key to respect indigenous sovereignty and solves the aff better. The perm is severance and creates an overlap that undermines tribal jurisdiction--only we render indigenous voices grievable</w:t>
      </w:r>
    </w:p>
    <w:p w14:paraId="6AB763B8" w14:textId="77777777" w:rsidR="00AA0503" w:rsidRDefault="009B2E1E">
      <w:r>
        <w:rPr>
          <w:b/>
          <w:sz w:val="26"/>
          <w:szCs w:val="26"/>
        </w:rPr>
        <w:t>HLR, 1-11</w:t>
      </w:r>
      <w:r>
        <w:t xml:space="preserve">-21, “Tribal Power, Worker Power: Organizing Unions in the Context of Native Sovereignty” </w:t>
      </w:r>
      <w:hyperlink r:id="rId10">
        <w:r>
          <w:rPr>
            <w:color w:val="1155CC"/>
            <w:u w:val="single"/>
          </w:rPr>
          <w:t>https://harvardlawreview.org/2021/01/tribal-power-worker-power-organizing-unions-in-the-context-of-native-sovereignty/</w:t>
        </w:r>
      </w:hyperlink>
      <w:r>
        <w:t xml:space="preserve"> //SR</w:t>
      </w:r>
    </w:p>
    <w:p w14:paraId="187983E8" w14:textId="77777777" w:rsidR="00AA0503" w:rsidRDefault="009B2E1E">
      <w:r>
        <w:rPr>
          <w:sz w:val="16"/>
          <w:szCs w:val="16"/>
        </w:rPr>
        <w:t xml:space="preserve">A. </w:t>
      </w:r>
      <w:r>
        <w:rPr>
          <w:highlight w:val="cyan"/>
          <w:u w:val="single"/>
        </w:rPr>
        <w:t>Tribal Law as Alternative to Federal Law</w:t>
      </w:r>
      <w:r>
        <w:rPr>
          <w:sz w:val="16"/>
          <w:szCs w:val="16"/>
        </w:rPr>
        <w:t xml:space="preserve"> </w:t>
      </w:r>
      <w:r>
        <w:rPr>
          <w:u w:val="single"/>
        </w:rPr>
        <w:t>Unions’ fight to apply the NLRA to tribal enterprises rests on a false premise: that without federal law, tribal employees will lack any legal protections</w:t>
      </w:r>
      <w:r>
        <w:rPr>
          <w:sz w:val="16"/>
          <w:szCs w:val="16"/>
        </w:rPr>
        <w:t xml:space="preserve">. </w:t>
      </w:r>
      <w:r>
        <w:rPr>
          <w:u w:val="single"/>
        </w:rPr>
        <w:t>Like other sovereigns</w:t>
      </w:r>
      <w:r>
        <w:rPr>
          <w:sz w:val="16"/>
          <w:szCs w:val="16"/>
        </w:rPr>
        <w:t xml:space="preserve"> exempted from the NLRA, </w:t>
      </w:r>
      <w:r>
        <w:rPr>
          <w:u w:val="single"/>
        </w:rPr>
        <w:t>Native nations have the authority to promulgate labor regulations and an economic and sovereign interest in doing so</w:t>
      </w:r>
      <w:r>
        <w:rPr>
          <w:sz w:val="16"/>
          <w:szCs w:val="16"/>
        </w:rPr>
        <w:t xml:space="preserve">. Many </w:t>
      </w:r>
      <w:r>
        <w:rPr>
          <w:highlight w:val="cyan"/>
          <w:u w:val="single"/>
        </w:rPr>
        <w:t>tribal governments have developed comprehensive labor codes</w:t>
      </w:r>
      <w:r>
        <w:rPr>
          <w:sz w:val="16"/>
          <w:szCs w:val="16"/>
        </w:rPr>
        <w:t xml:space="preserve">. The following examples provide some insight into how unions and Native nations can coexist and exhibit mutual respect — even, in some cases, </w:t>
      </w:r>
      <w:r>
        <w:rPr>
          <w:highlight w:val="cyan"/>
          <w:u w:val="single"/>
        </w:rPr>
        <w:t xml:space="preserve">allowing </w:t>
      </w:r>
      <w:r>
        <w:rPr>
          <w:u w:val="single"/>
        </w:rPr>
        <w:t xml:space="preserve">workers </w:t>
      </w:r>
      <w:r>
        <w:rPr>
          <w:highlight w:val="cyan"/>
          <w:u w:val="single"/>
        </w:rPr>
        <w:t>greater protection than</w:t>
      </w:r>
      <w:r>
        <w:rPr>
          <w:u w:val="single"/>
        </w:rPr>
        <w:t xml:space="preserve"> is currently available under </w:t>
      </w:r>
      <w:r>
        <w:rPr>
          <w:highlight w:val="cyan"/>
          <w:u w:val="single"/>
        </w:rPr>
        <w:t>federal law</w:t>
      </w:r>
      <w:r>
        <w:rPr>
          <w:sz w:val="16"/>
          <w:szCs w:val="16"/>
        </w:rPr>
        <w:t xml:space="preserve">. </w:t>
      </w:r>
      <w:r>
        <w:rPr>
          <w:u w:val="single"/>
        </w:rPr>
        <w:t>The Navajo Nation provides a leading example</w:t>
      </w:r>
      <w:r>
        <w:rPr>
          <w:sz w:val="16"/>
          <w:szCs w:val="16"/>
        </w:rPr>
        <w:t xml:space="preserve"> of effective tribal-labor relations. </w:t>
      </w:r>
      <w:r>
        <w:rPr>
          <w:u w:val="single"/>
        </w:rPr>
        <w:t>In the 1990s, the Navajo Council promulgated a labor code that established collective bargaining rights for employees of the Navajo government and tribally owned corporations</w:t>
      </w:r>
      <w:r>
        <w:rPr>
          <w:sz w:val="16"/>
          <w:szCs w:val="16"/>
        </w:rPr>
        <w:t>. The Laborers’ International Union of North America (</w:t>
      </w:r>
      <w:r>
        <w:rPr>
          <w:u w:val="single"/>
        </w:rPr>
        <w:t>LiUNA</w:t>
      </w:r>
      <w:r>
        <w:rPr>
          <w:sz w:val="16"/>
          <w:szCs w:val="16"/>
        </w:rPr>
        <w:t xml:space="preserve">) </w:t>
      </w:r>
      <w:r>
        <w:rPr>
          <w:u w:val="single"/>
        </w:rPr>
        <w:t>subsequently campaigned to unionize the Navajo Area Indian Health Service (IHS).</w:t>
      </w:r>
      <w:r>
        <w:rPr>
          <w:sz w:val="16"/>
          <w:szCs w:val="16"/>
        </w:rPr>
        <w:t xml:space="preserve"> The IHS — unlike many tribal enterprises — employs a majority Native workforce. </w:t>
      </w:r>
      <w:r>
        <w:rPr>
          <w:u w:val="single"/>
        </w:rPr>
        <w:t>The union therefore served as a tool for both improving workplace conditions and amplifying the political will of tribal citizens</w:t>
      </w:r>
      <w:r>
        <w:rPr>
          <w:sz w:val="16"/>
          <w:szCs w:val="16"/>
        </w:rPr>
        <w:t xml:space="preserve">. Union organizers found that Navajo law presented some advantages over federal law: </w:t>
      </w:r>
      <w:r>
        <w:rPr>
          <w:highlight w:val="cyan"/>
          <w:u w:val="single"/>
        </w:rPr>
        <w:t>Unlike federal law, the Navajo code mandates employer neutrality</w:t>
      </w:r>
      <w:r>
        <w:rPr>
          <w:u w:val="single"/>
        </w:rPr>
        <w:t xml:space="preserve">, thus </w:t>
      </w:r>
      <w:r>
        <w:rPr>
          <w:highlight w:val="cyan"/>
          <w:u w:val="single"/>
        </w:rPr>
        <w:t>prohibiting</w:t>
      </w:r>
      <w:r>
        <w:rPr>
          <w:u w:val="single"/>
        </w:rPr>
        <w:t xml:space="preserve"> employers from engaging in </w:t>
      </w:r>
      <w:r>
        <w:rPr>
          <w:highlight w:val="cyan"/>
          <w:u w:val="single"/>
        </w:rPr>
        <w:t>anti-union campaigns</w:t>
      </w:r>
      <w:r>
        <w:rPr>
          <w:sz w:val="16"/>
          <w:szCs w:val="16"/>
        </w:rPr>
        <w:t xml:space="preserve">. </w:t>
      </w:r>
      <w:r>
        <w:rPr>
          <w:u w:val="single"/>
        </w:rPr>
        <w:t xml:space="preserve">Navajo law </w:t>
      </w:r>
      <w:r>
        <w:rPr>
          <w:highlight w:val="cyan"/>
          <w:u w:val="single"/>
        </w:rPr>
        <w:t>also</w:t>
      </w:r>
      <w:r>
        <w:rPr>
          <w:u w:val="single"/>
        </w:rPr>
        <w:t xml:space="preserve"> provides for </w:t>
      </w:r>
      <w:r>
        <w:rPr>
          <w:highlight w:val="cyan"/>
          <w:u w:val="single"/>
        </w:rPr>
        <w:t>card-check recognition</w:t>
      </w:r>
      <w:r>
        <w:rPr>
          <w:u w:val="single"/>
        </w:rPr>
        <w:t>, whereby a union is automatically recognized if more than fifty-five percent of workers express support by signing union cards</w:t>
      </w:r>
      <w:r>
        <w:rPr>
          <w:sz w:val="16"/>
          <w:szCs w:val="16"/>
        </w:rPr>
        <w:t xml:space="preserve">. Ultimately, </w:t>
      </w:r>
      <w:r>
        <w:rPr>
          <w:u w:val="single"/>
        </w:rPr>
        <w:t xml:space="preserve">the IHS campaign yielded a collective bargaining agreement </w:t>
      </w:r>
      <w:r>
        <w:rPr>
          <w:highlight w:val="cyan"/>
          <w:u w:val="single"/>
        </w:rPr>
        <w:t>without Board or court involvement</w:t>
      </w:r>
      <w:r>
        <w:rPr>
          <w:sz w:val="16"/>
          <w:szCs w:val="16"/>
        </w:rPr>
        <w:t xml:space="preserve">. The Mashantucket Pequot Tribal Nation provides a contrasting example. In 2007, the United Auto Workers (UAW) won an NLRB-administered election among majority non-Native dealers at Foxwoods Casino. Earlier that year, in response to both the UAW campaign and the San Manuel decisions, the Tribe, which owns Foxwoods, had promulgated a labor code that was largely hostile to unions. Following the election, the Tribe unsuccessfully challenged the NLRB’s jurisdiction; in parallel, the Tribe and union negotiated. Following this negotiation, the Tribe’s labor ordinance was amended both to allow union security agreements for contracts negotiated under tribal law and to establish a neutral third-party dispute resolution procedure. The ordinance retained its no-strike provision. The result was a legal framework resembling many public-sector collective bargaining laws, without injuring Mashantucket Pequot sovereignty. At least three unions have since organized under Mashantucket Pequot law. </w:t>
      </w:r>
      <w:r>
        <w:rPr>
          <w:u w:val="single"/>
        </w:rPr>
        <w:t>California’s IGRA compacting process has created a</w:t>
      </w:r>
      <w:r>
        <w:rPr>
          <w:sz w:val="16"/>
          <w:szCs w:val="16"/>
        </w:rPr>
        <w:t xml:space="preserve"> third </w:t>
      </w:r>
      <w:r>
        <w:rPr>
          <w:u w:val="single"/>
        </w:rPr>
        <w:t>example of how Native nations may regulate tribal labor relations</w:t>
      </w:r>
      <w:r>
        <w:rPr>
          <w:sz w:val="16"/>
          <w:szCs w:val="16"/>
        </w:rPr>
        <w:t xml:space="preserve">. </w:t>
      </w:r>
      <w:r>
        <w:rPr>
          <w:highlight w:val="cyan"/>
          <w:u w:val="single"/>
        </w:rPr>
        <w:t>Many Native nations</w:t>
      </w:r>
      <w:r>
        <w:rPr>
          <w:sz w:val="16"/>
          <w:szCs w:val="16"/>
        </w:rPr>
        <w:t xml:space="preserve"> in California </w:t>
      </w:r>
      <w:r>
        <w:rPr>
          <w:u w:val="single"/>
        </w:rPr>
        <w:t xml:space="preserve">have </w:t>
      </w:r>
      <w:r>
        <w:rPr>
          <w:highlight w:val="cyan"/>
          <w:u w:val="single"/>
        </w:rPr>
        <w:t>adopt</w:t>
      </w:r>
      <w:r>
        <w:rPr>
          <w:u w:val="single"/>
        </w:rPr>
        <w:t xml:space="preserve">ed </w:t>
      </w:r>
      <w:r>
        <w:rPr>
          <w:highlight w:val="cyan"/>
          <w:u w:val="single"/>
        </w:rPr>
        <w:t>tribal labor relations ordinances</w:t>
      </w:r>
      <w:r>
        <w:rPr>
          <w:u w:val="single"/>
        </w:rPr>
        <w:t xml:space="preserve"> (</w:t>
      </w:r>
      <w:r>
        <w:rPr>
          <w:highlight w:val="cyan"/>
          <w:u w:val="single"/>
        </w:rPr>
        <w:t>TLROs</w:t>
      </w:r>
      <w:r>
        <w:rPr>
          <w:u w:val="single"/>
        </w:rPr>
        <w:t>)</w:t>
      </w:r>
      <w:r>
        <w:rPr>
          <w:sz w:val="16"/>
          <w:szCs w:val="16"/>
        </w:rPr>
        <w:t xml:space="preserve"> as a condition of their gaming compacts negotiated with the state. TLROs promulgated in response to compacting provide an interesting model of what Professor David Kamper calls “interdependent self-determination,” as </w:t>
      </w:r>
      <w:r>
        <w:rPr>
          <w:u w:val="single"/>
        </w:rPr>
        <w:t xml:space="preserve">compacting </w:t>
      </w:r>
      <w:r>
        <w:rPr>
          <w:highlight w:val="cyan"/>
          <w:u w:val="single"/>
        </w:rPr>
        <w:t>requires unions and Native governments to work together</w:t>
      </w:r>
      <w:r>
        <w:rPr>
          <w:u w:val="single"/>
        </w:rPr>
        <w:t xml:space="preserve"> to build a labor-relations framework that is </w:t>
      </w:r>
      <w:r>
        <w:rPr>
          <w:highlight w:val="cyan"/>
          <w:u w:val="single"/>
        </w:rPr>
        <w:t>rooted in Native sovereign power</w:t>
      </w:r>
      <w:r>
        <w:rPr>
          <w:sz w:val="16"/>
          <w:szCs w:val="16"/>
        </w:rPr>
        <w:t xml:space="preserve">. In some cases, the resulting ordinances are more friendly to labor than many state labor laws. Although the model California TLRO prohibits most strikes, it allows them when collective bargaining has reached an impasse.  In these cases, </w:t>
      </w:r>
      <w:r>
        <w:rPr>
          <w:u w:val="single"/>
        </w:rPr>
        <w:t xml:space="preserve">the TLRO also permits secondary boycotting — thus </w:t>
      </w:r>
      <w:r>
        <w:rPr>
          <w:highlight w:val="cyan"/>
          <w:u w:val="single"/>
        </w:rPr>
        <w:t>offering protection beyond</w:t>
      </w:r>
      <w:r>
        <w:rPr>
          <w:u w:val="single"/>
        </w:rPr>
        <w:t xml:space="preserve"> that offered by </w:t>
      </w:r>
      <w:r>
        <w:rPr>
          <w:highlight w:val="cyan"/>
          <w:u w:val="single"/>
        </w:rPr>
        <w:t>the NLRA</w:t>
      </w:r>
      <w:r>
        <w:rPr>
          <w:sz w:val="16"/>
          <w:szCs w:val="16"/>
        </w:rPr>
        <w:t xml:space="preserve">.  The San Manuel ordinance authorizes unions to negotiate subjects beyond the “terms and conditions of employment,”  and the Tribe’s gaming compact prohibited discrimination on the basis of sexual orientation before federal law </w:t>
      </w:r>
      <w:r>
        <w:rPr>
          <w:sz w:val="16"/>
          <w:szCs w:val="16"/>
        </w:rPr>
        <w:lastRenderedPageBreak/>
        <w:t xml:space="preserve">did.  California’s TLROs have been criticized by champions of sovereignty.  But the underlying principle of </w:t>
      </w:r>
      <w:r>
        <w:rPr>
          <w:u w:val="single"/>
        </w:rPr>
        <w:t xml:space="preserve">encouraging the promulgation of </w:t>
      </w:r>
      <w:r>
        <w:rPr>
          <w:highlight w:val="cyan"/>
          <w:u w:val="single"/>
        </w:rPr>
        <w:t xml:space="preserve">tribal </w:t>
      </w:r>
      <w:r>
        <w:rPr>
          <w:u w:val="single"/>
        </w:rPr>
        <w:t xml:space="preserve">labor </w:t>
      </w:r>
      <w:r>
        <w:rPr>
          <w:highlight w:val="cyan"/>
          <w:u w:val="single"/>
        </w:rPr>
        <w:t xml:space="preserve">law </w:t>
      </w:r>
      <w:r>
        <w:rPr>
          <w:u w:val="single"/>
        </w:rPr>
        <w:t xml:space="preserve">through the compacting process presents a </w:t>
      </w:r>
      <w:r>
        <w:rPr>
          <w:highlight w:val="cyan"/>
          <w:u w:val="single"/>
        </w:rPr>
        <w:t>promis</w:t>
      </w:r>
      <w:r>
        <w:rPr>
          <w:u w:val="single"/>
        </w:rPr>
        <w:t xml:space="preserve">ing model of interdependent </w:t>
      </w:r>
      <w:r>
        <w:rPr>
          <w:highlight w:val="cyan"/>
          <w:u w:val="single"/>
        </w:rPr>
        <w:t>self-determination</w:t>
      </w:r>
      <w:r>
        <w:rPr>
          <w:sz w:val="16"/>
          <w:szCs w:val="16"/>
        </w:rPr>
        <w:t xml:space="preserve">. As the California and Mashantucket Pequot examples illustrate, </w:t>
      </w:r>
      <w:r>
        <w:rPr>
          <w:u w:val="single"/>
        </w:rPr>
        <w:t>many tribal labor codes are promulgated in response to ongoing union organizing</w:t>
      </w:r>
      <w:r>
        <w:rPr>
          <w:sz w:val="16"/>
          <w:szCs w:val="16"/>
        </w:rPr>
        <w:t xml:space="preserve">. As a result, </w:t>
      </w:r>
      <w:r>
        <w:rPr>
          <w:highlight w:val="cyan"/>
          <w:u w:val="single"/>
        </w:rPr>
        <w:t xml:space="preserve">these codes, unlike </w:t>
      </w:r>
      <w:r>
        <w:rPr>
          <w:u w:val="single"/>
        </w:rPr>
        <w:t xml:space="preserve">state and </w:t>
      </w:r>
      <w:r>
        <w:rPr>
          <w:highlight w:val="cyan"/>
          <w:u w:val="single"/>
        </w:rPr>
        <w:t>federal laws, arise out of both explicit and implicit negotiations over jurisdiction, sovereignty, and worker power</w:t>
      </w:r>
      <w:r>
        <w:rPr>
          <w:sz w:val="16"/>
          <w:szCs w:val="16"/>
        </w:rPr>
        <w:t xml:space="preserve">. </w:t>
      </w:r>
      <w:r>
        <w:rPr>
          <w:highlight w:val="cyan"/>
          <w:u w:val="single"/>
        </w:rPr>
        <w:t>This</w:t>
      </w:r>
      <w:r>
        <w:rPr>
          <w:u w:val="single"/>
        </w:rPr>
        <w:t xml:space="preserve"> context </w:t>
      </w:r>
      <w:r>
        <w:rPr>
          <w:highlight w:val="cyan"/>
          <w:u w:val="single"/>
        </w:rPr>
        <w:t>provides</w:t>
      </w:r>
      <w:r>
        <w:rPr>
          <w:u w:val="single"/>
        </w:rPr>
        <w:t xml:space="preserve"> an </w:t>
      </w:r>
      <w:r>
        <w:rPr>
          <w:highlight w:val="cyan"/>
          <w:u w:val="single"/>
        </w:rPr>
        <w:t>opportunity for</w:t>
      </w:r>
      <w:r>
        <w:rPr>
          <w:u w:val="single"/>
        </w:rPr>
        <w:t xml:space="preserve"> worker advocates and tribal governments to engage in </w:t>
      </w:r>
      <w:r>
        <w:rPr>
          <w:highlight w:val="cyan"/>
          <w:u w:val="single"/>
        </w:rPr>
        <w:t>collaborative lawmaking</w:t>
      </w:r>
      <w:r>
        <w:rPr>
          <w:u w:val="single"/>
        </w:rPr>
        <w:t>, moving away from the “negative” approach identified by Guss and toward a positive, interdependent approach to power-building that better serves both workers and sovereignty</w:t>
      </w:r>
      <w:r>
        <w:rPr>
          <w:sz w:val="16"/>
          <w:szCs w:val="16"/>
        </w:rPr>
        <w:t xml:space="preserve">.  Against the backdrop of a legal landscape that is hostile to tribal jurisdiction over labor relations, </w:t>
      </w:r>
      <w:r>
        <w:rPr>
          <w:u w:val="single"/>
        </w:rPr>
        <w:t>unions may voluntarily recognize a tribal government’s authority to gain bargaining power in tribal enterprises</w:t>
      </w:r>
      <w:r>
        <w:rPr>
          <w:sz w:val="16"/>
          <w:szCs w:val="16"/>
        </w:rPr>
        <w:t xml:space="preserve">.  On the other hand, if, as this Note argues, tribal enterprises are not employers under the NLRA, the absence of federal law allows Native nations to build systems that better support workers. Scholars have argued that the NLRA is inadequate to protect efforts to build worker power.  Professors Sharon Block and Benjamin Sachs have called for a “clean slate” for labor law.  </w:t>
      </w:r>
      <w:r>
        <w:rPr>
          <w:u w:val="single"/>
        </w:rPr>
        <w:t xml:space="preserve">Tribal labor regulation presents just such a clean slate. Several of the Clean Slate proposals have already been implemented in tribal labor codes, including improved organizer access to workers,  card-check recognition, and an expanded range of bargaining subjects. The resolution of </w:t>
      </w:r>
      <w:r>
        <w:rPr>
          <w:highlight w:val="cyan"/>
          <w:u w:val="single"/>
        </w:rPr>
        <w:t>labor disputes under tribal jurisdiction</w:t>
      </w:r>
      <w:r>
        <w:rPr>
          <w:u w:val="single"/>
        </w:rPr>
        <w:t xml:space="preserve"> also </w:t>
      </w:r>
      <w:r>
        <w:rPr>
          <w:highlight w:val="cyan"/>
          <w:u w:val="single"/>
        </w:rPr>
        <w:t>benefits from</w:t>
      </w:r>
      <w:r>
        <w:rPr>
          <w:u w:val="single"/>
        </w:rPr>
        <w:t xml:space="preserve"> small dockets and </w:t>
      </w:r>
      <w:r>
        <w:rPr>
          <w:highlight w:val="cyan"/>
          <w:u w:val="single"/>
        </w:rPr>
        <w:t>culturally specific alternative</w:t>
      </w:r>
      <w:r>
        <w:rPr>
          <w:u w:val="single"/>
        </w:rPr>
        <w:t xml:space="preserve"> dispute resolution </w:t>
      </w:r>
      <w:r>
        <w:rPr>
          <w:highlight w:val="cyan"/>
          <w:u w:val="single"/>
        </w:rPr>
        <w:t>mechanisms</w:t>
      </w:r>
      <w:r>
        <w:rPr>
          <w:u w:val="single"/>
        </w:rPr>
        <w:t>. Federal labor law’s inadequacy as a tool for building worker power therefore grants Native governments their own positive leverage</w:t>
      </w:r>
      <w:r>
        <w:rPr>
          <w:sz w:val="16"/>
          <w:szCs w:val="16"/>
        </w:rPr>
        <w:t xml:space="preserve"> — not the implicit threat that accompanies the lack of NLRB jurisdiction, but </w:t>
      </w:r>
      <w:r>
        <w:rPr>
          <w:u w:val="single"/>
        </w:rPr>
        <w:t>the promise of a better alternative</w:t>
      </w:r>
      <w:r>
        <w:rPr>
          <w:sz w:val="16"/>
          <w:szCs w:val="16"/>
        </w:rPr>
        <w:t xml:space="preserve">. It is this promise of a better alternative that Professor Scott Lyons had in mind when, shortly after San Manuel, he called on Native nations to “head [the Board] off at the pass and develop even stronger labor laws and worker protections — that is, stronger unions — than what the Americans currently enjoy. Make Indian enterprises the envy of workers everywhere.” B. Reinforcing Sovereignty </w:t>
      </w:r>
      <w:r>
        <w:rPr>
          <w:u w:val="single"/>
        </w:rPr>
        <w:t>as an Act of Solidarity</w:t>
      </w:r>
      <w:r>
        <w:rPr>
          <w:sz w:val="16"/>
          <w:szCs w:val="16"/>
        </w:rPr>
        <w:t xml:space="preserve"> Realizing Professor Lyons’s vision requires cooperation from both Native nations and labor activists. Outside of the United States, some </w:t>
      </w:r>
      <w:r>
        <w:rPr>
          <w:u w:val="single"/>
        </w:rPr>
        <w:t>unions and indigenous groups have come together as allies in combating the harms of capitalism and settler colonialism, recognizing the shared mission of unions and indigenous communities as power-building institutions</w:t>
      </w:r>
      <w:r>
        <w:rPr>
          <w:sz w:val="16"/>
          <w:szCs w:val="16"/>
        </w:rPr>
        <w:t xml:space="preserve">. </w:t>
      </w:r>
      <w:r>
        <w:rPr>
          <w:highlight w:val="cyan"/>
          <w:u w:val="single"/>
        </w:rPr>
        <w:t>Solidarity</w:t>
      </w:r>
      <w:r>
        <w:rPr>
          <w:u w:val="single"/>
        </w:rPr>
        <w:t xml:space="preserve"> is the core value of the labor movement</w:t>
      </w:r>
      <w:r>
        <w:rPr>
          <w:sz w:val="16"/>
          <w:szCs w:val="16"/>
        </w:rPr>
        <w:t xml:space="preserve">; a motivating sentiment of organized labor is the conviction that “[a]n injury to one is an injury to all.” </w:t>
      </w:r>
      <w:r>
        <w:rPr>
          <w:u w:val="single"/>
        </w:rPr>
        <w:t xml:space="preserve">This value </w:t>
      </w:r>
      <w:r>
        <w:rPr>
          <w:highlight w:val="cyan"/>
          <w:u w:val="single"/>
        </w:rPr>
        <w:t>is not</w:t>
      </w:r>
      <w:r>
        <w:rPr>
          <w:u w:val="single"/>
        </w:rPr>
        <w:t xml:space="preserve"> always </w:t>
      </w:r>
      <w:r>
        <w:rPr>
          <w:highlight w:val="cyan"/>
          <w:u w:val="single"/>
        </w:rPr>
        <w:t>reflected in</w:t>
      </w:r>
      <w:r>
        <w:rPr>
          <w:u w:val="single"/>
        </w:rPr>
        <w:t xml:space="preserve"> American </w:t>
      </w:r>
      <w:r>
        <w:rPr>
          <w:highlight w:val="cyan"/>
          <w:u w:val="single"/>
        </w:rPr>
        <w:t>unions’ relationships to Native nations</w:t>
      </w:r>
      <w:r>
        <w:rPr>
          <w:sz w:val="16"/>
          <w:szCs w:val="16"/>
        </w:rPr>
        <w:t xml:space="preserve">. Using language that echoes countless employer reactions to union campaigns, the AFL-CIO has stated that it supports “the principle of sovereignty” for Native nations while advocating for the United States government to assert control over tribal-labor relations. Twenty-first-century American unions have positioned themselves as tools for combating racist power structures. Yet even as Native income per capita is less than half of the national average, </w:t>
      </w:r>
      <w:r>
        <w:rPr>
          <w:highlight w:val="cyan"/>
          <w:u w:val="single"/>
        </w:rPr>
        <w:t>unions have exploited fears of “rich Indians” to garner support from non-Native workers</w:t>
      </w:r>
      <w:r>
        <w:rPr>
          <w:u w:val="single"/>
        </w:rPr>
        <w:t xml:space="preserve">. And </w:t>
      </w:r>
      <w:r>
        <w:rPr>
          <w:highlight w:val="cyan"/>
          <w:u w:val="single"/>
        </w:rPr>
        <w:t>unions</w:t>
      </w:r>
      <w:r>
        <w:rPr>
          <w:u w:val="single"/>
        </w:rPr>
        <w:t xml:space="preserve">, through litigation, have </w:t>
      </w:r>
      <w:r>
        <w:rPr>
          <w:highlight w:val="cyan"/>
          <w:u w:val="single"/>
        </w:rPr>
        <w:t>encouraged</w:t>
      </w:r>
      <w:r>
        <w:rPr>
          <w:u w:val="single"/>
        </w:rPr>
        <w:t xml:space="preserve"> and benefited from </w:t>
      </w:r>
      <w:r>
        <w:rPr>
          <w:highlight w:val="cyan"/>
          <w:u w:val="single"/>
        </w:rPr>
        <w:t>courts’ racist preconceptions of “Indianness” in setting the boundaries of acceptable exercises of sovereign power</w:t>
      </w:r>
      <w:r>
        <w:rPr>
          <w:u w:val="single"/>
        </w:rPr>
        <w:t>. It does not serve the mission of the labor movement to benefit from these wrongs. As union leaders and labor activists fight for a world in which power is redistributed away from the hands of the few, solidarity requires that those efforts be situated within the broader context of genocide, systematic dispossession, and the destruction of Native sovereignty. When unions approach organizing in the tribal context as a fight over NLRB jurisdiction, they seek to build worker power at the expense of Native self-determination</w:t>
      </w:r>
      <w:r>
        <w:rPr>
          <w:sz w:val="16"/>
          <w:szCs w:val="16"/>
        </w:rPr>
        <w:t xml:space="preserve">. But power-building is not a zero-sum game. </w:t>
      </w:r>
      <w:r>
        <w:rPr>
          <w:highlight w:val="cyan"/>
          <w:u w:val="single"/>
        </w:rPr>
        <w:t>By centering tribal organizing on disputes over Board jurisdiction rather than turning to tribal labor law as a first choice, unions miss the opportunity to engage collaboratively with Native nations to build institutions that better serve both</w:t>
      </w:r>
      <w:r>
        <w:rPr>
          <w:sz w:val="16"/>
          <w:szCs w:val="16"/>
        </w:rPr>
        <w:t>.</w:t>
      </w:r>
    </w:p>
    <w:p w14:paraId="08C60AA4" w14:textId="77777777" w:rsidR="00AA0503" w:rsidRDefault="009B2E1E">
      <w:r>
        <w:br w:type="page"/>
      </w:r>
    </w:p>
    <w:p w14:paraId="3092E143" w14:textId="77777777" w:rsidR="00AA0503" w:rsidRDefault="009B2E1E">
      <w:pPr>
        <w:pStyle w:val="Heading2"/>
      </w:pPr>
      <w:bookmarkStart w:id="5" w:name="_a1y593sbn6n4" w:colFirst="0" w:colLast="0"/>
      <w:bookmarkEnd w:id="5"/>
      <w:r>
        <w:lastRenderedPageBreak/>
        <w:t>5</w:t>
      </w:r>
    </w:p>
    <w:p w14:paraId="0DD89D36" w14:textId="77777777" w:rsidR="00AA0503" w:rsidRDefault="009B2E1E">
      <w:pPr>
        <w:pStyle w:val="Heading4"/>
        <w:keepNext w:val="0"/>
        <w:keepLines w:val="0"/>
        <w:spacing w:before="240" w:after="40" w:line="303" w:lineRule="auto"/>
        <w:jc w:val="left"/>
        <w:rPr>
          <w:sz w:val="26"/>
          <w:szCs w:val="26"/>
          <w:u w:val="none"/>
        </w:rPr>
      </w:pPr>
      <w:bookmarkStart w:id="6" w:name="_xhohvf400ute" w:colFirst="0" w:colLast="0"/>
      <w:bookmarkEnd w:id="6"/>
      <w:r>
        <w:rPr>
          <w:sz w:val="26"/>
          <w:szCs w:val="26"/>
          <w:u w:val="none"/>
        </w:rPr>
        <w:t>CW: Discussions of sexual violence</w:t>
      </w:r>
    </w:p>
    <w:p w14:paraId="4A13DA3D" w14:textId="77777777" w:rsidR="00AA0503" w:rsidRDefault="009B2E1E">
      <w:pPr>
        <w:rPr>
          <w:b/>
          <w:sz w:val="26"/>
          <w:szCs w:val="26"/>
        </w:rPr>
      </w:pPr>
      <w:r>
        <w:rPr>
          <w:b/>
          <w:sz w:val="26"/>
          <w:szCs w:val="26"/>
        </w:rPr>
        <w:t>Butler is a defender of a predator--reading her scholarship creates an unsafe space</w:t>
      </w:r>
    </w:p>
    <w:p w14:paraId="76A823C8" w14:textId="77777777" w:rsidR="00AA0503" w:rsidRDefault="009B2E1E">
      <w:pPr>
        <w:spacing w:after="160" w:line="256" w:lineRule="auto"/>
      </w:pPr>
      <w:r>
        <w:rPr>
          <w:b/>
          <w:sz w:val="26"/>
          <w:szCs w:val="26"/>
        </w:rPr>
        <w:t>Greenberg 18</w:t>
      </w:r>
      <w:r>
        <w:t xml:space="preserve"> [Zoe Greenberg, 8-13-2018, "What Happens to #MeToo When a Feminist Is the Accused?," No Publication,</w:t>
      </w:r>
      <w:hyperlink r:id="rId11">
        <w:r>
          <w:t xml:space="preserve"> </w:t>
        </w:r>
      </w:hyperlink>
      <w:hyperlink r:id="rId12">
        <w:r>
          <w:rPr>
            <w:color w:val="1155CC"/>
          </w:rPr>
          <w:t>https://www.nytimes.com/2018/08/13/nyregion/sexual-harassment-nyu-female-professor.html</w:t>
        </w:r>
      </w:hyperlink>
      <w:r>
        <w:t>]</w:t>
      </w:r>
    </w:p>
    <w:p w14:paraId="7194B4A3" w14:textId="2A8E0D3A" w:rsidR="00AA0503" w:rsidRPr="00FD42C3" w:rsidRDefault="009B2E1E" w:rsidP="00FD42C3">
      <w:pPr>
        <w:spacing w:after="160" w:line="256" w:lineRule="auto"/>
        <w:rPr>
          <w:b/>
          <w:sz w:val="28"/>
          <w:szCs w:val="28"/>
          <w:highlight w:val="green"/>
          <w:u w:val="single"/>
        </w:rPr>
      </w:pPr>
      <w:r>
        <w:rPr>
          <w:sz w:val="28"/>
          <w:szCs w:val="28"/>
          <w:u w:val="single"/>
        </w:rPr>
        <w:t>The case seems like a familiar story turned on its head</w:t>
      </w:r>
      <w:r>
        <w:rPr>
          <w:sz w:val="28"/>
          <w:szCs w:val="28"/>
          <w:highlight w:val="green"/>
          <w:u w:val="single"/>
        </w:rPr>
        <w:t>:</w:t>
      </w:r>
      <w:hyperlink r:id="rId13">
        <w:r>
          <w:rPr>
            <w:sz w:val="28"/>
            <w:szCs w:val="28"/>
            <w:highlight w:val="green"/>
            <w:u w:val="single"/>
          </w:rPr>
          <w:t xml:space="preserve"> Avital Ronell</w:t>
        </w:r>
      </w:hyperlink>
      <w:r>
        <w:rPr>
          <w:sz w:val="28"/>
          <w:szCs w:val="28"/>
          <w:u w:val="single"/>
        </w:rPr>
        <w:t xml:space="preserve">, a world-renowned female professor of German and Comparative Literature at New York University, </w:t>
      </w:r>
      <w:r>
        <w:rPr>
          <w:sz w:val="28"/>
          <w:szCs w:val="28"/>
          <w:highlight w:val="green"/>
          <w:u w:val="single"/>
        </w:rPr>
        <w:t>was found responsible for sexually</w:t>
      </w:r>
      <w:r>
        <w:rPr>
          <w:sz w:val="28"/>
          <w:szCs w:val="28"/>
          <w:u w:val="single"/>
        </w:rPr>
        <w:t xml:space="preserve"> </w:t>
      </w:r>
      <w:r>
        <w:rPr>
          <w:sz w:val="28"/>
          <w:szCs w:val="28"/>
          <w:highlight w:val="green"/>
          <w:u w:val="single"/>
        </w:rPr>
        <w:t>harassing</w:t>
      </w:r>
      <w:r>
        <w:rPr>
          <w:sz w:val="28"/>
          <w:szCs w:val="28"/>
          <w:u w:val="single"/>
        </w:rPr>
        <w:t xml:space="preserve"> </w:t>
      </w:r>
      <w:r>
        <w:rPr>
          <w:sz w:val="28"/>
          <w:szCs w:val="28"/>
          <w:highlight w:val="green"/>
          <w:u w:val="single"/>
        </w:rPr>
        <w:t>a</w:t>
      </w:r>
      <w:r>
        <w:rPr>
          <w:sz w:val="28"/>
          <w:szCs w:val="28"/>
          <w:u w:val="single"/>
        </w:rPr>
        <w:t xml:space="preserve"> male former </w:t>
      </w:r>
      <w:r>
        <w:rPr>
          <w:sz w:val="28"/>
          <w:szCs w:val="28"/>
          <w:highlight w:val="green"/>
          <w:u w:val="single"/>
        </w:rPr>
        <w:t>graduate student</w:t>
      </w:r>
      <w:r>
        <w:rPr>
          <w:sz w:val="28"/>
          <w:szCs w:val="28"/>
          <w:u w:val="single"/>
        </w:rPr>
        <w:t>, Nimrod Reitman</w:t>
      </w:r>
      <w:r>
        <w:rPr>
          <w:sz w:val="28"/>
          <w:szCs w:val="28"/>
        </w:rPr>
        <w:t xml:space="preserve">. </w:t>
      </w:r>
      <w:r>
        <w:rPr>
          <w:sz w:val="16"/>
          <w:szCs w:val="16"/>
        </w:rPr>
        <w:t xml:space="preserve">An 11-month Title IX investigation found Professor Ronell, described by a colleague as “one of the very few philosopher-stars of this world,” responsible for sexual harassment, both physical and verbal, to the extent that her behavior was “sufficiently pervasive to alter the terms and conditions of Mr. Reitman’s learning environment.” </w:t>
      </w:r>
      <w:r>
        <w:rPr>
          <w:sz w:val="28"/>
          <w:szCs w:val="28"/>
          <w:u w:val="single"/>
        </w:rPr>
        <w:t xml:space="preserve">The university has suspended Professor Ronell for the coming academic year. In the Title IX final report, excerpts of which were obtained by The New York Times, Mr. Reitman said that </w:t>
      </w:r>
      <w:r>
        <w:rPr>
          <w:sz w:val="28"/>
          <w:szCs w:val="28"/>
          <w:highlight w:val="green"/>
          <w:u w:val="single"/>
        </w:rPr>
        <w:t>she had</w:t>
      </w:r>
      <w:r>
        <w:rPr>
          <w:sz w:val="28"/>
          <w:szCs w:val="28"/>
          <w:u w:val="single"/>
        </w:rPr>
        <w:t xml:space="preserve"> sexually </w:t>
      </w:r>
      <w:r>
        <w:rPr>
          <w:sz w:val="28"/>
          <w:szCs w:val="28"/>
          <w:highlight w:val="green"/>
          <w:u w:val="single"/>
        </w:rPr>
        <w:t>harassed him for</w:t>
      </w:r>
      <w:r>
        <w:rPr>
          <w:sz w:val="28"/>
          <w:szCs w:val="28"/>
          <w:u w:val="single"/>
        </w:rPr>
        <w:t xml:space="preserve"> three </w:t>
      </w:r>
      <w:r>
        <w:rPr>
          <w:sz w:val="28"/>
          <w:szCs w:val="28"/>
          <w:highlight w:val="green"/>
          <w:u w:val="single"/>
        </w:rPr>
        <w:t>years</w:t>
      </w:r>
      <w:r>
        <w:rPr>
          <w:sz w:val="28"/>
          <w:szCs w:val="28"/>
          <w:u w:val="single"/>
        </w:rPr>
        <w:t xml:space="preserve">, and shared dozens of emails in which she referred to him as “my most adored one,” “Sweet cuddly Baby,” “cock-er spaniel,” and “my astounding and beautiful Nimrod.” </w:t>
      </w:r>
      <w:r>
        <w:rPr>
          <w:sz w:val="16"/>
          <w:szCs w:val="16"/>
        </w:rPr>
        <w:t>Coming in the middle of the #MeToo movement’s reckoning over sexual misconduct, it raised a challenge for feminists — how to respond when one of their own behaved badly. And the response has roiled a corner of academia.</w:t>
      </w:r>
      <w:r>
        <w:rPr>
          <w:sz w:val="28"/>
          <w:szCs w:val="28"/>
        </w:rPr>
        <w:t xml:space="preserve"> </w:t>
      </w:r>
      <w:r>
        <w:rPr>
          <w:sz w:val="28"/>
          <w:szCs w:val="28"/>
          <w:u w:val="single"/>
        </w:rPr>
        <w:t xml:space="preserve">Soon after the university made its final, confidential determination this spring, </w:t>
      </w:r>
      <w:r>
        <w:rPr>
          <w:sz w:val="28"/>
          <w:szCs w:val="28"/>
          <w:highlight w:val="green"/>
          <w:u w:val="single"/>
        </w:rPr>
        <w:t>a group of scholars</w:t>
      </w:r>
      <w:r>
        <w:rPr>
          <w:sz w:val="28"/>
          <w:szCs w:val="28"/>
          <w:u w:val="single"/>
        </w:rPr>
        <w:t xml:space="preserve"> from around the world, including prominent feminists, </w:t>
      </w:r>
      <w:r>
        <w:rPr>
          <w:sz w:val="28"/>
          <w:szCs w:val="28"/>
          <w:highlight w:val="green"/>
          <w:u w:val="single"/>
        </w:rPr>
        <w:t>sent a letter</w:t>
      </w:r>
      <w:r>
        <w:rPr>
          <w:sz w:val="28"/>
          <w:szCs w:val="28"/>
          <w:u w:val="single"/>
        </w:rPr>
        <w:t xml:space="preserve"> to N.Y.U. </w:t>
      </w:r>
      <w:r>
        <w:rPr>
          <w:sz w:val="28"/>
          <w:szCs w:val="28"/>
          <w:highlight w:val="green"/>
          <w:u w:val="single"/>
        </w:rPr>
        <w:t>in defense of</w:t>
      </w:r>
      <w:r>
        <w:rPr>
          <w:sz w:val="28"/>
          <w:szCs w:val="28"/>
          <w:u w:val="single"/>
        </w:rPr>
        <w:t xml:space="preserve"> Professor </w:t>
      </w:r>
      <w:r>
        <w:rPr>
          <w:sz w:val="28"/>
          <w:szCs w:val="28"/>
          <w:highlight w:val="green"/>
          <w:u w:val="single"/>
        </w:rPr>
        <w:t>Ronell</w:t>
      </w:r>
      <w:r>
        <w:rPr>
          <w:sz w:val="28"/>
          <w:szCs w:val="28"/>
          <w:u w:val="single"/>
        </w:rPr>
        <w:t xml:space="preserve">. </w:t>
      </w:r>
      <w:r>
        <w:rPr>
          <w:b/>
          <w:sz w:val="28"/>
          <w:szCs w:val="28"/>
          <w:highlight w:val="green"/>
          <w:u w:val="single"/>
        </w:rPr>
        <w:t>Judith Butler,</w:t>
      </w:r>
      <w:r>
        <w:rPr>
          <w:sz w:val="28"/>
          <w:szCs w:val="28"/>
          <w:u w:val="single"/>
        </w:rPr>
        <w:t xml:space="preserve"> the author of the book “Gender Trouble” and one of the most influential feminist scholars today, </w:t>
      </w:r>
      <w:r>
        <w:rPr>
          <w:b/>
          <w:sz w:val="28"/>
          <w:szCs w:val="28"/>
          <w:highlight w:val="green"/>
          <w:u w:val="single"/>
        </w:rPr>
        <w:t>was first on the list.</w:t>
      </w:r>
      <w:bookmarkStart w:id="7" w:name="_tohmsfkave6g" w:colFirst="0" w:colLast="0"/>
      <w:bookmarkEnd w:id="7"/>
      <w:r>
        <w:rPr>
          <w:sz w:val="10"/>
          <w:szCs w:val="10"/>
        </w:rPr>
        <w:t xml:space="preserve"> </w:t>
      </w:r>
    </w:p>
    <w:sectPr w:rsidR="00AA0503" w:rsidRPr="00FD42C3">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C2E11" w14:textId="77777777" w:rsidR="00DE0371" w:rsidRDefault="00DE0371">
      <w:r>
        <w:separator/>
      </w:r>
    </w:p>
  </w:endnote>
  <w:endnote w:type="continuationSeparator" w:id="0">
    <w:p w14:paraId="6C19E7EF" w14:textId="77777777" w:rsidR="00DE0371" w:rsidRDefault="00DE0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D3F4A" w14:textId="77777777" w:rsidR="00DE0371" w:rsidRDefault="00DE0371">
      <w:r>
        <w:separator/>
      </w:r>
    </w:p>
  </w:footnote>
  <w:footnote w:type="continuationSeparator" w:id="0">
    <w:p w14:paraId="4BD72CB5" w14:textId="77777777" w:rsidR="00DE0371" w:rsidRDefault="00DE0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BBFF" w14:textId="77777777" w:rsidR="00AA0503" w:rsidRDefault="00AA05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54879"/>
    <w:multiLevelType w:val="multilevel"/>
    <w:tmpl w:val="35F41C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021BA8"/>
    <w:multiLevelType w:val="multilevel"/>
    <w:tmpl w:val="6B24CF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52E1971"/>
    <w:multiLevelType w:val="multilevel"/>
    <w:tmpl w:val="792894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39D14F19"/>
    <w:multiLevelType w:val="multilevel"/>
    <w:tmpl w:val="5E0ED4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ACF6669"/>
    <w:multiLevelType w:val="multilevel"/>
    <w:tmpl w:val="40DA4F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C5D1637"/>
    <w:multiLevelType w:val="multilevel"/>
    <w:tmpl w:val="E58CB3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D392DE7"/>
    <w:multiLevelType w:val="multilevel"/>
    <w:tmpl w:val="6A06C0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21804E1"/>
    <w:multiLevelType w:val="multilevel"/>
    <w:tmpl w:val="C382F6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63DF1B93"/>
    <w:multiLevelType w:val="multilevel"/>
    <w:tmpl w:val="2F2C1C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2C25B75"/>
    <w:multiLevelType w:val="multilevel"/>
    <w:tmpl w:val="9CBEA25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72F03790"/>
    <w:multiLevelType w:val="multilevel"/>
    <w:tmpl w:val="78D03B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num>
  <w:num w:numId="2">
    <w:abstractNumId w:val="8"/>
  </w:num>
  <w:num w:numId="3">
    <w:abstractNumId w:val="6"/>
  </w:num>
  <w:num w:numId="4">
    <w:abstractNumId w:val="9"/>
  </w:num>
  <w:num w:numId="5">
    <w:abstractNumId w:val="4"/>
  </w:num>
  <w:num w:numId="6">
    <w:abstractNumId w:val="7"/>
  </w:num>
  <w:num w:numId="7">
    <w:abstractNumId w:val="10"/>
  </w:num>
  <w:num w:numId="8">
    <w:abstractNumId w:val="5"/>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503"/>
    <w:rsid w:val="00211F0F"/>
    <w:rsid w:val="009B2E1E"/>
    <w:rsid w:val="00AA0503"/>
    <w:rsid w:val="00DE0371"/>
    <w:rsid w:val="00FD4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014FC0"/>
  <w15:docId w15:val="{967B58E4-2C41-9648-B9B9-3C0D7E74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abroom.com/index/tourn/index.mhtml?tourn_id=20874" TargetMode="External"/><Relationship Id="rId13" Type="http://schemas.openxmlformats.org/officeDocument/2006/relationships/hyperlink" Target="https://as.nyu.edu/content/nyu-as/as/faculty/avital-ronell.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nytimes.com/2018/08/13/nyregion/sexual-harassment-nyu-female-professor.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ytimes.com/2018/08/13/nyregion/sexual-harassment-nyu-female-professor.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harvardlawreview.org/2021/01/tribal-power-worker-power-organizing-unions-in-the-context-of-native-sovereignty/" TargetMode="External"/><Relationship Id="rId4" Type="http://schemas.openxmlformats.org/officeDocument/2006/relationships/webSettings" Target="webSettings.xml"/><Relationship Id="rId9" Type="http://schemas.openxmlformats.org/officeDocument/2006/relationships/hyperlink" Target="https://www.tabroom.com/index/tourn/index.mhtml?tourn_id=20399"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2929</Words>
  <Characters>16698</Characters>
  <Application>Microsoft Office Word</Application>
  <DocSecurity>0</DocSecurity>
  <Lines>139</Lines>
  <Paragraphs>39</Paragraphs>
  <ScaleCrop>false</ScaleCrop>
  <Company/>
  <LinksUpToDate>false</LinksUpToDate>
  <CharactersWithSpaces>19588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2021-11-06T19:04:00Z</dcterms:created>
  <dcterms:modified xsi:type="dcterms:W3CDTF">2021-11-06T19:51:00Z</dcterms:modified>
</cp:coreProperties>
</file>