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D02AC" w14:textId="77777777" w:rsidR="00FA24C3" w:rsidRDefault="00FA24C3" w:rsidP="00FA24C3">
      <w:pPr>
        <w:pStyle w:val="Heading2"/>
      </w:pPr>
      <w:r>
        <w:t>1</w:t>
      </w:r>
    </w:p>
    <w:p w14:paraId="3CCC44AB" w14:textId="77777777" w:rsidR="00FA24C3" w:rsidRPr="001D22A6" w:rsidRDefault="00FA24C3" w:rsidP="00FA24C3">
      <w:pPr>
        <w:pStyle w:val="Heading4"/>
      </w:pPr>
      <w:bookmarkStart w:id="0" w:name="_Hlk87021645"/>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03733934" w14:textId="77777777" w:rsidR="00FA24C3" w:rsidRDefault="00FA24C3" w:rsidP="00FA24C3">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6" w:history="1">
        <w:r w:rsidRPr="00E41435">
          <w:rPr>
            <w:rStyle w:val="Hyperlink"/>
          </w:rPr>
          <w:t>https://doi.org/10.1111/anti.12659</w:t>
        </w:r>
      </w:hyperlink>
      <w:r>
        <w:t>] AX</w:t>
      </w:r>
    </w:p>
    <w:p w14:paraId="766634A3" w14:textId="77777777" w:rsidR="00FA24C3" w:rsidRPr="004263E2" w:rsidRDefault="00FA24C3" w:rsidP="00FA24C3">
      <w:r>
        <w:t>Dispossession – deprive of land</w:t>
      </w:r>
    </w:p>
    <w:p w14:paraId="49FE4C9F" w14:textId="77777777" w:rsidR="00FA24C3" w:rsidRPr="00522239" w:rsidRDefault="00FA24C3" w:rsidP="00522239">
      <w:r w:rsidRPr="00522239">
        <w:t>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labour.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labour movements fought for the intensification of settler expansion and racial segregation (see “An Alternative Reading: Settler Colonies and the Exploitation of the Native” above), through colour bars, boycott campaigns and demands for expulsion. In the process, bitter confrontations emerged between settler labour and capital, when the latter [and]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 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w:t>
      </w:r>
      <w:hyperlink r:id="rId7" w:anchor="anti12659-bib-0014" w:history="1">
        <w:r w:rsidRPr="00522239">
          <w:rPr>
            <w:rStyle w:val="Hyperlink"/>
          </w:rPr>
          <w:t>2012</w:t>
        </w:r>
      </w:hyperlink>
      <w:r w:rsidRPr="00522239">
        <w:t>:83)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8" w:anchor="anti12659-note-1005_77" w:tooltip="Link to note" w:history="1">
        <w:r w:rsidRPr="00522239">
          <w:rPr>
            <w:rStyle w:val="Hyperlink"/>
          </w:rPr>
          <w:t>5</w:t>
        </w:r>
      </w:hyperlink>
      <w:r w:rsidRPr="00522239">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9" w:anchor="anti12659-bib-0011" w:history="1">
        <w:r w:rsidRPr="00522239">
          <w:rPr>
            <w:rStyle w:val="Hyperlink"/>
          </w:rPr>
          <w:t>2001</w:t>
        </w:r>
      </w:hyperlink>
      <w:r w:rsidRPr="00522239">
        <w:t>)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w:t>
      </w:r>
      <w:hyperlink r:id="rId10" w:anchor="anti12659-bib-0041" w:history="1">
        <w:r w:rsidRPr="00522239">
          <w:rPr>
            <w:rStyle w:val="Hyperlink"/>
          </w:rPr>
          <w:t>1996</w:t>
        </w:r>
      </w:hyperlink>
      <w:r w:rsidRPr="00522239">
        <w:t>:155): “Zionism, then, was a colonisation movement which simultaneously had to secure land for its settlers and settlers for its land”. 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w:t>
      </w:r>
      <w:hyperlink r:id="rId11" w:anchor="anti12659-bib-0041" w:history="1">
        <w:r w:rsidRPr="00522239">
          <w:rPr>
            <w:rStyle w:val="Hyperlink"/>
          </w:rPr>
          <w:t>1996</w:t>
        </w:r>
      </w:hyperlink>
      <w:r w:rsidRPr="00522239">
        <w:t>), on the model of other European projects—especially the French settler colonies of North Africa. On the other hand, the nascent Labour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labour force. This led to the development of a series of new Labour Zionist institutions to organise this “Conquest of Hebrew Labour”, by organising strikes, pickets, and boycotts of Jewish owned businesses that employed Palestinian workers or sold products made by them. The Kibbutzim, the Histadrut,</w:t>
      </w:r>
      <w:hyperlink r:id="rId12" w:anchor="anti12659-note-1006_81" w:tooltip="Link to note" w:history="1">
        <w:r w:rsidRPr="00522239">
          <w:rPr>
            <w:rStyle w:val="Hyperlink"/>
          </w:rPr>
          <w:t>6</w:t>
        </w:r>
      </w:hyperlink>
      <w:r w:rsidRPr="00522239">
        <w:t xml:space="preserve"> and the early Zionist militias were all born out of the process of organising this campaign (Lockman </w:t>
      </w:r>
      <w:hyperlink r:id="rId13" w:anchor="anti12659-bib-0024" w:history="1">
        <w:r w:rsidRPr="00522239">
          <w:rPr>
            <w:rStyle w:val="Hyperlink"/>
          </w:rPr>
          <w:t>1996</w:t>
        </w:r>
      </w:hyperlink>
      <w:r w:rsidRPr="00522239">
        <w:t xml:space="preserve">). For example, the Histadrut’s constitution, passed at its founding congress, made clear that it was a Zionist body committed to the project of settlement through the development of an exclusively Jewish society.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(quoted in Lockman 1996:68) The similarity between the logic of this statement and that of the white South African strikers mentioned above is remarkable. This struggle—waged against Palestinian workers and Jewish farmers—led to a partial victory for the Labour Zionist movement (Lockman </w:t>
      </w:r>
      <w:hyperlink r:id="rId14" w:anchor="anti12659-bib-0025" w:history="1">
        <w:r w:rsidRPr="00522239">
          <w:rPr>
            <w:rStyle w:val="Hyperlink"/>
          </w:rPr>
          <w:t>2012</w:t>
        </w:r>
      </w:hyperlink>
      <w:r w:rsidRPr="00522239">
        <w:t>).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w:t>
      </w:r>
    </w:p>
    <w:p w14:paraId="3BCE4FE5" w14:textId="77777777" w:rsidR="00FA24C3" w:rsidRPr="00E60B91" w:rsidRDefault="00FA24C3" w:rsidP="00FA24C3">
      <w:pPr>
        <w:pStyle w:val="Heading4"/>
      </w:pPr>
      <w:r>
        <w:t>The affirmative’s approach of understanding alienation through the analytic of the working going on strike reproduces colonialism. This over-determines the site of resistance at the wage-relation rather than the production of the commodity itself. This only reproduces white Marxism which necessarily excludes indigenous voices as their fight isn’t within the condition of the employment, rather of settlement. In simplest terms, the affirmative only carves out the potential for workers to strike for marginal improvements in employment negotiations and leaves indigenous people without any protection.</w:t>
      </w:r>
    </w:p>
    <w:p w14:paraId="74DBDFC0" w14:textId="77777777" w:rsidR="00FA24C3" w:rsidRDefault="00FA24C3" w:rsidP="00FA24C3">
      <w:r>
        <w:t>Zammataro 18 (Allesandro is a Professor Modern Language and Literatures @ Brooklyn College of CUNY, Settler Marxism and the Murdered and Missing Revolutionary Actors, https://gcadvocate.com/2018/07/29/settler-marxism-and-the-murdered-and-missing-revolutionary-actors/)</w:t>
      </w:r>
    </w:p>
    <w:p w14:paraId="3223C79B" w14:textId="77777777" w:rsidR="00FA24C3" w:rsidRPr="008F2ACE" w:rsidRDefault="00FA24C3" w:rsidP="00FA24C3"/>
    <w:p w14:paraId="21AD4CB8" w14:textId="77777777" w:rsidR="00FA24C3" w:rsidRPr="00522239" w:rsidRDefault="00FA24C3" w:rsidP="00522239">
      <w:r w:rsidRPr="00522239">
        <w:t>I call this proletarian-centered approach settler Marxism for the disappearing of revolutionary actors that don’t fit its imperial teleology: the narrative in which Euro-U.S. industry, stealing or exploiting the resources of colonies and quasi-colonies, in turn stole the time and labor of factory workers. These workers then became the privileged actors in the overthrow of capitalism and thus the historical agents of revolution. And this mission continues to be taken up by a motley collection of contemporary workers, across sectors, even as global capitalism continually changes the forms of labor available. As analysts of both racial capitalism and settler colonialism—the two intertwined foundations of modernity and its institutions—have demonstrated, this paradigm leaves out the people most affected by capitalism. This includes Indigenous and racialized women, who are charged with the quadruple burden of wage labor, reproductive labor, racism, and sexism, as well as Indigenous and racialized trans and non-binary people, who resist the gender norms central to propagating heteropatriarchal global society. Indeed, feminicide, derived from the Spanish feminicidio, describes more than just the murder of women, one of the reasons it’s preferred over the more common English-language term femicide. As Rosa-Linda Fregoso, a leading scholar-activist on the issue, has written, the additional syllable of “in” “functions metaphorically as a register for the relationship between violence in the private and public sphere, between individuals and institutions, between the deadly sexism of persons who murder women and governments who condone this violence.” Further, “The extra ‘IN’ inextricably links INdividual and INstitutional forms of violence, symbolically representing how we conceptualize violence structurally and beyond a singular cause-and-effect model” (her capitalization). Fregoso’s formulation of violence here is an example of intersectional theory, that much benighted school of thought strategically vulgarized, by both the alt-right and the alt-left, as “identity politics.” But as Fregoso explains—and as Kimberlé Crenshaw, who gave the concept a name, readily asserts—intersectionality is not about identity claims per se but, rather, the relationality of “individuals and institutions.” It specifically theorizes the ways a person’s material vulnerability to various forms of violence is mediated by administrative bodies (including the media, which arbitrates truth claims, always with a bias for the dominant). I emphasize the word “material” above because—far from its caricature as postmodern superstructural nonsense—intersectionality theory factors in the profit motive of capitalists (see, for instance, the redoubtable Combahee River Collective Statement, forty-one years young.) It also shows how institutions, from national governments on down, manage the many violences of capitalism on behalf of its beneficiaries. And, like any good agent, these institutions get a cut of the blood money. The original colonial scene of the Americas is instructive. As Hortense J. Spillers showed in her landmark essay “Mama’s Baby, Papa’s Maybe: An American Grammar Book,” the commodity is always already both raced and gendered: the value of enslaved people came directly from “the loss of the[ir] indigenous name/land.” This dispossession of identity and home was nowhere clearer than in the “accounts and ledgers” of the industry, in which “the names of ships and the private traders” were dutifully recorded but the “goods” were simply described as “No. Negroes” and “Sum sold per head.” And while this process made all enslaved African peoples commodities, the master’s need to control the enslaved woman’s body and upend mother-child relations “mark[ed] the flesh as a prime commodity of exchange.” Before labor, there is the commodity: people reduced to things by the violence of enslavement. That this commodification of Indigenous peoples (of the African continent) took place on Indigenous ground (of the Americas), cleared of Indigenous peoples, underscores the indivisibility of indigeneity and capital—and the imperative to address both together. Furthermore, following Spillers (and numerous other thinkers, I should add), we must always attend to this relationship in its racial, gendered, and grounded terms. Such an approach necessarily resets the cause-and-effect model (to borrow Fregoso’s phrase) of Marxist theories of revolution that historically originated in the imperial metropole of Europe and that are still the baseline of so much labor and other organizing in the world today. That model, which I call settler Marxism, ignores the full material scope of the commodity in favor of a generic proletarian subject who recognizes the theft of his time and labor and then uses that recognition to strike and defeat the capitalist class, ushering in a socialist-cum-communist society. Settler Marxism has three crucial faults. First, in failing to account for all the people who don’t fit this proletarian form, settler Marxism doesn’t address the largest possible bloc of revolutionary actors. Where in this model, for example, are the people who aren’t employed and the people who are structurally unemployed? Where are incarcerated people? Land-based communities? The shelter-less? All those whose cosmologies don’t recognize the wage relation or the settler state? Where are the women, non-men, and queer people? The so-called “bread-and-butter” dispensation of most unions, in which wages and working conditions are the sole priorities, assumes that the aforementioned humans and their needs don’t count. Two, the site of struggle—labor—is misplaced, since the violence of commodification exceeds the violence of wage labor. Wage slavery is not chattel slavery, as Marx averred, but why do we organize around the wage relation rather than the chattel relation: that is, the hierarchy of human value? As Denise Ferreira da Silva has precisely and rigorously theorized, the “whole field of modern representation” inaugurated by Enlightenment thought to rationalize European imperialism is predicated on a universal Subject (akin to Sylvia Wynter’s “Breadwinner/Investor subject of the nation-state”) who seeks self-determination through the elimination of objects: the unhuman others of racial capitalism and settler colonialism. In 2666, Bolaño effectively investigates this relationship between canonical modern thought and the mortality of its others by connecting, in circuitous fashion, European philosophy and its contemporary scholars to the murdered and missing women in former New Spain. What would happen if we organized around this violence of life and death—of self-determination and extermination—rather than the abstract violence of the wage (which, after all, is a copy of the former)? What if we put murdered and missing Indigenous women (and their descendants) at the center of our collective efforts for transformation? Wouldn’t ending violence in all its forms mean the end of the wage relation too? The third problem with settler Marxism is that if we maintain the wage relation as the horizon of change, all the other violences of settler colonialism and racial capitalism will remain. That is to say, after the settler-Marxist revolution, we may have common ownership of the means of production (and thus an end to capitalism), but settlement, white supremacy, and heteropatriarchy will still be present and accounted for, as will institutionality and, arguably, nationalism and imperialism. So, too, will be the psychic economy that Silva adduces, and the hierarchy of human value overall. None of these issues simply “disappear” in the settler Marxist future, as anyone who’s been in a room with self-identified leftists can attest. Or look at the rise of the alt-left (exemplified by Chapo Trap House and works like Angela Nagle’s Kill All Normies and Mark Lilla’s The Once and Future Liberal: After Identity Politics) and its inability to account for (its) whiteness, let alone hierarchy altogether. Returning to Bolaño’s invocation of the strike vis-à-vis the murder of women in Juárez, how might we address the latter through the former? My speculation: by mounting a general strike against the settler state. In this I follow Cedric Robinson’s analysis in Black Marxism: The Making of the Black Radical Tradition and Glen Sean Coulthard’s thoughts about “red Marxism,” both of which assert the importance of land-based communities over the proletariat in revolutionary action. From the U.S. Civil War, Robinson writes, when “one hundred thousand poor whites had deserted the Confederate armies and perhaps a half million Black workers had abandoned the plantations,” to the “Indian Mutiny, the Boxer Rebellion, the nationalist struggles,” to “the Sudan, Algeria, Morocco, Somalia, Abyssinia, West and southern Africa, and…the ‘people’s wars’” of Mexico and China, “in every instance peasants and agrarian workers had been the primary social bases of rebellion. Nowhere, not even in Russia, where a rebellious urban proletariat was a fraction of the mobilized working classes, had a bourgeois social order formed a precondition for revolutionary struggle.” Picking up this theme through Fanon, Coulthard observes that “the theory and practice of Indigenous anti-colonialism, including Indigenous anti-capitalism, is best understood as a struggle primarily inspired by and oriented around the question of land—a struggle not only for land in the material sense, but also deeply informed by what the land as system of reciprocal relations and obligations can teach us about living our lives in relation to one another and the natural world in non-dominating and non-exploitative terms—and less around our emergent status as ‘rightless proletarians.’” If we are to truly end domination and exploitation, the wage relation and the chattel relation, then perhaps a general strike, for and with the people who are otherwise disappeared—the murdered and missing, the ignored and the unthought—might finally succeed in overthrowing the state: the settler state, shot through with violence.</w:t>
      </w:r>
    </w:p>
    <w:p w14:paraId="1064E64B" w14:textId="77777777" w:rsidR="00FA24C3" w:rsidRDefault="00FA24C3" w:rsidP="00FA24C3"/>
    <w:p w14:paraId="09E38E9C" w14:textId="77777777" w:rsidR="00FA24C3" w:rsidRDefault="00FA24C3" w:rsidP="00FA24C3">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79E2B575" w14:textId="77777777" w:rsidR="00FA24C3" w:rsidRPr="00F535EF" w:rsidRDefault="00FA24C3" w:rsidP="00FA24C3">
      <w:r w:rsidRPr="00F535EF">
        <w:rPr>
          <w:rStyle w:val="Style13ptBold"/>
        </w:rPr>
        <w:t>Klutse 18</w:t>
      </w:r>
      <w:r>
        <w:t xml:space="preserve"> Olivia Klutse Seattle University,</w:t>
      </w:r>
      <w:r w:rsidRPr="00F535EF">
        <w:t xml:space="preserve"> </w:t>
      </w:r>
      <w:r>
        <w:t xml:space="preserve">2018 “Repatriation and Reparations: Land-Based Indigenous and Black Futurity”, </w:t>
      </w:r>
      <w:hyperlink r:id="rId15" w:history="1">
        <w:r>
          <w:rPr>
            <w:rStyle w:val="Hyperlink"/>
          </w:rPr>
          <w:t>https://scholarworks.seattleu.edu/cgi/viewcontent.cgi?article=1008&amp;context=ura</w:t>
        </w:r>
      </w:hyperlink>
      <w:r>
        <w:t xml:space="preserve"> AX</w:t>
      </w:r>
    </w:p>
    <w:p w14:paraId="095851F4" w14:textId="77777777" w:rsidR="00FA24C3" w:rsidRPr="00522239" w:rsidRDefault="00FA24C3" w:rsidP="00522239">
      <w:r w:rsidRPr="00522239">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anti Blackness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(Amadahy and Lawrence 107:2009). Therefore, the logic of settler colonialism forcefully produced mass Black displacement and subjugation, and non-consensually implicates Black people in the occupation of Indigenous land. </w:t>
      </w:r>
    </w:p>
    <w:p w14:paraId="1C4CA847" w14:textId="77777777" w:rsidR="00FA24C3" w:rsidRDefault="00FA24C3" w:rsidP="00FA24C3">
      <w:pPr>
        <w:pStyle w:val="Heading4"/>
      </w:pPr>
      <w:r>
        <w:t>Thus the alternative is generative refusal – a simultaneous affirmation of indigenous sovereignty and a political force to generate action</w:t>
      </w:r>
    </w:p>
    <w:p w14:paraId="43E06CD5" w14:textId="77777777" w:rsidR="00FA24C3" w:rsidRPr="009D33A8" w:rsidRDefault="00FA24C3" w:rsidP="00FA24C3">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r w:rsidRPr="0086287D">
        <w:t>She is continuing to research Indigenous peoples' arts and practices of sovereignty.</w:t>
      </w:r>
      <w:r w:rsidRPr="009D33A8">
        <w:t xml:space="preserve"> </w:t>
      </w:r>
      <w:r>
        <w:t xml:space="preserve">November 2 2020“Generative Refusal: Creative Practice and Relational Indigenous Sovereignty” </w:t>
      </w:r>
      <w:hyperlink r:id="rId16" w:history="1">
        <w:r w:rsidRPr="00394BEA">
          <w:rPr>
            <w:rStyle w:val="Hyperlink"/>
          </w:rPr>
          <w:t>https://www.exeley.com/borderlands/pdf/10.21307/borderlands-2020-013</w:t>
        </w:r>
      </w:hyperlink>
      <w:r>
        <w:t xml:space="preserve"> AX</w:t>
      </w:r>
    </w:p>
    <w:p w14:paraId="13BBF455" w14:textId="77777777" w:rsidR="00FA24C3" w:rsidRPr="00522239" w:rsidRDefault="00FA24C3" w:rsidP="00522239">
      <w:r w:rsidRPr="00522239">
        <w:t>In Dancing on our Turtle’s Back, Leanne Betasamosake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Stó:Lō,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Starblanket and Stark’s call for governance as the business of all living things. Through the acts of doing, the relations these actions generate with the land and with others, this work becomes sovereign enactment in itself, refusing the authority of the state to authorize in favour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practice,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tell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dependant on, the engagement of Indigenous nations. This critique offers an opportunity for settler colonial relations to take up the generative refusal as a call to action. Taking seriously the assertion of Starblanket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2C992943" w14:textId="77777777" w:rsidR="00FA24C3" w:rsidRDefault="00FA24C3" w:rsidP="00FA24C3">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0AD0B4A7" w14:textId="77777777" w:rsidR="00FA24C3" w:rsidRPr="00422863" w:rsidRDefault="00FA24C3" w:rsidP="00FA24C3">
      <w:pPr>
        <w:rPr>
          <w:b/>
          <w:bCs/>
          <w:sz w:val="26"/>
        </w:rPr>
      </w:pPr>
      <w:r w:rsidRPr="00066F35">
        <w:rPr>
          <w:rStyle w:val="Style13ptBold"/>
        </w:rPr>
        <w:t xml:space="preserve">Henderson 17 </w:t>
      </w:r>
      <w:r w:rsidRPr="00066F35">
        <w:t>(Phil currently holds a Bachelor’s (Hons.) in Political Science from the University of Western Ontario and a Master’s Degree in Political Science from the University of Victoria, with a specialization in Cultural, Social and Political thought, Imagoed communities: the psychosocial space of settler colonialism, Settler Colonial Studies Vol 7 No 1, 2017) MN</w:t>
      </w:r>
    </w:p>
    <w:p w14:paraId="03AF1ED2" w14:textId="77777777" w:rsidR="00FA24C3" w:rsidRPr="00522239" w:rsidRDefault="00FA24C3" w:rsidP="00522239">
      <w:r w:rsidRPr="00522239">
        <w:t>Goeman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‘restorying’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Kanesatake and Kahnawake,77 it also occurs in reiterative and disruptive practices, presences, and speech acts. Goeman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Goeman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032F7D5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24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3A2A"/>
    <w:rsid w:val="00325646"/>
    <w:rsid w:val="003460F2"/>
    <w:rsid w:val="0038158C"/>
    <w:rsid w:val="003902BA"/>
    <w:rsid w:val="003A09E2"/>
    <w:rsid w:val="00407037"/>
    <w:rsid w:val="004605D6"/>
    <w:rsid w:val="004C60E8"/>
    <w:rsid w:val="004E3579"/>
    <w:rsid w:val="004E728B"/>
    <w:rsid w:val="004F39E0"/>
    <w:rsid w:val="00522239"/>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24C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7AAA2"/>
  <w15:chartTrackingRefBased/>
  <w15:docId w15:val="{B5605C3A-F1B7-4055-AE30-D0542CEF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24C3"/>
    <w:rPr>
      <w:rFonts w:ascii="Calibri" w:hAnsi="Calibri"/>
    </w:rPr>
  </w:style>
  <w:style w:type="paragraph" w:styleId="Heading1">
    <w:name w:val="heading 1"/>
    <w:aliases w:val="Pocket"/>
    <w:basedOn w:val="Normal"/>
    <w:next w:val="Normal"/>
    <w:link w:val="Heading1Char"/>
    <w:qFormat/>
    <w:rsid w:val="00FA24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24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24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FA24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24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4C3"/>
  </w:style>
  <w:style w:type="character" w:customStyle="1" w:styleId="Heading1Char">
    <w:name w:val="Heading 1 Char"/>
    <w:aliases w:val="Pocket Char"/>
    <w:basedOn w:val="DefaultParagraphFont"/>
    <w:link w:val="Heading1"/>
    <w:rsid w:val="00FA24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24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24C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FA24C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FA24C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24C3"/>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FA24C3"/>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FA24C3"/>
    <w:rPr>
      <w:color w:val="auto"/>
      <w:u w:val="none"/>
    </w:rPr>
  </w:style>
  <w:style w:type="character" w:styleId="FollowedHyperlink">
    <w:name w:val="FollowedHyperlink"/>
    <w:basedOn w:val="DefaultParagraphFont"/>
    <w:uiPriority w:val="99"/>
    <w:semiHidden/>
    <w:unhideWhenUsed/>
    <w:rsid w:val="00FA24C3"/>
    <w:rPr>
      <w:color w:val="auto"/>
      <w:u w:val="none"/>
    </w:rPr>
  </w:style>
  <w:style w:type="paragraph" w:customStyle="1" w:styleId="textbold">
    <w:name w:val="text bold"/>
    <w:basedOn w:val="Normal"/>
    <w:link w:val="Emphasis"/>
    <w:uiPriority w:val="7"/>
    <w:qFormat/>
    <w:rsid w:val="00FA24C3"/>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eley.com/borderlands/pdf/10.21307/borderlands-2020-013" TargetMode="External"/><Relationship Id="rId1" Type="http://schemas.openxmlformats.org/officeDocument/2006/relationships/customXml" Target="../customXml/item1.xml"/><Relationship Id="rId6" Type="http://schemas.openxmlformats.org/officeDocument/2006/relationships/hyperlink" Target="https://doi.org/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webSettings" Target="webSettings.xml"/><Relationship Id="rId15" Type="http://schemas.openxmlformats.org/officeDocument/2006/relationships/hyperlink" Target="https://scholarworks.seattleu.edu/cgi/viewcontent.cgi?article=1008&amp;context=ura" TargetMode="External"/><Relationship Id="rId10" Type="http://schemas.openxmlformats.org/officeDocument/2006/relationships/hyperlink" Target="https://onlinelibrary.wiley.com/doi/full/10.1111/anti.12659" TargetMode="External"/><Relationship Id="rId4" Type="http://schemas.openxmlformats.org/officeDocument/2006/relationships/settings" Target="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5883</Words>
  <Characters>33539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5.1.1</cp:keywords>
  <dc:description/>
  <cp:lastModifiedBy>Andy Xu</cp:lastModifiedBy>
  <cp:revision>2</cp:revision>
  <dcterms:created xsi:type="dcterms:W3CDTF">2021-12-04T17:09:00Z</dcterms:created>
  <dcterms:modified xsi:type="dcterms:W3CDTF">2021-12-04T17:10:00Z</dcterms:modified>
</cp:coreProperties>
</file>