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B99BB" w14:textId="77777777" w:rsidR="00DA548F" w:rsidRDefault="00DA548F" w:rsidP="00DA548F">
      <w:pPr>
        <w:pStyle w:val="Heading2"/>
      </w:pPr>
      <w:bookmarkStart w:id="0" w:name="_Hlk87021645"/>
      <w:r>
        <w:t>1</w:t>
      </w:r>
    </w:p>
    <w:p w14:paraId="75B5827B" w14:textId="77777777" w:rsidR="00DA548F" w:rsidRPr="001D22A6" w:rsidRDefault="00DA548F" w:rsidP="00DA548F">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4F5BAA16" w14:textId="77777777" w:rsidR="00DA548F" w:rsidRDefault="00DA548F" w:rsidP="00DA548F">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5" w:history="1">
        <w:r w:rsidRPr="00E41435">
          <w:rPr>
            <w:rStyle w:val="Hyperlink"/>
          </w:rPr>
          <w:t>https://doi.org/10.1111/anti.12659</w:t>
        </w:r>
      </w:hyperlink>
      <w:r>
        <w:t>] AX</w:t>
      </w:r>
    </w:p>
    <w:p w14:paraId="0A98DC25" w14:textId="77777777" w:rsidR="00DA548F" w:rsidRPr="004263E2" w:rsidRDefault="00DA548F" w:rsidP="00DA548F">
      <w:r>
        <w:t>Dispossession – deprive of land</w:t>
      </w:r>
    </w:p>
    <w:p w14:paraId="25423C3A" w14:textId="77777777" w:rsidR="00DA548F" w:rsidRPr="000E61A5" w:rsidRDefault="00DA548F" w:rsidP="000E61A5">
      <w:r w:rsidRPr="000E61A5">
        <w:t xml:space="preserve">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w:t>
      </w:r>
      <w:proofErr w:type="spellStart"/>
      <w:r w:rsidRPr="000E61A5">
        <w:t>labour</w:t>
      </w:r>
      <w:proofErr w:type="spellEnd"/>
      <w:r w:rsidRPr="000E61A5">
        <w:t xml:space="preserve">.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w:t>
      </w:r>
      <w:proofErr w:type="spellStart"/>
      <w:r w:rsidRPr="000E61A5">
        <w:t>labour</w:t>
      </w:r>
      <w:proofErr w:type="spellEnd"/>
      <w:r w:rsidRPr="000E61A5">
        <w:t xml:space="preserve"> movements fought for the intensification of settler expansion and racial segregation (see “An Alternative Reading: Settler Colonies and the Exploitation of the Native” above), through </w:t>
      </w:r>
      <w:proofErr w:type="spellStart"/>
      <w:r w:rsidRPr="000E61A5">
        <w:t>colour</w:t>
      </w:r>
      <w:proofErr w:type="spellEnd"/>
      <w:r w:rsidRPr="000E61A5">
        <w:t xml:space="preserve"> bars, boycott campaigns and demands for expulsion. In the process, bitter confrontations emerged between settler </w:t>
      </w:r>
      <w:proofErr w:type="spellStart"/>
      <w:r w:rsidRPr="000E61A5">
        <w:t>labour</w:t>
      </w:r>
      <w:proofErr w:type="spellEnd"/>
      <w:r w:rsidRPr="000E61A5">
        <w:t xml:space="preserve"> and capital, when the latter [and] attempted to increase its profit margins through the exploitation of indigenous </w:t>
      </w:r>
      <w:proofErr w:type="spellStart"/>
      <w:r w:rsidRPr="000E61A5">
        <w:t>labour</w:t>
      </w:r>
      <w:proofErr w:type="spellEnd"/>
      <w:r w:rsidRPr="000E61A5">
        <w:t xml:space="preserve">—for example in the context of the white </w:t>
      </w:r>
      <w:proofErr w:type="spellStart"/>
      <w:r w:rsidRPr="000E61A5">
        <w:t>labour</w:t>
      </w:r>
      <w:proofErr w:type="spellEnd"/>
      <w:r w:rsidRPr="000E61A5">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0E61A5">
        <w:t>labour</w:t>
      </w:r>
      <w:proofErr w:type="spellEnd"/>
      <w:r w:rsidRPr="000E61A5">
        <w:t xml:space="preserve"> as well as over the colonial booty. In the case of Zionism in Palestine, the current associated with the publication </w:t>
      </w:r>
      <w:proofErr w:type="spellStart"/>
      <w:r w:rsidRPr="000E61A5">
        <w:t>Matzpen</w:t>
      </w:r>
      <w:proofErr w:type="spellEnd"/>
      <w:r w:rsidRPr="000E61A5">
        <w:t xml:space="preserve"> (“Compass”) developed a class analysis of Israeli society. They came to the conclusion that because the Israeli economy was heavily </w:t>
      </w:r>
      <w:proofErr w:type="spellStart"/>
      <w:r w:rsidRPr="000E61A5">
        <w:t>subsidised</w:t>
      </w:r>
      <w:proofErr w:type="spellEnd"/>
      <w:r w:rsidRPr="000E61A5">
        <w:t xml:space="preserve"> from the outside (first primarily by Britain, then by the US) and that this subsidy was not simply going into private hands but was used by the </w:t>
      </w:r>
      <w:proofErr w:type="spellStart"/>
      <w:r w:rsidRPr="000E61A5">
        <w:t>Labour</w:t>
      </w:r>
      <w:proofErr w:type="spellEnd"/>
      <w:r w:rsidRPr="000E61A5">
        <w:t xml:space="preserve"> Zionist bureaucracy to </w:t>
      </w:r>
      <w:proofErr w:type="spellStart"/>
      <w:r w:rsidRPr="000E61A5">
        <w:t>organise</w:t>
      </w:r>
      <w:proofErr w:type="spellEnd"/>
      <w:r w:rsidRPr="000E61A5">
        <w:t xml:space="preserve"> the development of the Israeli economy and infrastructure, class antagonisms were diverted within its society. </w:t>
      </w:r>
      <w:proofErr w:type="spellStart"/>
      <w:r w:rsidRPr="000E61A5">
        <w:t>Hangebi</w:t>
      </w:r>
      <w:proofErr w:type="spellEnd"/>
      <w:r w:rsidRPr="000E61A5">
        <w:t xml:space="preserve"> et al. (</w:t>
      </w:r>
      <w:hyperlink r:id="rId6" w:anchor="anti12659-bib-0014" w:history="1">
        <w:r w:rsidRPr="000E61A5">
          <w:rPr>
            <w:rStyle w:val="Hyperlink"/>
          </w:rPr>
          <w:t>2012</w:t>
        </w:r>
      </w:hyperlink>
      <w:r w:rsidRPr="000E61A5">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w:t>
      </w:r>
      <w:proofErr w:type="spellStart"/>
      <w:r w:rsidRPr="000E61A5">
        <w:t>Matzpen</w:t>
      </w:r>
      <w:proofErr w:type="spellEnd"/>
      <w:r w:rsidRPr="000E61A5">
        <w:t xml:space="preserve"> otherwise </w:t>
      </w:r>
      <w:proofErr w:type="spellStart"/>
      <w:r w:rsidRPr="000E61A5">
        <w:t>recognised</w:t>
      </w:r>
      <w:proofErr w:type="spellEnd"/>
      <w:r w:rsidRPr="000E61A5">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0E61A5">
        <w:t>labour</w:t>
      </w:r>
      <w:proofErr w:type="spellEnd"/>
      <w:r w:rsidRPr="000E61A5">
        <w:t xml:space="preserve">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7" w:anchor="anti12659-note-1005_77" w:tooltip="Link to note" w:history="1">
        <w:r w:rsidRPr="000E61A5">
          <w:rPr>
            <w:rStyle w:val="Hyperlink"/>
          </w:rPr>
          <w:t>5</w:t>
        </w:r>
      </w:hyperlink>
      <w:r w:rsidRPr="000E61A5">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8" w:anchor="anti12659-bib-0011" w:history="1">
        <w:r w:rsidRPr="000E61A5">
          <w:rPr>
            <w:rStyle w:val="Hyperlink"/>
          </w:rPr>
          <w:t>2001</w:t>
        </w:r>
      </w:hyperlink>
      <w:r w:rsidRPr="000E61A5">
        <w:t>) in the Wretched of the Earth, have argued that indigenous people face the settler population as a whole in their struggle for de-</w:t>
      </w:r>
      <w:proofErr w:type="spellStart"/>
      <w:r w:rsidRPr="000E61A5">
        <w:t>colonisation</w:t>
      </w:r>
      <w:proofErr w:type="spellEnd"/>
      <w:r w:rsidRPr="000E61A5">
        <w:t xml:space="preserve">. This is not to say that individual settlers or specific settler </w:t>
      </w:r>
      <w:proofErr w:type="spellStart"/>
      <w:r w:rsidRPr="000E61A5">
        <w:t>organisations</w:t>
      </w:r>
      <w:proofErr w:type="spellEnd"/>
      <w:r w:rsidRPr="000E61A5">
        <w:t xml:space="preserve"> cannot or have not supported struggles for </w:t>
      </w:r>
      <w:proofErr w:type="spellStart"/>
      <w:r w:rsidRPr="000E61A5">
        <w:t>decolonisation</w:t>
      </w:r>
      <w:proofErr w:type="spellEnd"/>
      <w:r w:rsidRPr="000E61A5">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0E61A5">
        <w:t>organised</w:t>
      </w:r>
      <w:proofErr w:type="spellEnd"/>
      <w:r w:rsidRPr="000E61A5">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0E61A5">
        <w:t>is</w:t>
      </w:r>
      <w:proofErr w:type="gramEnd"/>
      <w:r w:rsidRPr="000E61A5">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0E61A5">
        <w:t>organise</w:t>
      </w:r>
      <w:proofErr w:type="spellEnd"/>
      <w:r w:rsidRPr="000E61A5">
        <w:t xml:space="preserve"> the transfer of populations to the colony in the same way a state could. In the words of </w:t>
      </w:r>
      <w:proofErr w:type="spellStart"/>
      <w:r w:rsidRPr="000E61A5">
        <w:t>Shafir</w:t>
      </w:r>
      <w:proofErr w:type="spellEnd"/>
      <w:r w:rsidRPr="000E61A5">
        <w:t xml:space="preserve"> (</w:t>
      </w:r>
      <w:hyperlink r:id="rId9" w:anchor="anti12659-bib-0041" w:history="1">
        <w:r w:rsidRPr="000E61A5">
          <w:rPr>
            <w:rStyle w:val="Hyperlink"/>
          </w:rPr>
          <w:t>1996</w:t>
        </w:r>
      </w:hyperlink>
      <w:r w:rsidRPr="000E61A5">
        <w:t xml:space="preserve">:155): “Zionism, then, was a </w:t>
      </w:r>
      <w:proofErr w:type="spellStart"/>
      <w:r w:rsidRPr="000E61A5">
        <w:t>colonisation</w:t>
      </w:r>
      <w:proofErr w:type="spellEnd"/>
      <w:r w:rsidRPr="000E61A5">
        <w:t xml:space="preserve"> movement which simultaneously had to secure land for its settlers and settlers for its land”. The dual need for land and </w:t>
      </w:r>
      <w:proofErr w:type="spellStart"/>
      <w:r w:rsidRPr="000E61A5">
        <w:t>labour</w:t>
      </w:r>
      <w:proofErr w:type="spellEnd"/>
      <w:r w:rsidRPr="000E61A5">
        <w:t xml:space="preserve">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w:t>
      </w:r>
      <w:proofErr w:type="spellStart"/>
      <w:r w:rsidRPr="000E61A5">
        <w:t>Shafir</w:t>
      </w:r>
      <w:proofErr w:type="spellEnd"/>
      <w:r w:rsidRPr="000E61A5">
        <w:t xml:space="preserve"> (</w:t>
      </w:r>
      <w:hyperlink r:id="rId10" w:anchor="anti12659-bib-0041" w:history="1">
        <w:r w:rsidRPr="000E61A5">
          <w:rPr>
            <w:rStyle w:val="Hyperlink"/>
          </w:rPr>
          <w:t>1996</w:t>
        </w:r>
      </w:hyperlink>
      <w:r w:rsidRPr="000E61A5">
        <w:t xml:space="preserve">), on the model of other European projects—especially the French settler colonies of North Africa. On the other hand, the nascent </w:t>
      </w:r>
      <w:proofErr w:type="spellStart"/>
      <w:r w:rsidRPr="000E61A5">
        <w:t>Labour</w:t>
      </w:r>
      <w:proofErr w:type="spellEnd"/>
      <w:r w:rsidRPr="000E61A5">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0E61A5">
        <w:t>labour</w:t>
      </w:r>
      <w:proofErr w:type="spellEnd"/>
      <w:r w:rsidRPr="000E61A5">
        <w:t xml:space="preserve"> force. This led to the development of a series of new </w:t>
      </w:r>
      <w:proofErr w:type="spellStart"/>
      <w:r w:rsidRPr="000E61A5">
        <w:t>Labour</w:t>
      </w:r>
      <w:proofErr w:type="spellEnd"/>
      <w:r w:rsidRPr="000E61A5">
        <w:t xml:space="preserve"> Zionist institutions to </w:t>
      </w:r>
      <w:proofErr w:type="spellStart"/>
      <w:r w:rsidRPr="000E61A5">
        <w:t>organise</w:t>
      </w:r>
      <w:proofErr w:type="spellEnd"/>
      <w:r w:rsidRPr="000E61A5">
        <w:t xml:space="preserve"> this “Conquest of Hebrew </w:t>
      </w:r>
      <w:proofErr w:type="spellStart"/>
      <w:r w:rsidRPr="000E61A5">
        <w:t>Labour</w:t>
      </w:r>
      <w:proofErr w:type="spellEnd"/>
      <w:r w:rsidRPr="000E61A5">
        <w:t xml:space="preserve">”, by </w:t>
      </w:r>
      <w:proofErr w:type="spellStart"/>
      <w:r w:rsidRPr="000E61A5">
        <w:t>organising</w:t>
      </w:r>
      <w:proofErr w:type="spellEnd"/>
      <w:r w:rsidRPr="000E61A5">
        <w:t xml:space="preserve"> strikes, pickets, and boycotts of Jewish owned businesses that employed Palestinian workers or sold products made by them. The Kibbutzim, the Histadrut,</w:t>
      </w:r>
      <w:hyperlink r:id="rId11" w:anchor="anti12659-note-1006_81" w:tooltip="Link to note" w:history="1">
        <w:r w:rsidRPr="000E61A5">
          <w:rPr>
            <w:rStyle w:val="Hyperlink"/>
          </w:rPr>
          <w:t>6</w:t>
        </w:r>
      </w:hyperlink>
      <w:r w:rsidRPr="000E61A5">
        <w:t xml:space="preserve"> and the early Zionist militias were all born out of the process of </w:t>
      </w:r>
      <w:proofErr w:type="spellStart"/>
      <w:r w:rsidRPr="000E61A5">
        <w:t>organising</w:t>
      </w:r>
      <w:proofErr w:type="spellEnd"/>
      <w:r w:rsidRPr="000E61A5">
        <w:t xml:space="preserve"> this campaign (Lockman </w:t>
      </w:r>
      <w:hyperlink r:id="rId12" w:anchor="anti12659-bib-0024" w:history="1">
        <w:r w:rsidRPr="000E61A5">
          <w:rPr>
            <w:rStyle w:val="Hyperlink"/>
          </w:rPr>
          <w:t>1996</w:t>
        </w:r>
      </w:hyperlink>
      <w:r w:rsidRPr="000E61A5">
        <w:t xml:space="preserve">). For example, the </w:t>
      </w:r>
      <w:proofErr w:type="spellStart"/>
      <w:r w:rsidRPr="000E61A5">
        <w:t>Histadrut’s</w:t>
      </w:r>
      <w:proofErr w:type="spellEnd"/>
      <w:r w:rsidRPr="000E61A5">
        <w:t xml:space="preserve"> constitution, passed at its founding congress, made clear that it was a Zionist body committed to the project of settlement through the development of an exclusively Jewish society. It stated that the </w:t>
      </w:r>
      <w:proofErr w:type="spellStart"/>
      <w:r w:rsidRPr="000E61A5">
        <w:t>Histadrut’s</w:t>
      </w:r>
      <w:proofErr w:type="spellEnd"/>
      <w:r w:rsidRPr="000E61A5">
        <w:t xml:space="preserve"> goal was to: … unite all the workers and </w:t>
      </w:r>
      <w:proofErr w:type="spellStart"/>
      <w:r w:rsidRPr="000E61A5">
        <w:t>labourers</w:t>
      </w:r>
      <w:proofErr w:type="spellEnd"/>
      <w:r w:rsidRPr="000E61A5">
        <w:t xml:space="preserve"> in the country who live by their own </w:t>
      </w:r>
      <w:proofErr w:type="spellStart"/>
      <w:r w:rsidRPr="000E61A5">
        <w:t>labour</w:t>
      </w:r>
      <w:proofErr w:type="spellEnd"/>
      <w:r w:rsidRPr="000E61A5">
        <w:t xml:space="preserve"> without exploiting the </w:t>
      </w:r>
      <w:proofErr w:type="spellStart"/>
      <w:r w:rsidRPr="000E61A5">
        <w:t>labour</w:t>
      </w:r>
      <w:proofErr w:type="spellEnd"/>
      <w:r w:rsidRPr="000E61A5">
        <w:t xml:space="preserve"> of others, in order to arrange for all settlement, economic and also cultural affairs of all the workers in the country, so as to build a society of Jewish </w:t>
      </w:r>
      <w:proofErr w:type="spellStart"/>
      <w:r w:rsidRPr="000E61A5">
        <w:t>labour</w:t>
      </w:r>
      <w:proofErr w:type="spellEnd"/>
      <w:r w:rsidRPr="000E61A5">
        <w:t xml:space="preserve"> in Eretz </w:t>
      </w:r>
      <w:proofErr w:type="spellStart"/>
      <w:r w:rsidRPr="000E61A5">
        <w:t>Yisra’el</w:t>
      </w:r>
      <w:proofErr w:type="spellEnd"/>
      <w:r w:rsidRPr="000E61A5">
        <w:t>. (</w:t>
      </w:r>
      <w:proofErr w:type="gramStart"/>
      <w:r w:rsidRPr="000E61A5">
        <w:t>quoted</w:t>
      </w:r>
      <w:proofErr w:type="gramEnd"/>
      <w:r w:rsidRPr="000E61A5">
        <w:t xml:space="preserve">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0E61A5">
        <w:t>Labour</w:t>
      </w:r>
      <w:proofErr w:type="spellEnd"/>
      <w:r w:rsidRPr="000E61A5">
        <w:t xml:space="preserve"> Zionist movement (Lockman </w:t>
      </w:r>
      <w:hyperlink r:id="rId13" w:anchor="anti12659-bib-0025" w:history="1">
        <w:r w:rsidRPr="000E61A5">
          <w:rPr>
            <w:rStyle w:val="Hyperlink"/>
          </w:rPr>
          <w:t>2012</w:t>
        </w:r>
      </w:hyperlink>
      <w:r w:rsidRPr="000E61A5">
        <w:t xml:space="preserve">). Key industries, such as construction and agriculture, were taken over by </w:t>
      </w:r>
      <w:proofErr w:type="spellStart"/>
      <w:r w:rsidRPr="000E61A5">
        <w:t>Labour</w:t>
      </w:r>
      <w:proofErr w:type="spellEnd"/>
      <w:r w:rsidRPr="000E61A5">
        <w:t xml:space="preserve"> Zionist institutions such as Solal </w:t>
      </w:r>
      <w:proofErr w:type="spellStart"/>
      <w:r w:rsidRPr="000E61A5">
        <w:t>Boneh</w:t>
      </w:r>
      <w:proofErr w:type="spellEnd"/>
      <w:r w:rsidRPr="000E61A5">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0E61A5">
        <w:t>Labour</w:t>
      </w:r>
      <w:proofErr w:type="spellEnd"/>
      <w:r w:rsidRPr="000E61A5">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0E61A5">
        <w:t>Labour</w:t>
      </w:r>
      <w:proofErr w:type="spellEnd"/>
      <w:r w:rsidRPr="000E61A5">
        <w:t xml:space="preserve"> Zionist movement developed on the basis of opposing Jewish farmers as well as Palestinian workers, a political focus that also shaped its key institutions. The campaign for Hebrew </w:t>
      </w:r>
      <w:proofErr w:type="spellStart"/>
      <w:r w:rsidRPr="000E61A5">
        <w:t>Labour</w:t>
      </w:r>
      <w:proofErr w:type="spellEnd"/>
      <w:r w:rsidRPr="000E61A5">
        <w:t xml:space="preserve"> also demonstrates that the “elimination of the native” in the settler colonial context is not a given, as in the Wolfe-</w:t>
      </w:r>
      <w:proofErr w:type="gramStart"/>
      <w:r w:rsidRPr="000E61A5">
        <w:t>an</w:t>
      </w:r>
      <w:proofErr w:type="gramEnd"/>
      <w:r w:rsidRPr="000E61A5">
        <w:t xml:space="preserve"> framework, but the outcome of a specific set of struggles that pit both the indigenous population against the settlers, as well as different settler classes against one another.</w:t>
      </w:r>
    </w:p>
    <w:p w14:paraId="790D4D2A" w14:textId="77777777" w:rsidR="00DA548F" w:rsidRPr="00066F35" w:rsidRDefault="00DA548F" w:rsidP="00DA548F">
      <w:pPr>
        <w:pStyle w:val="Heading4"/>
        <w:rPr>
          <w:rFonts w:cs="Calibri"/>
        </w:rPr>
      </w:pPr>
      <w:r w:rsidRPr="00066F35">
        <w:rPr>
          <w:rFonts w:cs="Calibri"/>
        </w:rPr>
        <w:t>Their performative use of extinction impacts are just rhetorical tropes to divert attention away radical decolonization and reinscribes a settler will to innocence.</w:t>
      </w:r>
    </w:p>
    <w:p w14:paraId="0E564B22" w14:textId="77777777" w:rsidR="00DA548F" w:rsidRPr="00066F35" w:rsidRDefault="00DA548F" w:rsidP="00DA548F">
      <w:pPr>
        <w:rPr>
          <w:rStyle w:val="Style13ptBold"/>
          <w:b w:val="0"/>
          <w:sz w:val="20"/>
          <w:szCs w:val="20"/>
        </w:rPr>
      </w:pPr>
      <w:proofErr w:type="spellStart"/>
      <w:r w:rsidRPr="00066F35">
        <w:rPr>
          <w:rStyle w:val="Style13ptBold"/>
        </w:rPr>
        <w:t>Dalley</w:t>
      </w:r>
      <w:proofErr w:type="spellEnd"/>
      <w:r w:rsidRPr="00066F35">
        <w:rPr>
          <w:rStyle w:val="Style13ptBold"/>
        </w:rPr>
        <w:t xml:space="preserve"> 16 </w:t>
      </w:r>
      <w:r w:rsidRPr="00066F35">
        <w:t xml:space="preserve">Hamish, Professor of Ethnic Studies at Daemen College, “The deaths of settler colonialism: extinction as a metaphor of decolonization in contemporary settler literature”, Settler Colonial Studies, October 4, 2016, </w:t>
      </w:r>
      <w:hyperlink r:id="rId14" w:history="1">
        <w:r w:rsidRPr="00066F35">
          <w:rPr>
            <w:rStyle w:val="Hyperlink"/>
          </w:rPr>
          <w:t>http://dx.doi.org/10.1080/2201473X.2016.1238160</w:t>
        </w:r>
      </w:hyperlink>
      <w:r w:rsidRPr="00066F35">
        <w:t>, July 7, 2017</w:t>
      </w:r>
    </w:p>
    <w:p w14:paraId="1F8D0908" w14:textId="77777777" w:rsidR="00DA548F" w:rsidRPr="000E61A5" w:rsidRDefault="00DA548F" w:rsidP="000E61A5">
      <w:r w:rsidRPr="000E61A5">
        <w:t xml:space="preserve">Settlers love to contemplate the possibility of their own extinction;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 and they have done so notwithstanding the sustained resistance that has been mounted whenever such an order has been built. Settlers think all the time that they might one day end, even though (perhaps because) that ending seems unlikely ever to happen. The significance of this paradox for settler-colonial literature is the subject of this article. Considering the problem of futurity offers a useful foil to traditional analyses of </w:t>
      </w:r>
      <w:proofErr w:type="spellStart"/>
      <w:r w:rsidRPr="000E61A5">
        <w:t>settlercolonial</w:t>
      </w:r>
      <w:proofErr w:type="spellEnd"/>
      <w:r w:rsidRPr="000E61A5">
        <w:t xml:space="preserve">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0E61A5">
        <w:t>spectre</w:t>
      </w:r>
      <w:proofErr w:type="spellEnd"/>
      <w:r w:rsidRPr="000E61A5">
        <w:t xml:space="preserve"> of the native, whose existence (which cannot be disavowed completely because it is needed to define the settler’s difference, superiority, and hence claim to the land) inscribes the settler’s foreignness, thus reinstating the gap between settler and colony that the narrative was meant to efface.1 Settler-colonial narrative is thus shaped around its need to erase and evoke the native,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a number of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settlers do often try to imagine their demise – but they do so in a way that reasserts the paradoxes of their founding ideology, with the result that the radical potentiality of decolonization is undone even as it is invoked. I argue that, notwithstanding Veracini’s analysis, 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0E61A5">
        <w:t>historio</w:t>
      </w:r>
      <w:proofErr w:type="spellEnd"/>
      <w:r w:rsidRPr="000E61A5">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settler colonialism is predicated on a ‘logic of elimination’ that tends towards the extermination – by one means or another – of indigenous peoples.8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imminent loss’. 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0E61A5">
        <w:t>Curthoys</w:t>
      </w:r>
      <w:proofErr w:type="spellEnd"/>
      <w:r w:rsidRPr="000E61A5">
        <w:t xml:space="preserve"> and Dirk Moses have traced this pattern in Australia and Israel-Palestine, respectively.12 This scholarship suggests that narratives of settler extinction are acts of ideological mystification, obscuring the brutal inequalities of the frontier behind a mask of white vulnerability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0E61A5">
        <w:t>paper</w:t>
      </w:r>
      <w:proofErr w:type="gramEnd"/>
      <w:r w:rsidRPr="000E61A5">
        <w:t xml:space="preserve"> I consider extinction’s function as a metaphor of decolonization. I use this phrase to invoke, without completely endorsing, Tuck and Yang’s argument that to treat decolonization figuratively, as I argue extinction narratives do, is necessarily to preclude radical change, creating opportunities for settler ‘moves to innocence’ that re-legitimate racial inequality.13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0E61A5">
        <w:t>Maddaddam</w:t>
      </w:r>
      <w:proofErr w:type="spellEnd"/>
      <w:r w:rsidRPr="000E61A5">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w:t>
      </w:r>
      <w:proofErr w:type="spellStart"/>
      <w:r w:rsidRPr="000E61A5">
        <w:t>asequivalent</w:t>
      </w:r>
      <w:proofErr w:type="spellEnd"/>
      <w:r w:rsidRPr="000E61A5">
        <w:t xml:space="preserve"> to humanity. Fourth, these ideological effects are mediated by gender, insofar as extinction narratives invoke issues of biological reproduction, community protection, and violence that function to differentiate and reify masculine and feminine roles in the putative de-colonial future. Overall, my central claim is that extinction is a core trope through which settler futurity emerges, one with crucial narrative and ideological effects that shape much of the contemporary literature emerging from white colonial settings.</w:t>
      </w:r>
    </w:p>
    <w:p w14:paraId="00A03BCC" w14:textId="77777777" w:rsidR="00DA548F" w:rsidRDefault="00DA548F" w:rsidP="00DA548F"/>
    <w:p w14:paraId="1E22A3F4" w14:textId="77777777" w:rsidR="00DA548F" w:rsidRDefault="00DA548F" w:rsidP="00DA548F">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31F88CE0" w14:textId="77777777" w:rsidR="00DA548F" w:rsidRPr="00F535EF" w:rsidRDefault="00DA548F" w:rsidP="00DA548F">
      <w:proofErr w:type="spellStart"/>
      <w:r w:rsidRPr="00F535EF">
        <w:rPr>
          <w:rStyle w:val="Style13ptBold"/>
        </w:rPr>
        <w:t>Klutse</w:t>
      </w:r>
      <w:proofErr w:type="spellEnd"/>
      <w:r w:rsidRPr="00F535EF">
        <w:rPr>
          <w:rStyle w:val="Style13ptBold"/>
        </w:rPr>
        <w:t xml:space="preserve"> 18</w:t>
      </w:r>
      <w:r>
        <w:t xml:space="preserve"> Olivia </w:t>
      </w:r>
      <w:proofErr w:type="spellStart"/>
      <w:r>
        <w:t>Klutse</w:t>
      </w:r>
      <w:proofErr w:type="spellEnd"/>
      <w:r>
        <w:t xml:space="preserve"> Seattle University,</w:t>
      </w:r>
      <w:r w:rsidRPr="00F535EF">
        <w:t xml:space="preserve"> </w:t>
      </w:r>
      <w:r>
        <w:t xml:space="preserve">2018 “Repatriation and Reparations: Land-Based Indigenous and Black Futurity”, </w:t>
      </w:r>
      <w:hyperlink r:id="rId15" w:history="1">
        <w:r>
          <w:rPr>
            <w:rStyle w:val="Hyperlink"/>
          </w:rPr>
          <w:t>https://scholarworks.seattleu.edu/cgi/viewcontent.cgi?article=1008&amp;context=ura</w:t>
        </w:r>
      </w:hyperlink>
      <w:r>
        <w:t xml:space="preserve"> AX</w:t>
      </w:r>
    </w:p>
    <w:p w14:paraId="27414C6C" w14:textId="77777777" w:rsidR="00DA548F" w:rsidRPr="00EA78E2" w:rsidRDefault="00DA548F" w:rsidP="00EA78E2">
      <w:r w:rsidRPr="00EA78E2">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w:t>
      </w:r>
      <w:proofErr w:type="spellStart"/>
      <w:r w:rsidRPr="00EA78E2">
        <w:t>anti Blackness</w:t>
      </w:r>
      <w:proofErr w:type="spellEnd"/>
      <w:r w:rsidRPr="00EA78E2">
        <w:t xml:space="preserve">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w:t>
      </w:r>
      <w:proofErr w:type="spellStart"/>
      <w:r w:rsidRPr="00EA78E2">
        <w:t>Amadahy</w:t>
      </w:r>
      <w:proofErr w:type="spellEnd"/>
      <w:r w:rsidRPr="00EA78E2">
        <w:t xml:space="preserve"> and Lawrence 107:2009). Therefore, the logic of settler colonialism forcefully produced mass Black displacement and subjugation, and non-consensually implicates Black people in the occupation of Indigenous land. </w:t>
      </w:r>
    </w:p>
    <w:p w14:paraId="0F1DA1AB" w14:textId="77777777" w:rsidR="00DA548F" w:rsidRDefault="00DA548F" w:rsidP="00DA548F">
      <w:pPr>
        <w:pStyle w:val="Heading4"/>
      </w:pPr>
      <w:proofErr w:type="gramStart"/>
      <w:r>
        <w:t>Thus</w:t>
      </w:r>
      <w:proofErr w:type="gramEnd"/>
      <w:r>
        <w:t xml:space="preserve"> the alternative is generative refusal – a simultaneous affirmation of indigenous sovereignty and a political force to generate action</w:t>
      </w:r>
    </w:p>
    <w:p w14:paraId="7ECFD174" w14:textId="77777777" w:rsidR="00DA548F" w:rsidRPr="009D33A8" w:rsidRDefault="00DA548F" w:rsidP="00DA548F">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6" w:history="1">
        <w:r w:rsidRPr="00394BEA">
          <w:rPr>
            <w:rStyle w:val="Hyperlink"/>
          </w:rPr>
          <w:t>https://www.exeley.com/borderlands/pdf/10.21307/borderlands-2020-013</w:t>
        </w:r>
      </w:hyperlink>
      <w:r>
        <w:t xml:space="preserve"> AX</w:t>
      </w:r>
    </w:p>
    <w:p w14:paraId="05A35DC5" w14:textId="77777777" w:rsidR="00DA548F" w:rsidRPr="00EA78E2" w:rsidRDefault="00DA548F" w:rsidP="00EA78E2">
      <w:r w:rsidRPr="00EA78E2">
        <w:t xml:space="preserve">In Dancing on our Turtle’s Back, Leanne </w:t>
      </w:r>
      <w:proofErr w:type="spellStart"/>
      <w:r w:rsidRPr="00EA78E2">
        <w:t>Betasamosake</w:t>
      </w:r>
      <w:proofErr w:type="spellEnd"/>
      <w:r w:rsidRPr="00EA78E2">
        <w:t xml:space="preserv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spellStart"/>
      <w:proofErr w:type="gramStart"/>
      <w:r w:rsidRPr="00EA78E2">
        <w:t>Stó:Lō</w:t>
      </w:r>
      <w:proofErr w:type="spellEnd"/>
      <w:proofErr w:type="gramEnd"/>
      <w:r w:rsidRPr="00EA78E2">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w:t>
      </w:r>
      <w:proofErr w:type="spellStart"/>
      <w:r w:rsidRPr="00EA78E2">
        <w:t>Starblanket</w:t>
      </w:r>
      <w:proofErr w:type="spellEnd"/>
      <w:r w:rsidRPr="00EA78E2">
        <w:t xml:space="preserve"> and Stark’s call for governance as the business of all living things. Through the acts of doing, the relations these actions generate with the land and with others, this work becomes sovereign enactment in itself, refusing the authority of the state to authorize in </w:t>
      </w:r>
      <w:proofErr w:type="spellStart"/>
      <w:r w:rsidRPr="00EA78E2">
        <w:t>favour</w:t>
      </w:r>
      <w:proofErr w:type="spellEnd"/>
      <w:r w:rsidRPr="00EA78E2">
        <w:t xml:space="preserve">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w:t>
      </w:r>
      <w:proofErr w:type="gramStart"/>
      <w:r w:rsidRPr="00EA78E2">
        <w:t>practice</w:t>
      </w:r>
      <w:proofErr w:type="gramEnd"/>
      <w:r w:rsidRPr="00EA78E2">
        <w:t xml:space="preserv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w:t>
      </w:r>
      <w:proofErr w:type="gramStart"/>
      <w:r w:rsidRPr="00EA78E2">
        <w:t>tell</w:t>
      </w:r>
      <w:proofErr w:type="gramEnd"/>
      <w:r w:rsidRPr="00EA78E2">
        <w:t xml:space="preserve">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w:t>
      </w:r>
      <w:proofErr w:type="spellStart"/>
      <w:r w:rsidRPr="00EA78E2">
        <w:t>dependant</w:t>
      </w:r>
      <w:proofErr w:type="spellEnd"/>
      <w:r w:rsidRPr="00EA78E2">
        <w:t xml:space="preserve"> on, the engagement of Indigenous nations. This critique offers an opportunity for settler colonial relations to take up the generative refusal as a call to action. Taking seriously the assertion of </w:t>
      </w:r>
      <w:proofErr w:type="spellStart"/>
      <w:r w:rsidRPr="00EA78E2">
        <w:t>Starblanket</w:t>
      </w:r>
      <w:proofErr w:type="spellEnd"/>
      <w:r w:rsidRPr="00EA78E2">
        <w:t xml:space="preserve">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67510BC8" w14:textId="77777777" w:rsidR="00DA548F" w:rsidRDefault="00DA548F" w:rsidP="00DA548F">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2B3DE0DB" w14:textId="77777777" w:rsidR="00DA548F" w:rsidRPr="00422863" w:rsidRDefault="00DA548F" w:rsidP="00DA548F">
      <w:pPr>
        <w:rPr>
          <w:b/>
          <w:bCs/>
          <w:sz w:val="26"/>
        </w:rPr>
      </w:pPr>
      <w:r w:rsidRPr="00066F35">
        <w:rPr>
          <w:rStyle w:val="Style13ptBold"/>
        </w:rPr>
        <w:t xml:space="preserve">Henderson 17 </w:t>
      </w:r>
      <w:r w:rsidRPr="00066F35">
        <w:t xml:space="preserve">(Phil currently holds a Bachelor’s (Hons.) in Political Science from the University of Western Ontario and a Master’s Degree in Political Science from the University of Victoria, with a specialization in Cultural, Social and Political thought, </w:t>
      </w:r>
      <w:proofErr w:type="spellStart"/>
      <w:r w:rsidRPr="00066F35">
        <w:t>Imagoed</w:t>
      </w:r>
      <w:proofErr w:type="spellEnd"/>
      <w:r w:rsidRPr="00066F35">
        <w:t xml:space="preserve"> communities: the psychosocial space of settler colonialism, Settler Colonial Studies Vol 7 No 1, 2017) MN</w:t>
      </w:r>
    </w:p>
    <w:p w14:paraId="7FE80C4B" w14:textId="77777777" w:rsidR="00DA548F" w:rsidRPr="00EA78E2" w:rsidRDefault="00DA548F" w:rsidP="00EA78E2">
      <w:proofErr w:type="spellStart"/>
      <w:r w:rsidRPr="00EA78E2">
        <w:t>Goeman</w:t>
      </w:r>
      <w:proofErr w:type="spellEnd"/>
      <w:r w:rsidRPr="00EA78E2">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w:t>
      </w:r>
      <w:proofErr w:type="spellStart"/>
      <w:r w:rsidRPr="00EA78E2">
        <w:t>restorying</w:t>
      </w:r>
      <w:proofErr w:type="spellEnd"/>
      <w:r w:rsidRPr="00EA78E2">
        <w:t xml:space="preserve">’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w:t>
      </w:r>
      <w:proofErr w:type="spellStart"/>
      <w:r w:rsidRPr="00EA78E2">
        <w:t>Kanesatake</w:t>
      </w:r>
      <w:proofErr w:type="spellEnd"/>
      <w:r w:rsidRPr="00EA78E2">
        <w:t xml:space="preserve"> and Kahnawake,77 it also occurs in reiterative and disruptive practices, presences, and speech acts. </w:t>
      </w:r>
      <w:proofErr w:type="spellStart"/>
      <w:r w:rsidRPr="00EA78E2">
        <w:t>Goeman</w:t>
      </w:r>
      <w:proofErr w:type="spellEnd"/>
      <w:r w:rsidRPr="00EA78E2">
        <w:t xml:space="preserve">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w:t>
      </w:r>
      <w:proofErr w:type="spellStart"/>
      <w:r w:rsidRPr="00EA78E2">
        <w:t>Goeman</w:t>
      </w:r>
      <w:proofErr w:type="spellEnd"/>
      <w:r w:rsidRPr="00EA78E2">
        <w:t xml:space="preserve">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bookmarkEnd w:id="0"/>
    <w:p w14:paraId="0D35A29B"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6"/>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C7E1E"/>
    <w:rsid w:val="000E61A5"/>
    <w:rsid w:val="00DA548F"/>
    <w:rsid w:val="00DB78F4"/>
    <w:rsid w:val="00DC7E1E"/>
    <w:rsid w:val="00EA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8C47D"/>
  <w15:chartTrackingRefBased/>
  <w15:docId w15:val="{F319DAE4-8604-414D-B901-A84175832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61A5"/>
    <w:rPr>
      <w:rFonts w:ascii="Calibri" w:eastAsiaTheme="minorHAnsi" w:hAnsi="Calibri"/>
      <w:lang w:eastAsia="en-US"/>
    </w:rPr>
  </w:style>
  <w:style w:type="paragraph" w:styleId="Heading1">
    <w:name w:val="heading 1"/>
    <w:aliases w:val="Pocket"/>
    <w:basedOn w:val="Normal"/>
    <w:next w:val="Normal"/>
    <w:link w:val="Heading1Char"/>
    <w:qFormat/>
    <w:rsid w:val="000E61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61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61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3"/>
    <w:unhideWhenUsed/>
    <w:qFormat/>
    <w:rsid w:val="000E61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61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1A5"/>
  </w:style>
  <w:style w:type="character" w:customStyle="1" w:styleId="Heading2Char">
    <w:name w:val="Heading 2 Char"/>
    <w:aliases w:val="Hat Char"/>
    <w:basedOn w:val="DefaultParagraphFont"/>
    <w:link w:val="Heading2"/>
    <w:uiPriority w:val="1"/>
    <w:rsid w:val="000E61A5"/>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0E61A5"/>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61A5"/>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0E61A5"/>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0E61A5"/>
    <w:rPr>
      <w:color w:val="auto"/>
      <w:u w:val="none"/>
    </w:rPr>
  </w:style>
  <w:style w:type="character" w:customStyle="1" w:styleId="Heading1Char">
    <w:name w:val="Heading 1 Char"/>
    <w:aliases w:val="Pocket Char"/>
    <w:basedOn w:val="DefaultParagraphFont"/>
    <w:link w:val="Heading1"/>
    <w:rsid w:val="000E61A5"/>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0E61A5"/>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0E61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61A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xeley.com/borderlands/pdf/10.21307/borderlands-2020-013" TargetMode="External"/><Relationship Id="rId1" Type="http://schemas.openxmlformats.org/officeDocument/2006/relationships/numbering" Target="numbering.xml"/><Relationship Id="rId6" Type="http://schemas.openxmlformats.org/officeDocument/2006/relationships/hyperlink" Target="https://onlinelibrary.wiley.com/doi/full/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hyperlink" Target="https://doi.org/10.1111/anti.12659" TargetMode="External"/><Relationship Id="rId15" Type="http://schemas.openxmlformats.org/officeDocument/2006/relationships/hyperlink" Target="https://scholarworks.seattleu.edu/cgi/viewcontent.cgi?article=1008&amp;context=ura" TargetMode="External"/><Relationship Id="rId10" Type="http://schemas.openxmlformats.org/officeDocument/2006/relationships/hyperlink" Target="https://onlinelibrary.wiley.com/doi/full/10.1111/anti.12659" TargetMode="Externa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dx.doi.org/10.1080/2201473X.2016.12381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6317</Words>
  <Characters>36010</Characters>
  <Application>Microsoft Office Word</Application>
  <DocSecurity>0</DocSecurity>
  <Lines>300</Lines>
  <Paragraphs>84</Paragraphs>
  <ScaleCrop>false</ScaleCrop>
  <Company/>
  <LinksUpToDate>false</LinksUpToDate>
  <CharactersWithSpaces>42243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4</cp:revision>
  <dcterms:created xsi:type="dcterms:W3CDTF">2021-12-03T21:25:00Z</dcterms:created>
  <dcterms:modified xsi:type="dcterms:W3CDTF">2021-12-03T22:26:00Z</dcterms:modified>
</cp:coreProperties>
</file>