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21169" w14:textId="77777777" w:rsidR="00E70A0B" w:rsidRDefault="00E70A0B" w:rsidP="00E70A0B">
      <w:pPr>
        <w:pStyle w:val="Heading2"/>
      </w:pPr>
      <w:bookmarkStart w:id="0" w:name="_Hlk87021645"/>
      <w:r>
        <w:t>1</w:t>
      </w:r>
    </w:p>
    <w:p w14:paraId="5812D51D" w14:textId="77777777" w:rsidR="00E70A0B" w:rsidRPr="00DB3454" w:rsidRDefault="00E70A0B" w:rsidP="00E70A0B">
      <w:pPr>
        <w:pStyle w:val="Heading3"/>
        <w:jc w:val="left"/>
      </w:pPr>
    </w:p>
    <w:p w14:paraId="6586AFEB" w14:textId="77777777" w:rsidR="00E70A0B" w:rsidRDefault="00E70A0B" w:rsidP="00E70A0B">
      <w:pPr>
        <w:pStyle w:val="Heading4"/>
      </w:pPr>
      <w:r w:rsidRPr="00A353FF">
        <w:t xml:space="preserve">Interpretation: The affirmative may not specify a </w:t>
      </w:r>
      <w:r>
        <w:t>just government.</w:t>
      </w:r>
    </w:p>
    <w:p w14:paraId="7B17CA45" w14:textId="77777777" w:rsidR="00E70A0B" w:rsidRPr="003E5015" w:rsidRDefault="00E70A0B" w:rsidP="00E70A0B">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5AB7BB97" w14:textId="77777777" w:rsidR="00E70A0B" w:rsidRPr="003E5015" w:rsidRDefault="00E70A0B" w:rsidP="00E70A0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5A479E1" w14:textId="77777777" w:rsidR="00E70A0B" w:rsidRDefault="00E70A0B" w:rsidP="00E70A0B">
      <w:pPr>
        <w:rPr>
          <w:rStyle w:val="Emphasis"/>
        </w:rPr>
      </w:pPr>
      <w:r w:rsidRPr="00533062">
        <w:rPr>
          <w:rStyle w:val="StyleUnderline"/>
        </w:rPr>
        <w:t>The</w:t>
      </w:r>
      <w:r w:rsidRPr="00533062">
        <w:rPr>
          <w:sz w:val="16"/>
        </w:rPr>
        <w:t xml:space="preserve"> three </w:t>
      </w:r>
      <w:r w:rsidRPr="00533062">
        <w:rPr>
          <w:rStyle w:val="StyleUnderline"/>
        </w:rPr>
        <w:t>article</w:t>
      </w:r>
      <w:r w:rsidRPr="00533062">
        <w:rPr>
          <w:sz w:val="16"/>
        </w:rPr>
        <w:t xml:space="preserve">s — </w:t>
      </w:r>
      <w:r w:rsidRPr="00533062">
        <w:rPr>
          <w:rStyle w:val="StyleUnderline"/>
        </w:rPr>
        <w:t>a</w:t>
      </w:r>
      <w:r w:rsidRPr="00533062">
        <w:rPr>
          <w:sz w:val="16"/>
        </w:rPr>
        <w:t xml:space="preserve">, an, the — </w:t>
      </w:r>
      <w:r w:rsidRPr="00533062">
        <w:rPr>
          <w:rStyle w:val="StyleUnderline"/>
        </w:rPr>
        <w:t>are a</w:t>
      </w:r>
      <w:r w:rsidRPr="00533062">
        <w:rPr>
          <w:sz w:val="16"/>
        </w:rPr>
        <w:t xml:space="preserve"> kind of </w:t>
      </w:r>
      <w:r w:rsidRPr="00533062">
        <w:rPr>
          <w:rStyle w:val="StyleUnderline"/>
        </w:rPr>
        <w:t>adjective</w:t>
      </w:r>
      <w:r w:rsidRPr="00533062">
        <w:rPr>
          <w:sz w:val="16"/>
        </w:rPr>
        <w:t xml:space="preserve">. The is called the definite article because it usually precedes a specific or previously mentioned noun; </w:t>
      </w:r>
      <w:r w:rsidRPr="00533062">
        <w:rPr>
          <w:rStyle w:val="StyleUnderline"/>
        </w:rPr>
        <w:t>a and an are</w:t>
      </w:r>
      <w:r w:rsidRPr="00533062">
        <w:rPr>
          <w:sz w:val="16"/>
        </w:rPr>
        <w:t xml:space="preserve"> called </w:t>
      </w:r>
      <w:r w:rsidRPr="00533062">
        <w:rPr>
          <w:rStyle w:val="StyleUnderline"/>
        </w:rPr>
        <w:t>indefinite articles</w:t>
      </w:r>
      <w:r w:rsidRPr="00533062">
        <w:rPr>
          <w:sz w:val="16"/>
        </w:rPr>
        <w:t xml:space="preserve"> because </w:t>
      </w:r>
      <w:r w:rsidRPr="00533062">
        <w:rPr>
          <w:rStyle w:val="StyleUnderline"/>
        </w:rPr>
        <w:t>they are used to refer to something in a less specific manner</w:t>
      </w:r>
      <w:r w:rsidRPr="00533062">
        <w:rPr>
          <w:sz w:val="16"/>
        </w:rPr>
        <w:t xml:space="preserve"> (an unspecified count noun). These words are also listed among the noun markers or determiners because they are almost invariably followed by a noun (or something else acting as a noun). caution </w:t>
      </w:r>
      <w:proofErr w:type="spellStart"/>
      <w:r w:rsidRPr="00533062">
        <w:rPr>
          <w:sz w:val="16"/>
        </w:rPr>
        <w:t>CAUTION</w:t>
      </w:r>
      <w:proofErr w:type="spellEnd"/>
      <w:r w:rsidRPr="00533062">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533062">
        <w:rPr>
          <w:u w:val="single"/>
        </w:rPr>
        <w:t>The is used with specific nouns.</w:t>
      </w:r>
      <w:r w:rsidRPr="00533062">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533062">
        <w:rPr>
          <w:sz w:val="16"/>
        </w:rPr>
        <w:t>an</w:t>
      </w:r>
      <w:proofErr w:type="spellEnd"/>
      <w:r w:rsidRPr="00533062">
        <w:rPr>
          <w:sz w:val="16"/>
        </w:rPr>
        <w:t xml:space="preserve"> (as in an hour, an honor). We would say a useful device and a union matter because the u of those words actually sounds like </w:t>
      </w:r>
      <w:proofErr w:type="spellStart"/>
      <w:r w:rsidRPr="00533062">
        <w:rPr>
          <w:sz w:val="16"/>
        </w:rPr>
        <w:t>yoo</w:t>
      </w:r>
      <w:proofErr w:type="spellEnd"/>
      <w:r w:rsidRPr="00533062">
        <w:rPr>
          <w:sz w:val="16"/>
        </w:rPr>
        <w:t xml:space="preserve"> (as opposed, say, to the u of an ugly incident). The same is true of a European and a Euro (because of that consonantal "</w:t>
      </w:r>
      <w:proofErr w:type="spellStart"/>
      <w:r w:rsidRPr="00533062">
        <w:rPr>
          <w:sz w:val="16"/>
        </w:rPr>
        <w:t>Yoo</w:t>
      </w:r>
      <w:proofErr w:type="spellEnd"/>
      <w:r w:rsidRPr="00533062">
        <w:rPr>
          <w:sz w:val="16"/>
        </w:rPr>
        <w:t xml:space="preserve">" sound). We would say a once-in-a-lifetime experience or a one-time hero because the words once and one begin with a w sound (as if they were spelled </w:t>
      </w:r>
      <w:proofErr w:type="spellStart"/>
      <w:r w:rsidRPr="00533062">
        <w:rPr>
          <w:sz w:val="16"/>
        </w:rPr>
        <w:t>wuntz</w:t>
      </w:r>
      <w:proofErr w:type="spellEnd"/>
      <w:r w:rsidRPr="00533062">
        <w:rPr>
          <w:sz w:val="16"/>
        </w:rPr>
        <w:t xml:space="preserve"> and won). Merriam-Webster's Dictionary says that we can use an before an h- word that begins with an unstressed syllable. Thus, we might say an </w:t>
      </w:r>
      <w:proofErr w:type="spellStart"/>
      <w:r w:rsidRPr="00533062">
        <w:rPr>
          <w:sz w:val="16"/>
        </w:rPr>
        <w:t>hisTORical</w:t>
      </w:r>
      <w:proofErr w:type="spellEnd"/>
      <w:r w:rsidRPr="00533062">
        <w:rPr>
          <w:sz w:val="16"/>
        </w:rPr>
        <w:t xml:space="preserve"> moment, but we would say a </w:t>
      </w:r>
      <w:proofErr w:type="spellStart"/>
      <w:r w:rsidRPr="00533062">
        <w:rPr>
          <w:sz w:val="16"/>
        </w:rPr>
        <w:t>HIStory</w:t>
      </w:r>
      <w:proofErr w:type="spellEnd"/>
      <w:r w:rsidRPr="00533062">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533062">
        <w:rPr>
          <w:rStyle w:val="StyleUnderline"/>
        </w:rPr>
        <w:t>We</w:t>
      </w:r>
      <w:r w:rsidRPr="00533062">
        <w:rPr>
          <w:sz w:val="16"/>
        </w:rPr>
        <w:t xml:space="preserve"> can </w:t>
      </w:r>
      <w:r w:rsidRPr="00533062">
        <w:rPr>
          <w:rStyle w:val="StyleUnderline"/>
        </w:rPr>
        <w:t>refer to something in a generic way</w:t>
      </w:r>
      <w:r w:rsidRPr="00533062">
        <w:rPr>
          <w:sz w:val="16"/>
        </w:rPr>
        <w:t xml:space="preserve"> </w:t>
      </w:r>
      <w:r w:rsidRPr="00533062">
        <w:rPr>
          <w:rStyle w:val="StyleUnderline"/>
        </w:rPr>
        <w:t>by</w:t>
      </w:r>
      <w:r w:rsidRPr="00533062">
        <w:rPr>
          <w:sz w:val="16"/>
        </w:rPr>
        <w:t xml:space="preserve"> </w:t>
      </w:r>
      <w:r w:rsidRPr="00533062">
        <w:rPr>
          <w:rStyle w:val="StyleUnderline"/>
        </w:rPr>
        <w:t>using any of the</w:t>
      </w:r>
      <w:r w:rsidRPr="00533062">
        <w:rPr>
          <w:sz w:val="16"/>
        </w:rPr>
        <w:t xml:space="preserve"> three </w:t>
      </w:r>
      <w:r w:rsidRPr="00533062">
        <w:rPr>
          <w:rStyle w:val="StyleUnderline"/>
        </w:rPr>
        <w:t>articles</w:t>
      </w:r>
      <w:r w:rsidRPr="00533062">
        <w:rPr>
          <w:sz w:val="16"/>
        </w:rPr>
        <w:t xml:space="preserve">. We can do the same thing by omitting the article altogether. </w:t>
      </w:r>
      <w:r w:rsidRPr="00533062">
        <w:rPr>
          <w:rStyle w:val="Emphasis"/>
        </w:rPr>
        <w:t>A beagle</w:t>
      </w:r>
      <w:r w:rsidRPr="00533062">
        <w:rPr>
          <w:rStyle w:val="StyleUnderline"/>
        </w:rPr>
        <w:t xml:space="preserve"> makes a great hunting dog</w:t>
      </w:r>
      <w:r w:rsidRPr="00533062">
        <w:rPr>
          <w:sz w:val="16"/>
        </w:rPr>
        <w:t xml:space="preserve"> and family companion. An </w:t>
      </w:r>
      <w:proofErr w:type="spellStart"/>
      <w:r w:rsidRPr="00533062">
        <w:rPr>
          <w:sz w:val="16"/>
        </w:rPr>
        <w:t>airedale</w:t>
      </w:r>
      <w:proofErr w:type="spellEnd"/>
      <w:r w:rsidRPr="00533062">
        <w:rPr>
          <w:sz w:val="16"/>
        </w:rPr>
        <w:t xml:space="preserve"> is sometimes a rather skittish animal. The golden retriever is a marvelous pet for children. Irish setters are not the highly intelligent animals they used to be. </w:t>
      </w:r>
      <w:r w:rsidRPr="00533062">
        <w:rPr>
          <w:rStyle w:val="StyleUnderline"/>
        </w:rPr>
        <w:t>The</w:t>
      </w:r>
      <w:r w:rsidRPr="00533062">
        <w:rPr>
          <w:sz w:val="16"/>
        </w:rPr>
        <w:t xml:space="preserve"> difference between the generic indefinite pronoun and the normal </w:t>
      </w:r>
      <w:r w:rsidRPr="00533062">
        <w:rPr>
          <w:rStyle w:val="StyleUnderline"/>
        </w:rPr>
        <w:t>indefinite pronoun</w:t>
      </w:r>
      <w:r w:rsidRPr="00533062">
        <w:rPr>
          <w:sz w:val="16"/>
        </w:rPr>
        <w:t xml:space="preserve"> is that the latter refers to any of that class ("I want to buy a beagle, and any old beagle will do.") whereas the former (see beagle sentence) </w:t>
      </w:r>
      <w:r w:rsidRPr="00533062">
        <w:rPr>
          <w:rStyle w:val="Emphasis"/>
        </w:rPr>
        <w:t>refers to all members of that class</w:t>
      </w:r>
    </w:p>
    <w:p w14:paraId="21E48767" w14:textId="77777777" w:rsidR="00E70A0B" w:rsidRDefault="00E70A0B" w:rsidP="00E70A0B">
      <w:pPr>
        <w:pStyle w:val="Heading4"/>
      </w:pPr>
      <w:r>
        <w:t>The article “a” implies a nonspecific or generic reading of the word “just government”.</w:t>
      </w:r>
    </w:p>
    <w:p w14:paraId="572B4C04" w14:textId="77777777" w:rsidR="00E70A0B" w:rsidRPr="00FC4FE0" w:rsidRDefault="00E70A0B" w:rsidP="00E70A0B">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5" w:history="1">
        <w:r w:rsidRPr="00F059C2">
          <w:rPr>
            <w:rStyle w:val="Hyperlink"/>
          </w:rPr>
          <w:t>https://academicguides.waldenu.edu/writingcenter/grammar/articles</w:t>
        </w:r>
      </w:hyperlink>
      <w:r>
        <w:t xml:space="preserve"> SM</w:t>
      </w:r>
    </w:p>
    <w:p w14:paraId="331007E0" w14:textId="77777777" w:rsidR="00E70A0B" w:rsidRPr="00533062" w:rsidRDefault="00E70A0B" w:rsidP="00533062">
      <w:r w:rsidRPr="00533062">
        <w:t>When to Use "A" or "An" "A" and "an" are used with singular countable nouns when the noun is nonspecific or generic. I do not own a car. In this sentence, "car" is a singular countable noun that is not specific. It could be any car. She would like to go to a university that specializes in teaching. "University" is a singular countable noun. Although it begins with a vowel, the first sound of the word is /j/ or “y.” Thus, "a" instead of "an" is used. In this sentence, it is also generic (it could be any university with this specialization, not a specific one). I would like to eat an apple. In this sentence, "apple" is a singular countable noun that is not specific. It could be any apple.</w:t>
      </w:r>
    </w:p>
    <w:p w14:paraId="090AEEBA" w14:textId="77777777" w:rsidR="00E70A0B" w:rsidRDefault="00E70A0B" w:rsidP="00E70A0B">
      <w:pPr>
        <w:pStyle w:val="Heading4"/>
      </w:pPr>
      <w:r w:rsidRPr="00A353FF">
        <w:t>Violation: they spec</w:t>
      </w:r>
      <w:r>
        <w:t xml:space="preserve"> Palestinian gov</w:t>
      </w:r>
    </w:p>
    <w:p w14:paraId="0374FA97" w14:textId="77777777" w:rsidR="00E70A0B" w:rsidRPr="00A353FF" w:rsidRDefault="00E70A0B" w:rsidP="00E70A0B">
      <w:pPr>
        <w:pStyle w:val="Heading4"/>
      </w:pPr>
      <w:r w:rsidRPr="00A353FF">
        <w:t>Standards:</w:t>
      </w:r>
    </w:p>
    <w:p w14:paraId="39BE1BFE" w14:textId="77777777" w:rsidR="00E70A0B" w:rsidRDefault="00E70A0B" w:rsidP="00E70A0B">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4D44AE66" w14:textId="77777777" w:rsidR="00E70A0B" w:rsidRDefault="00E70A0B" w:rsidP="00E70A0B">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aff – i.e. laws about the right to strike in the US are different than in New Zealand – means the aff is always more prepared and wins just for </w:t>
      </w:r>
      <w:proofErr w:type="spellStart"/>
      <w:r>
        <w:t>speccing</w:t>
      </w:r>
      <w:proofErr w:type="spellEnd"/>
      <w:r>
        <w:t>.</w:t>
      </w:r>
    </w:p>
    <w:p w14:paraId="5EE351B3" w14:textId="77777777" w:rsidR="00E70A0B" w:rsidRDefault="00E70A0B" w:rsidP="00E70A0B">
      <w:pPr>
        <w:pStyle w:val="Heading4"/>
      </w:pPr>
      <w:r>
        <w:t>3] TVA – just read your aff as an advantage under a whole adv, solves your offense</w:t>
      </w:r>
    </w:p>
    <w:p w14:paraId="51C22747" w14:textId="77777777" w:rsidR="00E70A0B" w:rsidRDefault="00E70A0B" w:rsidP="00E70A0B">
      <w:pPr>
        <w:pStyle w:val="Heading4"/>
      </w:pPr>
      <w:r>
        <w:t>Fairness – debate is a competitive activity that requires fairness for objective evaluation. Outweighs – it constrains your ability to evaluate the rest of the flow because they require fair evaluation.</w:t>
      </w:r>
    </w:p>
    <w:p w14:paraId="2069B42C" w14:textId="77777777" w:rsidR="00E70A0B" w:rsidRDefault="00E70A0B" w:rsidP="00E70A0B">
      <w:pPr>
        <w:pStyle w:val="Heading4"/>
      </w:pPr>
      <w:r>
        <w:t>Drop the debater – to deter future abuse and set better norms for debate.</w:t>
      </w:r>
    </w:p>
    <w:p w14:paraId="1231CC9C" w14:textId="77777777" w:rsidR="00E70A0B" w:rsidRDefault="00E70A0B" w:rsidP="00E70A0B">
      <w:pPr>
        <w:pStyle w:val="Heading4"/>
      </w:pPr>
      <w:r>
        <w:t>Competing interps – reasonability is arbitrary and invites judge intervention but we creates a race to the top where we create the best norms for debate.</w:t>
      </w:r>
    </w:p>
    <w:p w14:paraId="1B83413C" w14:textId="77777777" w:rsidR="00E70A0B" w:rsidRDefault="00E70A0B" w:rsidP="00E70A0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56A55FE" w14:textId="77777777" w:rsidR="00E70A0B" w:rsidRDefault="00E70A0B" w:rsidP="00E70A0B"/>
    <w:p w14:paraId="678F2CFE" w14:textId="77777777" w:rsidR="00E70A0B" w:rsidRPr="00636117" w:rsidRDefault="00E70A0B" w:rsidP="00E70A0B"/>
    <w:p w14:paraId="7ABDED74" w14:textId="77777777" w:rsidR="00E70A0B" w:rsidRDefault="00E70A0B" w:rsidP="00E70A0B">
      <w:pPr>
        <w:pStyle w:val="Heading2"/>
      </w:pPr>
    </w:p>
    <w:p w14:paraId="634B6B88" w14:textId="77777777" w:rsidR="00E70A0B" w:rsidRPr="00835831" w:rsidRDefault="00E70A0B" w:rsidP="00E70A0B">
      <w:pPr>
        <w:pStyle w:val="Heading2"/>
      </w:pPr>
      <w:r>
        <w:t>2</w:t>
      </w:r>
    </w:p>
    <w:p w14:paraId="5F692BED" w14:textId="77777777" w:rsidR="00E70A0B" w:rsidRPr="001D22A6" w:rsidRDefault="00E70A0B" w:rsidP="00E70A0B">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60C71609" w14:textId="77777777" w:rsidR="00E70A0B" w:rsidRDefault="00E70A0B" w:rsidP="00E70A0B">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AX</w:t>
      </w:r>
    </w:p>
    <w:p w14:paraId="50A54989" w14:textId="77777777" w:rsidR="00E70A0B" w:rsidRPr="004263E2" w:rsidRDefault="00E70A0B" w:rsidP="00E70A0B">
      <w:r>
        <w:t>Dispossession – deprive of land</w:t>
      </w:r>
    </w:p>
    <w:p w14:paraId="7002E6AE" w14:textId="77777777" w:rsidR="00E70A0B" w:rsidRPr="00517C7B" w:rsidRDefault="00E70A0B" w:rsidP="00517C7B">
      <w:r w:rsidRPr="00517C7B">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517C7B">
        <w:t>labour</w:t>
      </w:r>
      <w:proofErr w:type="spellEnd"/>
      <w:r w:rsidRPr="00517C7B">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517C7B">
        <w:t>labour</w:t>
      </w:r>
      <w:proofErr w:type="spellEnd"/>
      <w:r w:rsidRPr="00517C7B">
        <w:t xml:space="preserve"> movements fought for the intensification of settler expansion and racial segregation (see “An Alternative Reading: Settler Colonies and the Exploitation of the Native” above), through </w:t>
      </w:r>
      <w:proofErr w:type="spellStart"/>
      <w:r w:rsidRPr="00517C7B">
        <w:t>colour</w:t>
      </w:r>
      <w:proofErr w:type="spellEnd"/>
      <w:r w:rsidRPr="00517C7B">
        <w:t xml:space="preserve"> bars, boycott campaigns and demands for expulsion. In the process, bitter confrontations emerged between settler </w:t>
      </w:r>
      <w:proofErr w:type="spellStart"/>
      <w:r w:rsidRPr="00517C7B">
        <w:t>labour</w:t>
      </w:r>
      <w:proofErr w:type="spellEnd"/>
      <w:r w:rsidRPr="00517C7B">
        <w:t xml:space="preserve"> and capital, when the latter [and] attempted to increase its profit margins through the exploitation of indigenous </w:t>
      </w:r>
      <w:proofErr w:type="spellStart"/>
      <w:r w:rsidRPr="00517C7B">
        <w:t>labour</w:t>
      </w:r>
      <w:proofErr w:type="spellEnd"/>
      <w:r w:rsidRPr="00517C7B">
        <w:t xml:space="preserve">—for example in the context of the white </w:t>
      </w:r>
      <w:proofErr w:type="spellStart"/>
      <w:r w:rsidRPr="00517C7B">
        <w:t>labour</w:t>
      </w:r>
      <w:proofErr w:type="spellEnd"/>
      <w:r w:rsidRPr="00517C7B">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517C7B">
        <w:t>labour</w:t>
      </w:r>
      <w:proofErr w:type="spellEnd"/>
      <w:r w:rsidRPr="00517C7B">
        <w:t xml:space="preserve"> as well as over the colonial booty. In the case of Zionism in Palestine, the current associated with the publication </w:t>
      </w:r>
      <w:proofErr w:type="spellStart"/>
      <w:r w:rsidRPr="00517C7B">
        <w:t>Matzpen</w:t>
      </w:r>
      <w:proofErr w:type="spellEnd"/>
      <w:r w:rsidRPr="00517C7B">
        <w:t xml:space="preserve"> (“Compass”) developed a class analysis of Israeli society. They came to the conclusion that because the Israeli economy was heavily </w:t>
      </w:r>
      <w:proofErr w:type="spellStart"/>
      <w:r w:rsidRPr="00517C7B">
        <w:t>subsidised</w:t>
      </w:r>
      <w:proofErr w:type="spellEnd"/>
      <w:r w:rsidRPr="00517C7B">
        <w:t xml:space="preserve"> from the outside (first primarily by Britain, then by the US) and that this subsidy was not simply going into private hands but was used by the </w:t>
      </w:r>
      <w:proofErr w:type="spellStart"/>
      <w:r w:rsidRPr="00517C7B">
        <w:t>Labour</w:t>
      </w:r>
      <w:proofErr w:type="spellEnd"/>
      <w:r w:rsidRPr="00517C7B">
        <w:t xml:space="preserve"> Zionist bureaucracy to </w:t>
      </w:r>
      <w:proofErr w:type="spellStart"/>
      <w:r w:rsidRPr="00517C7B">
        <w:t>organise</w:t>
      </w:r>
      <w:proofErr w:type="spellEnd"/>
      <w:r w:rsidRPr="00517C7B">
        <w:t xml:space="preserve"> the development of the Israeli economy and infrastructure, class antagonisms were diverted within its society. </w:t>
      </w:r>
      <w:proofErr w:type="spellStart"/>
      <w:r w:rsidRPr="00517C7B">
        <w:t>Hangebi</w:t>
      </w:r>
      <w:proofErr w:type="spellEnd"/>
      <w:r w:rsidRPr="00517C7B">
        <w:t xml:space="preserve"> et al. (</w:t>
      </w:r>
      <w:hyperlink r:id="rId7" w:anchor="anti12659-bib-0014" w:history="1">
        <w:r w:rsidRPr="00517C7B">
          <w:rPr>
            <w:rStyle w:val="Hyperlink"/>
          </w:rPr>
          <w:t>2012</w:t>
        </w:r>
      </w:hyperlink>
      <w:r w:rsidRPr="00517C7B">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517C7B">
        <w:t>Matzpen</w:t>
      </w:r>
      <w:proofErr w:type="spellEnd"/>
      <w:r w:rsidRPr="00517C7B">
        <w:t xml:space="preserve"> otherwise </w:t>
      </w:r>
      <w:proofErr w:type="spellStart"/>
      <w:r w:rsidRPr="00517C7B">
        <w:t>recognised</w:t>
      </w:r>
      <w:proofErr w:type="spellEnd"/>
      <w:r w:rsidRPr="00517C7B">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517C7B">
        <w:t>labour</w:t>
      </w:r>
      <w:proofErr w:type="spellEnd"/>
      <w:r w:rsidRPr="00517C7B">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8" w:anchor="anti12659-note-1005_77" w:tooltip="Link to note" w:history="1">
        <w:r w:rsidRPr="00517C7B">
          <w:rPr>
            <w:rStyle w:val="Hyperlink"/>
          </w:rPr>
          <w:t>5</w:t>
        </w:r>
      </w:hyperlink>
      <w:r w:rsidRPr="00517C7B">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517C7B">
          <w:rPr>
            <w:rStyle w:val="Hyperlink"/>
          </w:rPr>
          <w:t>2001</w:t>
        </w:r>
      </w:hyperlink>
      <w:r w:rsidRPr="00517C7B">
        <w:t>) in the Wretched of the Earth, have argued that indigenous people face the settler population as a whole in their struggle for de-</w:t>
      </w:r>
      <w:proofErr w:type="spellStart"/>
      <w:r w:rsidRPr="00517C7B">
        <w:t>colonisation</w:t>
      </w:r>
      <w:proofErr w:type="spellEnd"/>
      <w:r w:rsidRPr="00517C7B">
        <w:t xml:space="preserve">. This is not to say that individual settlers or specific settler </w:t>
      </w:r>
      <w:proofErr w:type="spellStart"/>
      <w:r w:rsidRPr="00517C7B">
        <w:t>organisations</w:t>
      </w:r>
      <w:proofErr w:type="spellEnd"/>
      <w:r w:rsidRPr="00517C7B">
        <w:t xml:space="preserve"> cannot or have not supported struggles for </w:t>
      </w:r>
      <w:proofErr w:type="spellStart"/>
      <w:r w:rsidRPr="00517C7B">
        <w:t>decolonisation</w:t>
      </w:r>
      <w:proofErr w:type="spellEnd"/>
      <w:r w:rsidRPr="00517C7B">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517C7B">
        <w:t>organised</w:t>
      </w:r>
      <w:proofErr w:type="spellEnd"/>
      <w:r w:rsidRPr="00517C7B">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517C7B">
        <w:t>organise</w:t>
      </w:r>
      <w:proofErr w:type="spellEnd"/>
      <w:r w:rsidRPr="00517C7B">
        <w:t xml:space="preserve"> the transfer of populations to the colony in the same way a state could. In the words of </w:t>
      </w:r>
      <w:proofErr w:type="spellStart"/>
      <w:r w:rsidRPr="00517C7B">
        <w:t>Shafir</w:t>
      </w:r>
      <w:proofErr w:type="spellEnd"/>
      <w:r w:rsidRPr="00517C7B">
        <w:t xml:space="preserve"> (</w:t>
      </w:r>
      <w:hyperlink r:id="rId10" w:anchor="anti12659-bib-0041" w:history="1">
        <w:r w:rsidRPr="00517C7B">
          <w:rPr>
            <w:rStyle w:val="Hyperlink"/>
          </w:rPr>
          <w:t>1996</w:t>
        </w:r>
      </w:hyperlink>
      <w:r w:rsidRPr="00517C7B">
        <w:t xml:space="preserve">:155): “Zionism, then, was a </w:t>
      </w:r>
      <w:proofErr w:type="spellStart"/>
      <w:r w:rsidRPr="00517C7B">
        <w:t>colonisation</w:t>
      </w:r>
      <w:proofErr w:type="spellEnd"/>
      <w:r w:rsidRPr="00517C7B">
        <w:t xml:space="preserve"> movement which simultaneously had to secure land for its settlers and settlers for its land”. The dual need for land and </w:t>
      </w:r>
      <w:proofErr w:type="spellStart"/>
      <w:r w:rsidRPr="00517C7B">
        <w:t>labour</w:t>
      </w:r>
      <w:proofErr w:type="spellEnd"/>
      <w:r w:rsidRPr="00517C7B">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517C7B">
        <w:t>Shafir</w:t>
      </w:r>
      <w:proofErr w:type="spellEnd"/>
      <w:r w:rsidRPr="00517C7B">
        <w:t xml:space="preserve"> (</w:t>
      </w:r>
      <w:hyperlink r:id="rId11" w:anchor="anti12659-bib-0041" w:history="1">
        <w:r w:rsidRPr="00517C7B">
          <w:rPr>
            <w:rStyle w:val="Hyperlink"/>
          </w:rPr>
          <w:t>1996</w:t>
        </w:r>
      </w:hyperlink>
      <w:r w:rsidRPr="00517C7B">
        <w:t xml:space="preserve">), on the model of other European projects—especially the French settler colonies of North Africa. On the other hand, the nascent </w:t>
      </w:r>
      <w:proofErr w:type="spellStart"/>
      <w:r w:rsidRPr="00517C7B">
        <w:t>Labour</w:t>
      </w:r>
      <w:proofErr w:type="spellEnd"/>
      <w:r w:rsidRPr="00517C7B">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517C7B">
        <w:t>labour</w:t>
      </w:r>
      <w:proofErr w:type="spellEnd"/>
      <w:r w:rsidRPr="00517C7B">
        <w:t xml:space="preserve"> force. This led to the development of a series of new </w:t>
      </w:r>
      <w:proofErr w:type="spellStart"/>
      <w:r w:rsidRPr="00517C7B">
        <w:t>Labour</w:t>
      </w:r>
      <w:proofErr w:type="spellEnd"/>
      <w:r w:rsidRPr="00517C7B">
        <w:t xml:space="preserve"> Zionist institutions to </w:t>
      </w:r>
      <w:proofErr w:type="spellStart"/>
      <w:r w:rsidRPr="00517C7B">
        <w:t>organise</w:t>
      </w:r>
      <w:proofErr w:type="spellEnd"/>
      <w:r w:rsidRPr="00517C7B">
        <w:t xml:space="preserve"> this “Conquest of Hebrew </w:t>
      </w:r>
      <w:proofErr w:type="spellStart"/>
      <w:r w:rsidRPr="00517C7B">
        <w:t>Labour</w:t>
      </w:r>
      <w:proofErr w:type="spellEnd"/>
      <w:r w:rsidRPr="00517C7B">
        <w:t xml:space="preserve">”, by </w:t>
      </w:r>
      <w:proofErr w:type="spellStart"/>
      <w:r w:rsidRPr="00517C7B">
        <w:t>organising</w:t>
      </w:r>
      <w:proofErr w:type="spellEnd"/>
      <w:r w:rsidRPr="00517C7B">
        <w:t xml:space="preserve"> strikes, pickets, and boycotts of Jewish owned businesses that employed Palestinian workers or sold products made by them. The Kibbutzim, the Histadrut,</w:t>
      </w:r>
      <w:hyperlink r:id="rId12" w:anchor="anti12659-note-1006_81" w:tooltip="Link to note" w:history="1">
        <w:r w:rsidRPr="00517C7B">
          <w:rPr>
            <w:rStyle w:val="Hyperlink"/>
          </w:rPr>
          <w:t>6</w:t>
        </w:r>
      </w:hyperlink>
      <w:r w:rsidRPr="00517C7B">
        <w:t xml:space="preserve"> and the early Zionist militias were all born out of the process of </w:t>
      </w:r>
      <w:proofErr w:type="spellStart"/>
      <w:r w:rsidRPr="00517C7B">
        <w:t>organising</w:t>
      </w:r>
      <w:proofErr w:type="spellEnd"/>
      <w:r w:rsidRPr="00517C7B">
        <w:t xml:space="preserve"> this campaign (Lockman </w:t>
      </w:r>
      <w:hyperlink r:id="rId13" w:anchor="anti12659-bib-0024" w:history="1">
        <w:r w:rsidRPr="00517C7B">
          <w:rPr>
            <w:rStyle w:val="Hyperlink"/>
          </w:rPr>
          <w:t>1996</w:t>
        </w:r>
      </w:hyperlink>
      <w:r w:rsidRPr="00517C7B">
        <w:t xml:space="preserve">). For example, the </w:t>
      </w:r>
      <w:proofErr w:type="spellStart"/>
      <w:r w:rsidRPr="00517C7B">
        <w:t>Histadrut’s</w:t>
      </w:r>
      <w:proofErr w:type="spellEnd"/>
      <w:r w:rsidRPr="00517C7B">
        <w:t xml:space="preserve"> constitution, passed at its founding congress, made clear that it was a Zionist body committed to the project of settlement through the development of an exclusively Jewish society. It stated that the </w:t>
      </w:r>
      <w:proofErr w:type="spellStart"/>
      <w:r w:rsidRPr="00517C7B">
        <w:t>Histadrut’s</w:t>
      </w:r>
      <w:proofErr w:type="spellEnd"/>
      <w:r w:rsidRPr="00517C7B">
        <w:t xml:space="preserve"> goal was to: … unite all the workers and </w:t>
      </w:r>
      <w:proofErr w:type="spellStart"/>
      <w:r w:rsidRPr="00517C7B">
        <w:t>labourers</w:t>
      </w:r>
      <w:proofErr w:type="spellEnd"/>
      <w:r w:rsidRPr="00517C7B">
        <w:t xml:space="preserve"> in the country who live by their own </w:t>
      </w:r>
      <w:proofErr w:type="spellStart"/>
      <w:r w:rsidRPr="00517C7B">
        <w:t>labour</w:t>
      </w:r>
      <w:proofErr w:type="spellEnd"/>
      <w:r w:rsidRPr="00517C7B">
        <w:t xml:space="preserve"> without exploiting the </w:t>
      </w:r>
      <w:proofErr w:type="spellStart"/>
      <w:r w:rsidRPr="00517C7B">
        <w:t>labour</w:t>
      </w:r>
      <w:proofErr w:type="spellEnd"/>
      <w:r w:rsidRPr="00517C7B">
        <w:t xml:space="preserve"> of others, in order to arrange for all settlement, economic and also cultural affairs of all the workers in the country, so as to build a society of Jewish </w:t>
      </w:r>
      <w:proofErr w:type="spellStart"/>
      <w:r w:rsidRPr="00517C7B">
        <w:t>labour</w:t>
      </w:r>
      <w:proofErr w:type="spellEnd"/>
      <w:r w:rsidRPr="00517C7B">
        <w:t xml:space="preserve"> in Eretz </w:t>
      </w:r>
      <w:proofErr w:type="spellStart"/>
      <w:r w:rsidRPr="00517C7B">
        <w:t>Yisra’el</w:t>
      </w:r>
      <w:proofErr w:type="spellEnd"/>
      <w:r w:rsidRPr="00517C7B">
        <w:t xml:space="preserve">. (quoted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517C7B">
        <w:t>Labour</w:t>
      </w:r>
      <w:proofErr w:type="spellEnd"/>
      <w:r w:rsidRPr="00517C7B">
        <w:t xml:space="preserve"> Zionist movement (Lockman </w:t>
      </w:r>
      <w:hyperlink r:id="rId14" w:anchor="anti12659-bib-0025" w:history="1">
        <w:r w:rsidRPr="00517C7B">
          <w:rPr>
            <w:rStyle w:val="Hyperlink"/>
          </w:rPr>
          <w:t>2012</w:t>
        </w:r>
      </w:hyperlink>
      <w:r w:rsidRPr="00517C7B">
        <w:t xml:space="preserve">). Key industries, such as construction and agriculture, were taken over by </w:t>
      </w:r>
      <w:proofErr w:type="spellStart"/>
      <w:r w:rsidRPr="00517C7B">
        <w:t>Labour</w:t>
      </w:r>
      <w:proofErr w:type="spellEnd"/>
      <w:r w:rsidRPr="00517C7B">
        <w:t xml:space="preserve"> Zionist institutions such as Solal </w:t>
      </w:r>
      <w:proofErr w:type="spellStart"/>
      <w:r w:rsidRPr="00517C7B">
        <w:t>Boneh</w:t>
      </w:r>
      <w:proofErr w:type="spellEnd"/>
      <w:r w:rsidRPr="00517C7B">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517C7B">
        <w:t>Labour</w:t>
      </w:r>
      <w:proofErr w:type="spellEnd"/>
      <w:r w:rsidRPr="00517C7B">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517C7B">
        <w:t>Labour</w:t>
      </w:r>
      <w:proofErr w:type="spellEnd"/>
      <w:r w:rsidRPr="00517C7B">
        <w:t xml:space="preserve"> Zionist movement developed on the basis of opposing Jewish farmers as well as Palestinian workers, a political focus that also shaped its key institutions. The campaign for Hebrew </w:t>
      </w:r>
      <w:proofErr w:type="spellStart"/>
      <w:r w:rsidRPr="00517C7B">
        <w:t>Labour</w:t>
      </w:r>
      <w:proofErr w:type="spellEnd"/>
      <w:r w:rsidRPr="00517C7B">
        <w:t xml:space="preserve">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14:paraId="3A58A037" w14:textId="77777777" w:rsidR="00E70A0B" w:rsidRPr="00AA7E34" w:rsidRDefault="00E70A0B" w:rsidP="00E70A0B">
      <w:pPr>
        <w:pStyle w:val="Heading4"/>
      </w:pPr>
      <w:r w:rsidRPr="00AA7E34">
        <w:t>The aff reaffirms the authority of the colonialist Palestinian government</w:t>
      </w:r>
      <w:r>
        <w:t xml:space="preserve"> that pushes a colonialist narrative and suppresses anti-colonialist movements</w:t>
      </w:r>
    </w:p>
    <w:p w14:paraId="75073352" w14:textId="77777777" w:rsidR="00E70A0B" w:rsidRPr="0026795A" w:rsidRDefault="00E70A0B" w:rsidP="00E70A0B">
      <w:proofErr w:type="spellStart"/>
      <w:r w:rsidRPr="0026795A">
        <w:rPr>
          <w:rStyle w:val="Heading4Char"/>
        </w:rPr>
        <w:t>Moaswes</w:t>
      </w:r>
      <w:proofErr w:type="spellEnd"/>
      <w:r w:rsidRPr="0026795A">
        <w:rPr>
          <w:rStyle w:val="Heading4Char"/>
        </w:rPr>
        <w:t xml:space="preserve"> 21</w:t>
      </w:r>
      <w:r>
        <w:t xml:space="preserve"> </w:t>
      </w:r>
      <w:r w:rsidRPr="0026795A">
        <w:t xml:space="preserve">Abdulla </w:t>
      </w:r>
      <w:proofErr w:type="spellStart"/>
      <w:r w:rsidRPr="0026795A">
        <w:t>Moaswes</w:t>
      </w:r>
      <w:proofErr w:type="spellEnd"/>
      <w:r>
        <w:t xml:space="preserve"> 21 July 2021,</w:t>
      </w:r>
      <w:r w:rsidRPr="0026795A">
        <w:t xml:space="preserve"> </w:t>
      </w:r>
      <w:hyperlink r:id="rId15" w:history="1">
        <w:r w:rsidRPr="00832DCC">
          <w:rPr>
            <w:rStyle w:val="Hyperlink"/>
          </w:rPr>
          <w:t>https://www.trtworld.com/opinion/colonialism-dehumanisation-and-neoliberal-state-building-in-palestine-48531</w:t>
        </w:r>
      </w:hyperlink>
      <w:r>
        <w:t xml:space="preserve"> AX</w:t>
      </w:r>
    </w:p>
    <w:p w14:paraId="3048CCB9" w14:textId="77777777" w:rsidR="00E70A0B" w:rsidRPr="00517C7B" w:rsidRDefault="00E70A0B" w:rsidP="00517C7B">
      <w:r w:rsidRPr="00517C7B">
        <w:t xml:space="preserve">The Palestinian Authority perpetuates the Zionist </w:t>
      </w:r>
      <w:proofErr w:type="spellStart"/>
      <w:r w:rsidRPr="00517C7B">
        <w:t>colonisation</w:t>
      </w:r>
      <w:proofErr w:type="spellEnd"/>
      <w:r w:rsidRPr="00517C7B">
        <w:t xml:space="preserve"> narrative that casts Palestinians as economically backwards. While recent months have seen a significant increase in global support for Palestinian liberation in response to Israel’s attempts at forcibly dispossessing Palestinians of their homes, the absence of one putatively important actor has been notable. Said actor, the Palestinian Authority (PA), has instead focused its energies on violently suppressing Palestinian protest, especially those that have arisen in response to the PA’s alleged assassination of activist Nizar Banat. While the PA’s involvement in suppressing Palestinian popular protest may surprise some, it makes perfect sense to those familiar with the failed state-building project that the Authority has sought to pursue in the decades following its establishment. Neoliberal state-building Among the cornerstones of the PA’s state-building project is a commitment to neoliberal economic principles, solidified by President Mahmoud Abbas’s appointment of former World Bank economist Salam Fayyad as Prime Minister in 2007. In accordance with these principles, the PA has bound itself to creating institutions that facilitate capital accumulation both within the territories that it governs as well as outside of them, even — perhaps, especially — at the expense of the will of Palestinian civil society and grassroots activists and communities. Fayyad may have resigned as Prime Minister in 2013, but the PA has not moved on from his focus on neoliberal state-building. The most charitable reading of such an approach to governance in Palestine suggests that the PA’s intentions are to demonstrate that Palestinians can self-govern within the boundaries of the world’s most hegemonic economic logic. This approach and ordering of priorities, however, requires subjugating the political will, right to self-determination and economic agency of Palestinians due to the inherent paternalism it entails, especially when implemented by a leadership whose own popular legitimacy remains deeply suspect. It also continues a tradition of relying on ideas of economic rationalism as a pretext and vocabulary to </w:t>
      </w:r>
      <w:proofErr w:type="spellStart"/>
      <w:r w:rsidRPr="00517C7B">
        <w:t>dehumanise</w:t>
      </w:r>
      <w:proofErr w:type="spellEnd"/>
      <w:r w:rsidRPr="00517C7B">
        <w:t xml:space="preserve"> Palestinians, </w:t>
      </w:r>
      <w:proofErr w:type="spellStart"/>
      <w:r w:rsidRPr="00517C7B">
        <w:t>delegitimise</w:t>
      </w:r>
      <w:proofErr w:type="spellEnd"/>
      <w:r w:rsidRPr="00517C7B">
        <w:t xml:space="preserve"> their anticolonial resistance and argue for the </w:t>
      </w:r>
      <w:proofErr w:type="spellStart"/>
      <w:r w:rsidRPr="00517C7B">
        <w:t>colonisation</w:t>
      </w:r>
      <w:proofErr w:type="spellEnd"/>
      <w:r w:rsidRPr="00517C7B">
        <w:t xml:space="preserve"> of their land. Historical discourses on Palestinian economic backwardness The Zionist settlement and </w:t>
      </w:r>
      <w:proofErr w:type="spellStart"/>
      <w:r w:rsidRPr="00517C7B">
        <w:t>colonisation</w:t>
      </w:r>
      <w:proofErr w:type="spellEnd"/>
      <w:r w:rsidRPr="00517C7B">
        <w:t xml:space="preserve"> of Palestine largely relied on perpetuating myths that erased the presence of Palestinians from their historic homeland. Even among scholars and propagandists who acknowledged Palestinian presence, narratives of economic backwardness downplayed its significance and even acted as a pretext for </w:t>
      </w:r>
      <w:proofErr w:type="spellStart"/>
      <w:r w:rsidRPr="00517C7B">
        <w:t>colonisation</w:t>
      </w:r>
      <w:proofErr w:type="spellEnd"/>
      <w:r w:rsidRPr="00517C7B">
        <w:t xml:space="preserve">. Nahla </w:t>
      </w:r>
      <w:proofErr w:type="spellStart"/>
      <w:r w:rsidRPr="00517C7B">
        <w:t>Zu’bi</w:t>
      </w:r>
      <w:proofErr w:type="spellEnd"/>
      <w:r w:rsidRPr="00517C7B">
        <w:t xml:space="preserve"> describes two primary trends within Israeli scholarship about the economy of Palestine under the British </w:t>
      </w:r>
      <w:proofErr w:type="spellStart"/>
      <w:r w:rsidRPr="00517C7B">
        <w:t>Mandate.The</w:t>
      </w:r>
      <w:proofErr w:type="spellEnd"/>
      <w:r w:rsidRPr="00517C7B">
        <w:t xml:space="preserve"> first trend, represented by historian </w:t>
      </w:r>
      <w:proofErr w:type="spellStart"/>
      <w:r w:rsidRPr="00517C7B">
        <w:t>Smiha</w:t>
      </w:r>
      <w:proofErr w:type="spellEnd"/>
      <w:r w:rsidRPr="00517C7B">
        <w:t xml:space="preserve"> </w:t>
      </w:r>
      <w:proofErr w:type="spellStart"/>
      <w:r w:rsidRPr="00517C7B">
        <w:t>Flapan</w:t>
      </w:r>
      <w:proofErr w:type="spellEnd"/>
      <w:r w:rsidRPr="00517C7B">
        <w:t xml:space="preserve">, argued for the existence of “two separate "national economies": a "Jewish capitalist economy", which was able to develop rapidly, and a "traditional and backward Palestinian economy," which wasn’t able to do so, due to competition and “a crisis of modernization in the Arab sector”. The second trend, represented by Israeli intelligence community veteran Yuval </w:t>
      </w:r>
      <w:proofErr w:type="spellStart"/>
      <w:r w:rsidRPr="00517C7B">
        <w:t>Arnon</w:t>
      </w:r>
      <w:proofErr w:type="spellEnd"/>
      <w:r w:rsidRPr="00517C7B">
        <w:t xml:space="preserve"> </w:t>
      </w:r>
      <w:proofErr w:type="spellStart"/>
      <w:r w:rsidRPr="00517C7B">
        <w:t>Ohana</w:t>
      </w:r>
      <w:proofErr w:type="spellEnd"/>
      <w:r w:rsidRPr="00517C7B">
        <w:t xml:space="preserve">, downplays the economic agency of the majority of Palestinians, instead suggesting that acts of protest during the Mandate were instigated by Palestinian political and economic elites who feared the potential impact of Jewish immigration and capital on “their existing status and their means of political and economic control”. According to </w:t>
      </w:r>
      <w:proofErr w:type="spellStart"/>
      <w:r w:rsidRPr="00517C7B">
        <w:t>Zu’bi</w:t>
      </w:r>
      <w:proofErr w:type="spellEnd"/>
      <w:r w:rsidRPr="00517C7B">
        <w:t xml:space="preserve">, this was because </w:t>
      </w:r>
      <w:proofErr w:type="spellStart"/>
      <w:r w:rsidRPr="00517C7B">
        <w:t>Ohana</w:t>
      </w:r>
      <w:proofErr w:type="spellEnd"/>
      <w:r w:rsidRPr="00517C7B">
        <w:t xml:space="preserve"> believed that “British colonialism in Palestine was a force for progress” and that Jewish capital “provided the unemployed fellaheen with wide employment opportunities” – ignoring the fact that the fellaheen (Palestinian agricultural workers) were forced into unemployment in the first place due to the expropriation of the lands they made their living off of. In addition to the racism inherent in such arguments, the whole premise of the Palestinian economy existing as entirely pre-capitalist during the days of the British Mandate is untrue; Palestine had already been an important part of the world capitalist system in the 19th century. As the PA and other enablers of Israeli settler colonialism continue to do today, these narratives use racist economic arguments as a method of distraction from the ideologically-motivated dispossession and destruction that Palestinians faced and continue to face. Developmentalism and </w:t>
      </w:r>
      <w:proofErr w:type="spellStart"/>
      <w:r w:rsidRPr="00517C7B">
        <w:t>dehumanisation</w:t>
      </w:r>
      <w:proofErr w:type="spellEnd"/>
      <w:r w:rsidRPr="00517C7B">
        <w:t xml:space="preserve"> Today, ideas of economic backwardness and helplessness remain pervasive within narratives of “developing” those who live under the PA’s supposed rule. The presence of NGOs, for instance, accountable to their mostly foreign funders, </w:t>
      </w:r>
      <w:proofErr w:type="spellStart"/>
      <w:r w:rsidRPr="00517C7B">
        <w:t>depoliticises</w:t>
      </w:r>
      <w:proofErr w:type="spellEnd"/>
      <w:r w:rsidRPr="00517C7B">
        <w:t xml:space="preserve"> the plight of the Palestinian people, rendering them victims of an objective circumstance rather than as a people oppressed by politically and ideologically manufactured conditions. The NGO sector has also grown alongside the PA’s deepening commitment to neoliberalism. Funding cycles peddled by actors allergic to directly addressing political realities and the agency of the oppressed further racist ideas about pathological victimhood and development, not so different from the colonial </w:t>
      </w:r>
      <w:proofErr w:type="spellStart"/>
      <w:r w:rsidRPr="00517C7B">
        <w:t>dehumanisation</w:t>
      </w:r>
      <w:proofErr w:type="spellEnd"/>
      <w:r w:rsidRPr="00517C7B">
        <w:t xml:space="preserve"> that informed so-called </w:t>
      </w:r>
      <w:proofErr w:type="spellStart"/>
      <w:r w:rsidRPr="00517C7B">
        <w:t>civilising</w:t>
      </w:r>
      <w:proofErr w:type="spellEnd"/>
      <w:r w:rsidRPr="00517C7B">
        <w:t xml:space="preserve"> missions in the past. Outside the realm of NGOs, the PA has also tried to push a developmentalist agenda that aimed to compromise on resistance in exchange for funding. An early example of this under Fayyad’s rule was the 2007 Palestine Reform and Development Plan (PRDP). According to Sami Tayeb, this plan and others were presented to donors with the objective of gaining support for a Palestinian state “but only if Palestinians could first achieve good governance, economic growth and security”. US-sponsored proposals, such as Donald Trump’s 2020 Peace Plan, have built on this approach, attempting to further and permanently dispossess Palestinians of their land by offering a series of economic incentives that would only more deeply entrench the neoliberal attempt at a state-building project. In drafting proposals like the PRDP, the PA solidified its role as a subcontractor to Israel’s colonial occupation. It seeks to prevent popular protest and resistance, which are not only perceived as indicators of bad governance and poor security, but also an obstacle to attracting the type of large-scale investments required to execute the development projects that act as a smokescreen for the disenfranchisement of the majority of Palestinians. Returning to the violence with which the PA have confronted Palestinian popular protests this year, it is clearer than ever that the PA’s undemocratic insistence on building an integrated, neoliberal economy as a path to state-building makes it so profoundly out of touch with the demands of the people they claim to represent. So much so that at a time of unprecedented support and visibility for the Palestinian cause, they can only count themselves among the institutions that enact violence upon Palestinian people – purportedly in the name of the good governance and economic rationalism that only the PA and other Palestinian elites understand. The neoliberal and developmentalist logics that currently dominate the politics of Israel, the United States, global and regional powers and the PA itself indicate that little has changed, and that normative ideas of economic rationalism continue to be used as a pretext for perpetual colonial violence enacted upon Palestinians.</w:t>
      </w:r>
    </w:p>
    <w:p w14:paraId="536B8C2E" w14:textId="77777777" w:rsidR="00E70A0B" w:rsidRDefault="00E70A0B" w:rsidP="00E70A0B">
      <w:pPr>
        <w:pStyle w:val="Heading4"/>
      </w:pPr>
      <w:r>
        <w:t>Thus the alternative is generative refusal – a simultaneous affirmation of indigenous sovereignty and a political force to generate action</w:t>
      </w:r>
    </w:p>
    <w:p w14:paraId="5FED9527" w14:textId="77777777" w:rsidR="00E70A0B" w:rsidRPr="009D33A8" w:rsidRDefault="00E70A0B" w:rsidP="00E70A0B">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r w:rsidRPr="0086287D">
        <w:t>She is continuing to research Indigenous peoples' arts and practices of sovereignty.</w:t>
      </w:r>
      <w:r w:rsidRPr="009D33A8">
        <w:t xml:space="preserve"> </w:t>
      </w:r>
      <w:r>
        <w:t xml:space="preserve">November 2 2020“Generative Refusal: Creative Practice and Relational Indigenous Sovereignty” </w:t>
      </w:r>
      <w:hyperlink r:id="rId16" w:history="1">
        <w:r w:rsidRPr="00394BEA">
          <w:rPr>
            <w:rStyle w:val="Hyperlink"/>
          </w:rPr>
          <w:t>https://www.exeley.com/borderlands/pdf/10.21307/borderlands-2020-013</w:t>
        </w:r>
      </w:hyperlink>
      <w:r>
        <w:t xml:space="preserve"> AX</w:t>
      </w:r>
    </w:p>
    <w:p w14:paraId="387FEE35" w14:textId="77777777" w:rsidR="00E70A0B" w:rsidRPr="00517C7B" w:rsidRDefault="00E70A0B" w:rsidP="00517C7B">
      <w:r w:rsidRPr="00517C7B">
        <w:t xml:space="preserve">In Dancing on our Turtle’s Back, Leanne </w:t>
      </w:r>
      <w:proofErr w:type="spellStart"/>
      <w:r w:rsidRPr="00517C7B">
        <w:t>Betasamosake</w:t>
      </w:r>
      <w:proofErr w:type="spellEnd"/>
      <w:r w:rsidRPr="00517C7B">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r w:rsidRPr="00517C7B">
        <w:t>Stó:Lō</w:t>
      </w:r>
      <w:proofErr w:type="spellEnd"/>
      <w:r w:rsidRPr="00517C7B">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w:t>
      </w:r>
      <w:proofErr w:type="spellStart"/>
      <w:r w:rsidRPr="00517C7B">
        <w:t>Starblanket</w:t>
      </w:r>
      <w:proofErr w:type="spellEnd"/>
      <w:r w:rsidRPr="00517C7B">
        <w:t xml:space="preserve"> and Stark’s call for governance as the business of all living things. Through the acts of doing, the relations these actions generate with the land and with others, this work becomes sovereign enactment in itself, refusing the authority of the state to authorize in </w:t>
      </w:r>
      <w:proofErr w:type="spellStart"/>
      <w:r w:rsidRPr="00517C7B">
        <w:t>favour</w:t>
      </w:r>
      <w:proofErr w:type="spellEnd"/>
      <w:r w:rsidRPr="00517C7B">
        <w:t xml:space="preserve">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practice,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tell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w:t>
      </w:r>
      <w:proofErr w:type="spellStart"/>
      <w:r w:rsidRPr="00517C7B">
        <w:t>dependant</w:t>
      </w:r>
      <w:proofErr w:type="spellEnd"/>
      <w:r w:rsidRPr="00517C7B">
        <w:t xml:space="preserve"> on, the engagement of Indigenous nations. This critique offers an opportunity for settler colonial relations to take up the generative refusal as a call to action. Taking seriously the assertion of </w:t>
      </w:r>
      <w:proofErr w:type="spellStart"/>
      <w:r w:rsidRPr="00517C7B">
        <w:t>Starblanket</w:t>
      </w:r>
      <w:proofErr w:type="spellEnd"/>
      <w:r w:rsidRPr="00517C7B">
        <w:t xml:space="preserve">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bookmarkEnd w:id="0"/>
    <w:p w14:paraId="5A54B0A4"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4349F4"/>
    <w:multiLevelType w:val="hybridMultilevel"/>
    <w:tmpl w:val="319A5786"/>
    <w:lvl w:ilvl="0" w:tplc="664AB45A">
      <w:numFmt w:val="bullet"/>
      <w:lvlText w:val="-"/>
      <w:lvlJc w:val="left"/>
      <w:pPr>
        <w:ind w:left="720" w:hanging="360"/>
      </w:pPr>
      <w:rPr>
        <w:rFonts w:ascii="Calibri" w:eastAsiaTheme="minorEastAsia" w:hAnsi="Calibri" w:cs="Calibri" w:hint="default"/>
      </w:rPr>
    </w:lvl>
    <w:lvl w:ilvl="1" w:tplc="26D056D4">
      <w:start w:val="1"/>
      <w:numFmt w:val="decimal"/>
      <w:lvlText w:val="%2."/>
      <w:lvlJc w:val="left"/>
      <w:pPr>
        <w:ind w:left="1440" w:hanging="360"/>
      </w:pPr>
      <w:rPr>
        <w:rFonts w:asciiTheme="minorHAnsi" w:eastAsiaTheme="minorEastAsia" w:hAnsiTheme="minorHAnsi" w:cstheme="minorBidi"/>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02826"/>
    <w:rsid w:val="000C335F"/>
    <w:rsid w:val="00202826"/>
    <w:rsid w:val="00517C7B"/>
    <w:rsid w:val="00533062"/>
    <w:rsid w:val="00DB78F4"/>
    <w:rsid w:val="00E70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E00D4"/>
  <w15:chartTrackingRefBased/>
  <w15:docId w15:val="{13DE98FB-8159-4D9B-9FD1-4ABA759A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7C7B"/>
    <w:rPr>
      <w:rFonts w:ascii="Calibri" w:eastAsiaTheme="minorHAnsi" w:hAnsi="Calibri"/>
      <w:lang w:eastAsia="en-US"/>
    </w:rPr>
  </w:style>
  <w:style w:type="paragraph" w:styleId="Heading1">
    <w:name w:val="heading 1"/>
    <w:aliases w:val="Pocket"/>
    <w:basedOn w:val="Normal"/>
    <w:next w:val="Normal"/>
    <w:link w:val="Heading1Char"/>
    <w:qFormat/>
    <w:rsid w:val="00517C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7C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7C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3"/>
    <w:unhideWhenUsed/>
    <w:qFormat/>
    <w:rsid w:val="00517C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7C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C7B"/>
  </w:style>
  <w:style w:type="character" w:customStyle="1" w:styleId="Heading2Char">
    <w:name w:val="Heading 2 Char"/>
    <w:aliases w:val="Hat Char"/>
    <w:basedOn w:val="DefaultParagraphFont"/>
    <w:link w:val="Heading2"/>
    <w:uiPriority w:val="1"/>
    <w:rsid w:val="00517C7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17C7B"/>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T Char"/>
    <w:basedOn w:val="DefaultParagraphFont"/>
    <w:link w:val="Heading4"/>
    <w:uiPriority w:val="3"/>
    <w:rsid w:val="00517C7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7C7B"/>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517C7B"/>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517C7B"/>
    <w:rPr>
      <w:color w:val="auto"/>
      <w:u w:val="non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7"/>
    <w:qFormat/>
    <w:rsid w:val="00517C7B"/>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E70A0B"/>
    <w:pP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517C7B"/>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517C7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xeley.com/borderlands/pdf/10.21307/borderlands-2020-013" TargetMode="External"/><Relationship Id="rId1" Type="http://schemas.openxmlformats.org/officeDocument/2006/relationships/numbering" Target="numbering.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academicguides.waldenu.edu/writingcenter/grammar/articles" TargetMode="External"/><Relationship Id="rId15" Type="http://schemas.openxmlformats.org/officeDocument/2006/relationships/hyperlink" Target="https://www.trtworld.com/opinion/colonialism-dehumanisation-and-neoliberal-state-building-in-palestine-48531"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5246</Words>
  <Characters>29906</Characters>
  <Application>Microsoft Office Word</Application>
  <DocSecurity>0</DocSecurity>
  <Lines>249</Lines>
  <Paragraphs>70</Paragraphs>
  <ScaleCrop>false</ScaleCrop>
  <Company/>
  <LinksUpToDate>false</LinksUpToDate>
  <CharactersWithSpaces>35082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5</cp:revision>
  <dcterms:created xsi:type="dcterms:W3CDTF">2021-11-21T22:10:00Z</dcterms:created>
  <dcterms:modified xsi:type="dcterms:W3CDTF">2021-11-21T22:11:00Z</dcterms:modified>
</cp:coreProperties>
</file>