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9038C" w14:textId="77777777" w:rsidR="00F064D8" w:rsidRDefault="00F064D8" w:rsidP="00F064D8">
      <w:pPr>
        <w:pStyle w:val="Heading2"/>
      </w:pPr>
      <w:r>
        <w:t>1</w:t>
      </w:r>
    </w:p>
    <w:p w14:paraId="2859E58E" w14:textId="77777777" w:rsidR="00F064D8" w:rsidRPr="00A12585" w:rsidRDefault="00F064D8" w:rsidP="00F064D8">
      <w:pPr>
        <w:pStyle w:val="Heading4"/>
        <w:rPr>
          <w:color w:val="FF0000"/>
        </w:rPr>
      </w:pPr>
      <w:bookmarkStart w:id="0" w:name="_Hlk82937142"/>
      <w:r>
        <w:t>Interpretation: debaters must include the URL in citations for their evidence.</w:t>
      </w:r>
    </w:p>
    <w:p w14:paraId="1BC84E4E" w14:textId="77777777" w:rsidR="00F064D8" w:rsidRDefault="00F064D8" w:rsidP="00F064D8">
      <w:bookmarkStart w:id="1" w:name="_Hlk88325986"/>
      <w:r>
        <w:t xml:space="preserve">Violation: they didn’t – examples include their Corbett 20, </w:t>
      </w:r>
      <w:proofErr w:type="spellStart"/>
      <w:r>
        <w:t>starr</w:t>
      </w:r>
      <w:proofErr w:type="spellEnd"/>
      <w:r>
        <w:t xml:space="preserve"> 15, and Bostrom 12 cards</w:t>
      </w:r>
    </w:p>
    <w:bookmarkEnd w:id="1"/>
    <w:p w14:paraId="6E70D861" w14:textId="77777777" w:rsidR="00F064D8" w:rsidRDefault="00F064D8" w:rsidP="00F064D8">
      <w:pPr>
        <w:pStyle w:val="Heading4"/>
        <w:tabs>
          <w:tab w:val="left" w:pos="4002"/>
          <w:tab w:val="left" w:pos="5660"/>
        </w:tabs>
      </w:pPr>
      <w:r>
        <w:t>Standards:</w:t>
      </w:r>
    </w:p>
    <w:p w14:paraId="7A29FD77" w14:textId="77777777" w:rsidR="00F064D8" w:rsidRPr="00F66A5B" w:rsidRDefault="00F064D8" w:rsidP="00F064D8">
      <w:pPr>
        <w:pStyle w:val="Heading4"/>
        <w:rPr>
          <w:color w:val="FF0000"/>
        </w:rPr>
      </w:pPr>
      <w:r>
        <w:t>[1] NSDA rules – the unified manual says to include the URL.</w:t>
      </w:r>
    </w:p>
    <w:p w14:paraId="37EDC4BA" w14:textId="77777777" w:rsidR="00F064D8" w:rsidRPr="00503A91" w:rsidRDefault="00F064D8" w:rsidP="00F064D8">
      <w:pPr>
        <w:rPr>
          <w:sz w:val="16"/>
        </w:rPr>
      </w:pPr>
      <w:r w:rsidRPr="00DD39D2">
        <w:rPr>
          <w:rStyle w:val="Style13ptBold"/>
        </w:rPr>
        <w:t>NSDA</w:t>
      </w:r>
      <w:r>
        <w:rPr>
          <w:rStyle w:val="Style13ptBold"/>
        </w:rPr>
        <w:t xml:space="preserve"> 21</w:t>
      </w:r>
      <w:r>
        <w:t xml:space="preserve"> </w:t>
      </w:r>
      <w:r w:rsidRPr="00DD39D2">
        <w:rPr>
          <w:sz w:val="16"/>
        </w:rPr>
        <w:t>National Speech and Debate Association, “</w:t>
      </w:r>
      <w:r>
        <w:rPr>
          <w:sz w:val="16"/>
        </w:rPr>
        <w:t>High School U</w:t>
      </w:r>
      <w:r w:rsidRPr="00503A91">
        <w:rPr>
          <w:sz w:val="16"/>
        </w:rPr>
        <w:t>nified Manual,”</w:t>
      </w:r>
      <w:r>
        <w:rPr>
          <w:sz w:val="16"/>
        </w:rPr>
        <w:t xml:space="preserve"> 1 September</w:t>
      </w:r>
      <w:r w:rsidRPr="00503A91">
        <w:rPr>
          <w:sz w:val="16"/>
        </w:rPr>
        <w:t xml:space="preserve"> 2021, National Speech and Debate Association, accessed </w:t>
      </w:r>
      <w:r>
        <w:rPr>
          <w:sz w:val="16"/>
        </w:rPr>
        <w:t xml:space="preserve">11 September </w:t>
      </w:r>
      <w:r w:rsidRPr="00503A91">
        <w:rPr>
          <w:sz w:val="16"/>
        </w:rPr>
        <w:t xml:space="preserve">2021, pg. 30, </w:t>
      </w:r>
      <w:hyperlink r:id="rId5" w:history="1">
        <w:r w:rsidRPr="00A7046E">
          <w:rPr>
            <w:rStyle w:val="Hyperlink"/>
            <w:sz w:val="16"/>
          </w:rPr>
          <w:t>https://www.speechanddebate.org/wp-content/uploads/High-School-Unified-Manual-2021-2022.pdf</w:t>
        </w:r>
      </w:hyperlink>
      <w:r>
        <w:rPr>
          <w:sz w:val="16"/>
        </w:rPr>
        <w:t xml:space="preserve"> </w:t>
      </w:r>
      <w:r w:rsidRPr="00503A91">
        <w:rPr>
          <w:sz w:val="16"/>
        </w:rPr>
        <w:t xml:space="preserve"> ~ST~</w:t>
      </w:r>
    </w:p>
    <w:p w14:paraId="37A0EF35" w14:textId="77777777" w:rsidR="00F064D8" w:rsidRPr="00293FA6" w:rsidRDefault="00F064D8" w:rsidP="00293FA6">
      <w:r w:rsidRPr="00293FA6">
        <w:t>Written source citation. To the extent provided by the original source, a written source citation must include:</w:t>
      </w:r>
    </w:p>
    <w:p w14:paraId="3405A3B7" w14:textId="77777777" w:rsidR="00F064D8" w:rsidRPr="00293FA6" w:rsidRDefault="00F064D8" w:rsidP="00293FA6">
      <w:r w:rsidRPr="00293FA6">
        <w:t>1. Full name of primary author and/or editor</w:t>
      </w:r>
    </w:p>
    <w:p w14:paraId="576666B1" w14:textId="77777777" w:rsidR="00F064D8" w:rsidRPr="00293FA6" w:rsidRDefault="00F064D8" w:rsidP="00293FA6">
      <w:r w:rsidRPr="00293FA6">
        <w:t>2. Publication date</w:t>
      </w:r>
    </w:p>
    <w:p w14:paraId="0E7E6B85" w14:textId="77777777" w:rsidR="00F064D8" w:rsidRPr="00293FA6" w:rsidRDefault="00F064D8" w:rsidP="00293FA6">
      <w:r w:rsidRPr="00293FA6">
        <w:t>3. Source</w:t>
      </w:r>
    </w:p>
    <w:p w14:paraId="22EF9147" w14:textId="77777777" w:rsidR="00F064D8" w:rsidRPr="00293FA6" w:rsidRDefault="00F064D8" w:rsidP="00293FA6">
      <w:r w:rsidRPr="00293FA6">
        <w:t>4. Title of article</w:t>
      </w:r>
    </w:p>
    <w:p w14:paraId="5BA520F7" w14:textId="77777777" w:rsidR="00F064D8" w:rsidRPr="00293FA6" w:rsidRDefault="00F064D8" w:rsidP="00293FA6">
      <w:r w:rsidRPr="00293FA6">
        <w:t>5. Date accessed for digital evidence</w:t>
      </w:r>
    </w:p>
    <w:p w14:paraId="68EE8B34" w14:textId="77777777" w:rsidR="00F064D8" w:rsidRPr="00293FA6" w:rsidRDefault="00F064D8" w:rsidP="00293FA6">
      <w:r w:rsidRPr="00293FA6">
        <w:t>6. Full URL, if applicable</w:t>
      </w:r>
    </w:p>
    <w:p w14:paraId="225F442D" w14:textId="77777777" w:rsidR="00F064D8" w:rsidRPr="00293FA6" w:rsidRDefault="00F064D8" w:rsidP="00293FA6">
      <w:r w:rsidRPr="00293FA6">
        <w:t>7. Author qualifications</w:t>
      </w:r>
    </w:p>
    <w:p w14:paraId="3BC7369C" w14:textId="77777777" w:rsidR="00F064D8" w:rsidRPr="00293FA6" w:rsidRDefault="00F064D8" w:rsidP="00293FA6">
      <w:r w:rsidRPr="00293FA6">
        <w:t>8. Page number(s)</w:t>
      </w:r>
    </w:p>
    <w:p w14:paraId="6486C45A" w14:textId="77777777" w:rsidR="00F064D8" w:rsidRPr="003A2B2F" w:rsidRDefault="00F064D8" w:rsidP="00F064D8">
      <w:pPr>
        <w:pStyle w:val="Heading4"/>
      </w:pPr>
      <w:r>
        <w:t>That’s a voter – if we can choose what rules to break, I can make speeches however long I want, which is a side constraint to substance. Also proves the shell is reasonable and predictable because it’s by far the most common standard.</w:t>
      </w:r>
    </w:p>
    <w:p w14:paraId="2127AE0D" w14:textId="77777777" w:rsidR="00F064D8" w:rsidRDefault="00F064D8" w:rsidP="00F064D8">
      <w:pPr>
        <w:pStyle w:val="Heading4"/>
      </w:pPr>
      <w:r>
        <w:t xml:space="preserve">[2] Evidence ethics – no way to check whether their quote exists because we can’t find it on the internet – they can just make up whatever “evidence” they want, and there’s not enough time for us to verify that it is actually legit evidence. Pasting into a search engine doesn’t solve – a) Lots of cards used to be on the web but no longer exist b) difficult to find the correct version or one without a paywall. </w:t>
      </w:r>
    </w:p>
    <w:p w14:paraId="0A4CFE25" w14:textId="77777777" w:rsidR="00F064D8" w:rsidRDefault="00F064D8" w:rsidP="00F064D8">
      <w:pPr>
        <w:pStyle w:val="Heading4"/>
      </w:pPr>
    </w:p>
    <w:p w14:paraId="46BE879D" w14:textId="77777777" w:rsidR="00F064D8" w:rsidRDefault="00F064D8" w:rsidP="00F064D8">
      <w:pPr>
        <w:pStyle w:val="Heading4"/>
      </w:pPr>
      <w:r>
        <w:t xml:space="preserve">That’s a voter – a) debate is meaningless if we’re academically dishonest and have no argument credibility, b) uncredible evidence means we don’t know if their claims are true, which also serves as a substantive indict, and c) debate should prepare for the real world, in which small </w:t>
      </w:r>
      <w:proofErr w:type="spellStart"/>
      <w:r>
        <w:t>ev</w:t>
      </w:r>
      <w:proofErr w:type="spellEnd"/>
      <w:r>
        <w:t xml:space="preserve"> ethics violations are punished severely – large repercussions the control internal link to other impacts.</w:t>
      </w:r>
    </w:p>
    <w:p w14:paraId="16657864" w14:textId="77777777" w:rsidR="00F064D8" w:rsidRDefault="00F064D8" w:rsidP="00F064D8">
      <w:pPr>
        <w:pStyle w:val="Heading4"/>
      </w:pPr>
      <w:r>
        <w:t xml:space="preserve">Also links to inclusion – small school debaters tend to use cards from the wiki. Bad citations negatively impact their research. That’s a voter because inclusion is a </w:t>
      </w:r>
      <w:proofErr w:type="spellStart"/>
      <w:r>
        <w:t>prereq</w:t>
      </w:r>
      <w:proofErr w:type="spellEnd"/>
      <w:r>
        <w:t xml:space="preserve"> to debate.</w:t>
      </w:r>
    </w:p>
    <w:p w14:paraId="4DC84C73" w14:textId="77777777" w:rsidR="00F064D8" w:rsidRDefault="00F064D8" w:rsidP="00F064D8"/>
    <w:p w14:paraId="1829B37E" w14:textId="77777777" w:rsidR="00F064D8" w:rsidRDefault="00F064D8" w:rsidP="00F064D8"/>
    <w:p w14:paraId="12D7A8D7" w14:textId="77777777" w:rsidR="00F064D8" w:rsidRDefault="00F064D8" w:rsidP="00F064D8">
      <w:pPr>
        <w:pStyle w:val="Heading4"/>
        <w:rPr>
          <w:lang w:val="en"/>
        </w:rPr>
      </w:pPr>
      <w:r>
        <w:rPr>
          <w:lang w:val="en"/>
        </w:rPr>
        <w:t>DTD – a) in real life, you don’t get a quote cut out of your essay; you get a 0 on it – it’s best to teach good norms now, and b) deters future abuse.</w:t>
      </w:r>
    </w:p>
    <w:p w14:paraId="7674FF31" w14:textId="77777777" w:rsidR="00F064D8" w:rsidRPr="009A08E9" w:rsidRDefault="00F064D8" w:rsidP="00F064D8">
      <w:pPr>
        <w:rPr>
          <w:lang w:val="en"/>
        </w:rPr>
      </w:pPr>
    </w:p>
    <w:p w14:paraId="016EF8C2" w14:textId="77777777" w:rsidR="00F064D8" w:rsidRPr="00611FFC" w:rsidRDefault="00F064D8" w:rsidP="00F064D8">
      <w:pPr>
        <w:pStyle w:val="Heading4"/>
        <w:rPr>
          <w:color w:val="FF0000"/>
          <w:lang w:val="en"/>
        </w:rPr>
      </w:pPr>
      <w:r>
        <w:rPr>
          <w:lang w:val="en"/>
        </w:rPr>
        <w:t xml:space="preserve">Competing interps – a) reasonability is arbitrary, b) collapses because </w:t>
      </w:r>
      <w:proofErr w:type="spellStart"/>
      <w:r>
        <w:rPr>
          <w:lang w:val="en"/>
        </w:rPr>
        <w:t>brightlines</w:t>
      </w:r>
      <w:proofErr w:type="spellEnd"/>
      <w:r>
        <w:rPr>
          <w:lang w:val="en"/>
        </w:rPr>
        <w:t xml:space="preserve"> concede offense-defense paradigm, c) only CI prevents abuse since it can set norms, not decide rounds on a case-by-case basis. </w:t>
      </w:r>
    </w:p>
    <w:p w14:paraId="1949EAFE" w14:textId="77777777" w:rsidR="00F064D8" w:rsidRDefault="00F064D8" w:rsidP="00F064D8">
      <w:pPr>
        <w:pStyle w:val="Heading4"/>
        <w:rPr>
          <w:lang w:val="en"/>
        </w:rPr>
      </w:pPr>
      <w:r>
        <w:rPr>
          <w:lang w:val="en"/>
        </w:rPr>
        <w:t>No RVIs – a) you don’t win for being academically honest, b) people will bait theory to win on the RVI, which causes abuse.</w:t>
      </w:r>
    </w:p>
    <w:bookmarkEnd w:id="0"/>
    <w:p w14:paraId="43C8D4D0" w14:textId="77777777" w:rsidR="00F064D8" w:rsidRPr="002871AB" w:rsidRDefault="00F064D8" w:rsidP="00F064D8">
      <w:pPr>
        <w:rPr>
          <w:lang w:val="en"/>
        </w:rPr>
      </w:pPr>
    </w:p>
    <w:p w14:paraId="0A98F9EF" w14:textId="77777777" w:rsidR="00F064D8" w:rsidRDefault="00F064D8" w:rsidP="00F064D8">
      <w:pPr>
        <w:pStyle w:val="Heading2"/>
      </w:pPr>
      <w:r>
        <w:t>2</w:t>
      </w:r>
    </w:p>
    <w:p w14:paraId="29B8F0D6" w14:textId="77777777" w:rsidR="00F064D8" w:rsidRPr="001D22A6" w:rsidRDefault="00F064D8" w:rsidP="00F064D8">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36FBFF42" w14:textId="77777777" w:rsidR="00F064D8" w:rsidRDefault="00F064D8" w:rsidP="00F064D8">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AX</w:t>
      </w:r>
    </w:p>
    <w:p w14:paraId="7C7C65AF" w14:textId="77777777" w:rsidR="00F064D8" w:rsidRPr="004263E2" w:rsidRDefault="00F064D8" w:rsidP="00F064D8">
      <w:r>
        <w:t>Dispossession – deprive of land</w:t>
      </w:r>
    </w:p>
    <w:p w14:paraId="4B55DB31" w14:textId="77777777" w:rsidR="00F064D8" w:rsidRPr="00293FA6" w:rsidRDefault="00F064D8" w:rsidP="00293FA6">
      <w:r w:rsidRPr="00293FA6">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293FA6">
        <w:t>labour</w:t>
      </w:r>
      <w:proofErr w:type="spellEnd"/>
      <w:r w:rsidRPr="00293FA6">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293FA6">
        <w:t>labour</w:t>
      </w:r>
      <w:proofErr w:type="spellEnd"/>
      <w:r w:rsidRPr="00293FA6">
        <w:t xml:space="preserve"> movements fought for the intensification of settler expansion and racial segregation (see “An Alternative Reading: Settler Colonies and the Exploitation of the Native” above), through </w:t>
      </w:r>
      <w:proofErr w:type="spellStart"/>
      <w:r w:rsidRPr="00293FA6">
        <w:t>colour</w:t>
      </w:r>
      <w:proofErr w:type="spellEnd"/>
      <w:r w:rsidRPr="00293FA6">
        <w:t xml:space="preserve"> bars, boycott campaigns and demands for expulsion. In the process, bitter confrontations emerged between settler </w:t>
      </w:r>
      <w:proofErr w:type="spellStart"/>
      <w:r w:rsidRPr="00293FA6">
        <w:t>labour</w:t>
      </w:r>
      <w:proofErr w:type="spellEnd"/>
      <w:r w:rsidRPr="00293FA6">
        <w:t xml:space="preserve"> and capital, when the latter [and] attempted to increase its profit margins through the exploitation of indigenous </w:t>
      </w:r>
      <w:proofErr w:type="spellStart"/>
      <w:r w:rsidRPr="00293FA6">
        <w:t>labour</w:t>
      </w:r>
      <w:proofErr w:type="spellEnd"/>
      <w:r w:rsidRPr="00293FA6">
        <w:t xml:space="preserve">—for example in the context of the white </w:t>
      </w:r>
      <w:proofErr w:type="spellStart"/>
      <w:r w:rsidRPr="00293FA6">
        <w:t>labour</w:t>
      </w:r>
      <w:proofErr w:type="spellEnd"/>
      <w:r w:rsidRPr="00293FA6">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293FA6">
        <w:t>labour</w:t>
      </w:r>
      <w:proofErr w:type="spellEnd"/>
      <w:r w:rsidRPr="00293FA6">
        <w:t xml:space="preserve"> as well as over the colonial booty. In the case of Zionism in Palestine, the current associated with the publication </w:t>
      </w:r>
      <w:proofErr w:type="spellStart"/>
      <w:r w:rsidRPr="00293FA6">
        <w:t>Matzpen</w:t>
      </w:r>
      <w:proofErr w:type="spellEnd"/>
      <w:r w:rsidRPr="00293FA6">
        <w:t xml:space="preserve"> (“Compass”) developed a class analysis of Israeli society. They came to the conclusion that because the Israeli economy was heavily </w:t>
      </w:r>
      <w:proofErr w:type="spellStart"/>
      <w:r w:rsidRPr="00293FA6">
        <w:t>subsidised</w:t>
      </w:r>
      <w:proofErr w:type="spellEnd"/>
      <w:r w:rsidRPr="00293FA6">
        <w:t xml:space="preserve"> from the outside (first primarily by Britain, then by the US) and that this subsidy was not simply going into private hands but was used by the </w:t>
      </w:r>
      <w:proofErr w:type="spellStart"/>
      <w:r w:rsidRPr="00293FA6">
        <w:t>Labour</w:t>
      </w:r>
      <w:proofErr w:type="spellEnd"/>
      <w:r w:rsidRPr="00293FA6">
        <w:t xml:space="preserve"> Zionist bureaucracy to </w:t>
      </w:r>
      <w:proofErr w:type="spellStart"/>
      <w:r w:rsidRPr="00293FA6">
        <w:t>organise</w:t>
      </w:r>
      <w:proofErr w:type="spellEnd"/>
      <w:r w:rsidRPr="00293FA6">
        <w:t xml:space="preserve"> the development of the Israeli economy and infrastructure, class antagonisms were diverted within its society. </w:t>
      </w:r>
      <w:proofErr w:type="spellStart"/>
      <w:r w:rsidRPr="00293FA6">
        <w:t>Hangebi</w:t>
      </w:r>
      <w:proofErr w:type="spellEnd"/>
      <w:r w:rsidRPr="00293FA6">
        <w:t xml:space="preserve"> et al. (</w:t>
      </w:r>
      <w:hyperlink r:id="rId7" w:anchor="anti12659-bib-0014" w:history="1">
        <w:r w:rsidRPr="00293FA6">
          <w:rPr>
            <w:rStyle w:val="Hyperlink"/>
          </w:rPr>
          <w:t>2012</w:t>
        </w:r>
      </w:hyperlink>
      <w:r w:rsidRPr="00293FA6">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293FA6">
        <w:t>Matzpen</w:t>
      </w:r>
      <w:proofErr w:type="spellEnd"/>
      <w:r w:rsidRPr="00293FA6">
        <w:t xml:space="preserve"> otherwise </w:t>
      </w:r>
      <w:proofErr w:type="spellStart"/>
      <w:r w:rsidRPr="00293FA6">
        <w:t>recognised</w:t>
      </w:r>
      <w:proofErr w:type="spellEnd"/>
      <w:r w:rsidRPr="00293FA6">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293FA6">
        <w:t>labour</w:t>
      </w:r>
      <w:proofErr w:type="spellEnd"/>
      <w:r w:rsidRPr="00293FA6">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8" w:anchor="anti12659-note-1005_77" w:tooltip="Link to note" w:history="1">
        <w:r w:rsidRPr="00293FA6">
          <w:rPr>
            <w:rStyle w:val="Hyperlink"/>
          </w:rPr>
          <w:t>5</w:t>
        </w:r>
      </w:hyperlink>
      <w:r w:rsidRPr="00293FA6">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293FA6">
          <w:rPr>
            <w:rStyle w:val="Hyperlink"/>
          </w:rPr>
          <w:t>2001</w:t>
        </w:r>
      </w:hyperlink>
      <w:r w:rsidRPr="00293FA6">
        <w:t>) in the Wretched of the Earth, have argued that indigenous people face the settler population as a whole in their struggle for de-</w:t>
      </w:r>
      <w:proofErr w:type="spellStart"/>
      <w:r w:rsidRPr="00293FA6">
        <w:t>colonisation</w:t>
      </w:r>
      <w:proofErr w:type="spellEnd"/>
      <w:r w:rsidRPr="00293FA6">
        <w:t xml:space="preserve">. This is not to say that individual settlers or specific settler </w:t>
      </w:r>
      <w:proofErr w:type="spellStart"/>
      <w:r w:rsidRPr="00293FA6">
        <w:t>organisations</w:t>
      </w:r>
      <w:proofErr w:type="spellEnd"/>
      <w:r w:rsidRPr="00293FA6">
        <w:t xml:space="preserve"> cannot or have not supported struggles for </w:t>
      </w:r>
      <w:proofErr w:type="spellStart"/>
      <w:r w:rsidRPr="00293FA6">
        <w:t>decolonisation</w:t>
      </w:r>
      <w:proofErr w:type="spellEnd"/>
      <w:r w:rsidRPr="00293FA6">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293FA6">
        <w:t>organised</w:t>
      </w:r>
      <w:proofErr w:type="spellEnd"/>
      <w:r w:rsidRPr="00293FA6">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293FA6">
        <w:t>is</w:t>
      </w:r>
      <w:proofErr w:type="gramEnd"/>
      <w:r w:rsidRPr="00293FA6">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293FA6">
        <w:t>organise</w:t>
      </w:r>
      <w:proofErr w:type="spellEnd"/>
      <w:r w:rsidRPr="00293FA6">
        <w:t xml:space="preserve"> the transfer of populations to the colony in the same way a state could. In the words of </w:t>
      </w:r>
      <w:proofErr w:type="spellStart"/>
      <w:r w:rsidRPr="00293FA6">
        <w:t>Shafir</w:t>
      </w:r>
      <w:proofErr w:type="spellEnd"/>
      <w:r w:rsidRPr="00293FA6">
        <w:t xml:space="preserve"> (</w:t>
      </w:r>
      <w:hyperlink r:id="rId10" w:anchor="anti12659-bib-0041" w:history="1">
        <w:r w:rsidRPr="00293FA6">
          <w:rPr>
            <w:rStyle w:val="Hyperlink"/>
          </w:rPr>
          <w:t>1996</w:t>
        </w:r>
      </w:hyperlink>
      <w:r w:rsidRPr="00293FA6">
        <w:t xml:space="preserve">:155): “Zionism, then, was a </w:t>
      </w:r>
      <w:proofErr w:type="spellStart"/>
      <w:r w:rsidRPr="00293FA6">
        <w:t>colonisation</w:t>
      </w:r>
      <w:proofErr w:type="spellEnd"/>
      <w:r w:rsidRPr="00293FA6">
        <w:t xml:space="preserve"> movement which simultaneously had to secure land for its settlers and settlers for its land”. The dual need for land and </w:t>
      </w:r>
      <w:proofErr w:type="spellStart"/>
      <w:r w:rsidRPr="00293FA6">
        <w:t>labour</w:t>
      </w:r>
      <w:proofErr w:type="spellEnd"/>
      <w:r w:rsidRPr="00293FA6">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293FA6">
        <w:t>Shafir</w:t>
      </w:r>
      <w:proofErr w:type="spellEnd"/>
      <w:r w:rsidRPr="00293FA6">
        <w:t xml:space="preserve"> (</w:t>
      </w:r>
      <w:hyperlink r:id="rId11" w:anchor="anti12659-bib-0041" w:history="1">
        <w:r w:rsidRPr="00293FA6">
          <w:rPr>
            <w:rStyle w:val="Hyperlink"/>
          </w:rPr>
          <w:t>1996</w:t>
        </w:r>
      </w:hyperlink>
      <w:r w:rsidRPr="00293FA6">
        <w:t xml:space="preserve">), on the model of other European projects—especially the French settler colonies of North Africa. On the other hand, the nascent </w:t>
      </w:r>
      <w:proofErr w:type="spellStart"/>
      <w:r w:rsidRPr="00293FA6">
        <w:t>Labour</w:t>
      </w:r>
      <w:proofErr w:type="spellEnd"/>
      <w:r w:rsidRPr="00293FA6">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293FA6">
        <w:t>labour</w:t>
      </w:r>
      <w:proofErr w:type="spellEnd"/>
      <w:r w:rsidRPr="00293FA6">
        <w:t xml:space="preserve"> force. This led to the development of a series of new </w:t>
      </w:r>
      <w:proofErr w:type="spellStart"/>
      <w:r w:rsidRPr="00293FA6">
        <w:t>Labour</w:t>
      </w:r>
      <w:proofErr w:type="spellEnd"/>
      <w:r w:rsidRPr="00293FA6">
        <w:t xml:space="preserve"> Zionist institutions to </w:t>
      </w:r>
      <w:proofErr w:type="spellStart"/>
      <w:r w:rsidRPr="00293FA6">
        <w:t>organise</w:t>
      </w:r>
      <w:proofErr w:type="spellEnd"/>
      <w:r w:rsidRPr="00293FA6">
        <w:t xml:space="preserve"> this “Conquest of Hebrew </w:t>
      </w:r>
      <w:proofErr w:type="spellStart"/>
      <w:r w:rsidRPr="00293FA6">
        <w:t>Labour</w:t>
      </w:r>
      <w:proofErr w:type="spellEnd"/>
      <w:r w:rsidRPr="00293FA6">
        <w:t xml:space="preserve">”, by </w:t>
      </w:r>
      <w:proofErr w:type="spellStart"/>
      <w:r w:rsidRPr="00293FA6">
        <w:t>organising</w:t>
      </w:r>
      <w:proofErr w:type="spellEnd"/>
      <w:r w:rsidRPr="00293FA6">
        <w:t xml:space="preserve"> strikes, pickets, and boycotts of Jewish owned businesses that employed Palestinian workers or sold products made by them. The Kibbutzim, the Histadrut,</w:t>
      </w:r>
      <w:hyperlink r:id="rId12" w:anchor="anti12659-note-1006_81" w:tooltip="Link to note" w:history="1">
        <w:r w:rsidRPr="00293FA6">
          <w:rPr>
            <w:rStyle w:val="Hyperlink"/>
          </w:rPr>
          <w:t>6</w:t>
        </w:r>
      </w:hyperlink>
      <w:r w:rsidRPr="00293FA6">
        <w:t xml:space="preserve"> and the early Zionist militias were all born out of the process of </w:t>
      </w:r>
      <w:proofErr w:type="spellStart"/>
      <w:r w:rsidRPr="00293FA6">
        <w:t>organising</w:t>
      </w:r>
      <w:proofErr w:type="spellEnd"/>
      <w:r w:rsidRPr="00293FA6">
        <w:t xml:space="preserve"> this campaign (Lockman </w:t>
      </w:r>
      <w:hyperlink r:id="rId13" w:anchor="anti12659-bib-0024" w:history="1">
        <w:r w:rsidRPr="00293FA6">
          <w:rPr>
            <w:rStyle w:val="Hyperlink"/>
          </w:rPr>
          <w:t>1996</w:t>
        </w:r>
      </w:hyperlink>
      <w:r w:rsidRPr="00293FA6">
        <w:t xml:space="preserve">). For example, the </w:t>
      </w:r>
      <w:proofErr w:type="spellStart"/>
      <w:r w:rsidRPr="00293FA6">
        <w:t>Histadrut’s</w:t>
      </w:r>
      <w:proofErr w:type="spellEnd"/>
      <w:r w:rsidRPr="00293FA6">
        <w:t xml:space="preserve"> constitution, passed at its founding congress, made clear that it was a Zionist body committed to the project of settlement through the development of an exclusively Jewish society. It stated that the </w:t>
      </w:r>
      <w:proofErr w:type="spellStart"/>
      <w:r w:rsidRPr="00293FA6">
        <w:t>Histadrut’s</w:t>
      </w:r>
      <w:proofErr w:type="spellEnd"/>
      <w:r w:rsidRPr="00293FA6">
        <w:t xml:space="preserve"> goal was to: … unite all the workers and </w:t>
      </w:r>
      <w:proofErr w:type="spellStart"/>
      <w:r w:rsidRPr="00293FA6">
        <w:t>labourers</w:t>
      </w:r>
      <w:proofErr w:type="spellEnd"/>
      <w:r w:rsidRPr="00293FA6">
        <w:t xml:space="preserve"> in the country who live by their own </w:t>
      </w:r>
      <w:proofErr w:type="spellStart"/>
      <w:r w:rsidRPr="00293FA6">
        <w:t>labour</w:t>
      </w:r>
      <w:proofErr w:type="spellEnd"/>
      <w:r w:rsidRPr="00293FA6">
        <w:t xml:space="preserve"> without exploiting the </w:t>
      </w:r>
      <w:proofErr w:type="spellStart"/>
      <w:r w:rsidRPr="00293FA6">
        <w:t>labour</w:t>
      </w:r>
      <w:proofErr w:type="spellEnd"/>
      <w:r w:rsidRPr="00293FA6">
        <w:t xml:space="preserve"> of others, in order to arrange for all settlement, economic and also cultural affairs of all the workers in the country, so as to build a society of Jewish </w:t>
      </w:r>
      <w:proofErr w:type="spellStart"/>
      <w:r w:rsidRPr="00293FA6">
        <w:t>labour</w:t>
      </w:r>
      <w:proofErr w:type="spellEnd"/>
      <w:r w:rsidRPr="00293FA6">
        <w:t xml:space="preserve"> in Eretz </w:t>
      </w:r>
      <w:proofErr w:type="spellStart"/>
      <w:r w:rsidRPr="00293FA6">
        <w:t>Yisra’el</w:t>
      </w:r>
      <w:proofErr w:type="spellEnd"/>
      <w:r w:rsidRPr="00293FA6">
        <w:t>. (</w:t>
      </w:r>
      <w:proofErr w:type="gramStart"/>
      <w:r w:rsidRPr="00293FA6">
        <w:t>quoted</w:t>
      </w:r>
      <w:proofErr w:type="gramEnd"/>
      <w:r w:rsidRPr="00293FA6">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293FA6">
        <w:t>Labour</w:t>
      </w:r>
      <w:proofErr w:type="spellEnd"/>
      <w:r w:rsidRPr="00293FA6">
        <w:t xml:space="preserve"> Zionist movement (Lockman </w:t>
      </w:r>
      <w:hyperlink r:id="rId14" w:anchor="anti12659-bib-0025" w:history="1">
        <w:r w:rsidRPr="00293FA6">
          <w:rPr>
            <w:rStyle w:val="Hyperlink"/>
          </w:rPr>
          <w:t>2012</w:t>
        </w:r>
      </w:hyperlink>
      <w:r w:rsidRPr="00293FA6">
        <w:t xml:space="preserve">). Key industries, such as construction and agriculture, were taken over by </w:t>
      </w:r>
      <w:proofErr w:type="spellStart"/>
      <w:r w:rsidRPr="00293FA6">
        <w:t>Labour</w:t>
      </w:r>
      <w:proofErr w:type="spellEnd"/>
      <w:r w:rsidRPr="00293FA6">
        <w:t xml:space="preserve"> Zionist institutions such as Solal </w:t>
      </w:r>
      <w:proofErr w:type="spellStart"/>
      <w:r w:rsidRPr="00293FA6">
        <w:t>Boneh</w:t>
      </w:r>
      <w:proofErr w:type="spellEnd"/>
      <w:r w:rsidRPr="00293FA6">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293FA6">
        <w:t>Labour</w:t>
      </w:r>
      <w:proofErr w:type="spellEnd"/>
      <w:r w:rsidRPr="00293FA6">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293FA6">
        <w:t>Labour</w:t>
      </w:r>
      <w:proofErr w:type="spellEnd"/>
      <w:r w:rsidRPr="00293FA6">
        <w:t xml:space="preserve"> Zionist movement developed on the basis of opposing Jewish farmers as well as Palestinian workers, a political focus that also shaped its key institutions. The campaign for Hebrew </w:t>
      </w:r>
      <w:proofErr w:type="spellStart"/>
      <w:r w:rsidRPr="00293FA6">
        <w:t>Labour</w:t>
      </w:r>
      <w:proofErr w:type="spellEnd"/>
      <w:r w:rsidRPr="00293FA6">
        <w:t xml:space="preserve"> also demonstrates that the “elimination of the native” in the settler colonial context is not a given, as in the Wolfe-</w:t>
      </w:r>
      <w:proofErr w:type="gramStart"/>
      <w:r w:rsidRPr="00293FA6">
        <w:t>an</w:t>
      </w:r>
      <w:proofErr w:type="gramEnd"/>
      <w:r w:rsidRPr="00293FA6">
        <w:t xml:space="preserve"> framework, but the outcome of a specific set of struggles that pit both the indigenous population against the settlers, as well as different settler classes against one another.</w:t>
      </w:r>
    </w:p>
    <w:p w14:paraId="37C6C0F1" w14:textId="77777777" w:rsidR="00F064D8" w:rsidRPr="00066F35" w:rsidRDefault="00F064D8" w:rsidP="00F064D8">
      <w:pPr>
        <w:pStyle w:val="Heading4"/>
        <w:rPr>
          <w:rFonts w:cs="Calibri"/>
        </w:rPr>
      </w:pPr>
      <w:bookmarkStart w:id="2" w:name="_Hlk87021999"/>
      <w:r w:rsidRPr="00066F35">
        <w:rPr>
          <w:rFonts w:cs="Calibri"/>
        </w:rPr>
        <w:t>Their performative use of extinction impacts are just rhetorical tropes to divert attention away radical decolonization and reinscribes a settler will to innocence.</w:t>
      </w:r>
    </w:p>
    <w:p w14:paraId="5EE4A4BB" w14:textId="77777777" w:rsidR="00F064D8" w:rsidRPr="00066F35" w:rsidRDefault="00F064D8" w:rsidP="00F064D8">
      <w:pPr>
        <w:rPr>
          <w:rStyle w:val="Style13ptBold"/>
          <w:b w:val="0"/>
          <w:sz w:val="20"/>
          <w:szCs w:val="20"/>
        </w:rPr>
      </w:pPr>
      <w:proofErr w:type="spellStart"/>
      <w:r w:rsidRPr="00066F35">
        <w:rPr>
          <w:rStyle w:val="Style13ptBold"/>
        </w:rPr>
        <w:t>Dalley</w:t>
      </w:r>
      <w:proofErr w:type="spellEnd"/>
      <w:r w:rsidRPr="00066F35">
        <w:rPr>
          <w:rStyle w:val="Style13ptBold"/>
        </w:rPr>
        <w:t xml:space="preserve"> 16 </w:t>
      </w:r>
      <w:r w:rsidRPr="00066F35">
        <w:t xml:space="preserve">Hamish, Professor of Ethnic Studies at Daemen College, “The deaths of settler colonialism: extinction as a metaphor of decolonization in contemporary settler literature”, Settler Colonial Studies, October 4, 2016, </w:t>
      </w:r>
      <w:hyperlink r:id="rId15" w:history="1">
        <w:r w:rsidRPr="00066F35">
          <w:rPr>
            <w:rStyle w:val="Hyperlink"/>
          </w:rPr>
          <w:t>http://dx.doi.org/10.1080/2201473X.2016.1238160</w:t>
        </w:r>
      </w:hyperlink>
      <w:r w:rsidRPr="00066F35">
        <w:t>, July 7, 2017</w:t>
      </w:r>
    </w:p>
    <w:p w14:paraId="04908935" w14:textId="77777777" w:rsidR="00F064D8" w:rsidRPr="00293FA6" w:rsidRDefault="00F064D8" w:rsidP="00293FA6">
      <w:r w:rsidRPr="00293FA6">
        <w:t xml:space="preserve">Settlers love to contemplate the possibility of their own extinction;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 Considering the problem of futurity offers a useful foil to traditional analyses of </w:t>
      </w:r>
      <w:proofErr w:type="spellStart"/>
      <w:r w:rsidRPr="00293FA6">
        <w:t>settlercolonial</w:t>
      </w:r>
      <w:proofErr w:type="spellEnd"/>
      <w:r w:rsidRPr="00293FA6">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293FA6">
        <w:t>spectre</w:t>
      </w:r>
      <w:proofErr w:type="spellEnd"/>
      <w:r w:rsidRPr="00293FA6">
        <w:t xml:space="preserv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efface.1 Settler-colonial narrative is thus shaped around its need to erase and evoke the native,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a number of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settlers do often try to imagine their demise – but they do so in a way that reasserts the paradoxes of their founding ideology, with the result that the radical potentiality of decolonization is undone even as it is invoked. I argue that, notwithstanding Veracini’s analysis, 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293FA6">
        <w:t>historio</w:t>
      </w:r>
      <w:proofErr w:type="spellEnd"/>
      <w:r w:rsidRPr="00293FA6">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imminent loss’. 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293FA6">
        <w:t>Curthoys</w:t>
      </w:r>
      <w:proofErr w:type="spellEnd"/>
      <w:r w:rsidRPr="00293FA6">
        <w:t xml:space="preserve"> and Dirk Moses have traced this pattern in Australia and Israel-Palestine, respectively.12 This scholarship suggests that narratives of settler extinction are acts of ideological mystification, obscuring the brutal inequalities of the frontier behind a mask of white vulnerability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293FA6">
        <w:t>paper</w:t>
      </w:r>
      <w:proofErr w:type="gramEnd"/>
      <w:r w:rsidRPr="00293FA6">
        <w:t xml:space="preserve">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293FA6">
        <w:t>Maddaddam</w:t>
      </w:r>
      <w:proofErr w:type="spellEnd"/>
      <w:r w:rsidRPr="00293FA6">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w:t>
      </w:r>
      <w:proofErr w:type="spellStart"/>
      <w:r w:rsidRPr="00293FA6">
        <w:t>asequivalent</w:t>
      </w:r>
      <w:proofErr w:type="spellEnd"/>
      <w:r w:rsidRPr="00293FA6">
        <w:t xml:space="preserve"> to humanity. Fourth, these ideological effects are mediated by gender, insofar as extinction narratives invoke issues of biological reproduction, community protection, and violence that function to differentiate and reify masculine and feminine roles in the putative de-colonial future. Overall, my central claim is that extinction is a core trope through which settler futurity emerges, one with crucial narrative and ideological effects that shape much of the contemporary literature emerging from white colonial settings.</w:t>
      </w:r>
    </w:p>
    <w:bookmarkEnd w:id="2"/>
    <w:p w14:paraId="37EC5F9D" w14:textId="77777777" w:rsidR="00F064D8" w:rsidRDefault="00F064D8" w:rsidP="00F064D8"/>
    <w:p w14:paraId="021CEE12" w14:textId="77777777" w:rsidR="00F064D8" w:rsidRDefault="00F064D8" w:rsidP="00F064D8"/>
    <w:p w14:paraId="2AE5C876" w14:textId="77777777" w:rsidR="00F064D8" w:rsidRDefault="00F064D8" w:rsidP="00F064D8">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4C4818E2" w14:textId="77777777" w:rsidR="00F064D8" w:rsidRPr="00F535EF" w:rsidRDefault="00F064D8" w:rsidP="00F064D8">
      <w:proofErr w:type="spellStart"/>
      <w:r w:rsidRPr="00F535EF">
        <w:rPr>
          <w:rStyle w:val="Style13ptBold"/>
        </w:rPr>
        <w:t>Klutse</w:t>
      </w:r>
      <w:proofErr w:type="spellEnd"/>
      <w:r w:rsidRPr="00F535EF">
        <w:rPr>
          <w:rStyle w:val="Style13ptBold"/>
        </w:rPr>
        <w:t xml:space="preserve"> 18</w:t>
      </w:r>
      <w:r>
        <w:t xml:space="preserve"> Olivia </w:t>
      </w:r>
      <w:proofErr w:type="spellStart"/>
      <w:r>
        <w:t>Klutse</w:t>
      </w:r>
      <w:proofErr w:type="spellEnd"/>
      <w:r>
        <w:t xml:space="preserve"> Seattle University,</w:t>
      </w:r>
      <w:r w:rsidRPr="00F535EF">
        <w:t xml:space="preserve"> </w:t>
      </w:r>
      <w:r>
        <w:t xml:space="preserve">2018 “Repatriation and Reparations: Land-Based Indigenous and Black Futurity”, </w:t>
      </w:r>
      <w:hyperlink r:id="rId16" w:history="1">
        <w:r>
          <w:rPr>
            <w:rStyle w:val="Hyperlink"/>
          </w:rPr>
          <w:t>https://scholarworks.seattleu.edu/cgi/viewcontent.cgi?article=1008&amp;context=ura</w:t>
        </w:r>
      </w:hyperlink>
      <w:r>
        <w:t xml:space="preserve"> AX</w:t>
      </w:r>
    </w:p>
    <w:p w14:paraId="04EF618F" w14:textId="77777777" w:rsidR="00F064D8" w:rsidRPr="00293FA6" w:rsidRDefault="00F064D8" w:rsidP="00293FA6">
      <w:r w:rsidRPr="00293FA6">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w:t>
      </w:r>
      <w:proofErr w:type="spellStart"/>
      <w:r w:rsidRPr="00293FA6">
        <w:t>anti Blackness</w:t>
      </w:r>
      <w:proofErr w:type="spellEnd"/>
      <w:r w:rsidRPr="00293FA6">
        <w:t xml:space="preserve">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w:t>
      </w:r>
      <w:proofErr w:type="spellStart"/>
      <w:r w:rsidRPr="00293FA6">
        <w:t>Amadahy</w:t>
      </w:r>
      <w:proofErr w:type="spellEnd"/>
      <w:r w:rsidRPr="00293FA6">
        <w:t xml:space="preserve"> and Lawrence 107:2009). Therefore, the logic of settler colonialism forcefully produced mass Black displacement and subjugation, and non-consensually implicates Black people in the occupation of Indigenous land. </w:t>
      </w:r>
    </w:p>
    <w:p w14:paraId="6E7E5B0D" w14:textId="77777777" w:rsidR="00F064D8" w:rsidRDefault="00F064D8" w:rsidP="00F064D8">
      <w:pPr>
        <w:pStyle w:val="Heading4"/>
      </w:pPr>
      <w:proofErr w:type="gramStart"/>
      <w:r>
        <w:t>Thus</w:t>
      </w:r>
      <w:proofErr w:type="gramEnd"/>
      <w:r>
        <w:t xml:space="preserve"> the alternative is generative refusal – a simultaneous affirmation of indigenous sovereignty and a political force to generate action</w:t>
      </w:r>
    </w:p>
    <w:p w14:paraId="0077F318" w14:textId="77777777" w:rsidR="00F064D8" w:rsidRPr="009D33A8" w:rsidRDefault="00F064D8" w:rsidP="00F064D8">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7" w:history="1">
        <w:r w:rsidRPr="00394BEA">
          <w:rPr>
            <w:rStyle w:val="Hyperlink"/>
          </w:rPr>
          <w:t>https://www.exeley.com/borderlands/pdf/10.21307/borderlands-2020-013</w:t>
        </w:r>
      </w:hyperlink>
      <w:r>
        <w:t xml:space="preserve"> AX</w:t>
      </w:r>
    </w:p>
    <w:p w14:paraId="0DCFD7DB" w14:textId="14B58C74" w:rsidR="00DB78F4" w:rsidRPr="00293FA6" w:rsidRDefault="00F064D8" w:rsidP="00293FA6">
      <w:r w:rsidRPr="00293FA6">
        <w:t xml:space="preserve">In Dancing on our Turtle’s Back, Leanne </w:t>
      </w:r>
      <w:proofErr w:type="spellStart"/>
      <w:r w:rsidRPr="00293FA6">
        <w:t>Betasamosake</w:t>
      </w:r>
      <w:proofErr w:type="spellEnd"/>
      <w:r w:rsidRPr="00293FA6">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proofErr w:type="gramStart"/>
      <w:r w:rsidRPr="00293FA6">
        <w:t>Stó:Lō</w:t>
      </w:r>
      <w:proofErr w:type="spellEnd"/>
      <w:proofErr w:type="gramEnd"/>
      <w:r w:rsidRPr="00293FA6">
        <w:t>,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w:t>
      </w:r>
    </w:p>
    <w:sectPr w:rsidR="00DB78F4" w:rsidRPr="00293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F7E4B"/>
    <w:rsid w:val="00293FA6"/>
    <w:rsid w:val="00DB78F4"/>
    <w:rsid w:val="00DF7E4B"/>
    <w:rsid w:val="00F0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7B7ED"/>
  <w15:chartTrackingRefBased/>
  <w15:docId w15:val="{90EBFA04-713F-4349-B923-C3C43E7B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4D8"/>
    <w:rPr>
      <w:rFonts w:ascii="Calibri" w:eastAsiaTheme="minorHAnsi" w:hAnsi="Calibri"/>
      <w:lang w:eastAsia="en-US"/>
    </w:rPr>
  </w:style>
  <w:style w:type="paragraph" w:styleId="Heading1">
    <w:name w:val="heading 1"/>
    <w:aliases w:val="Pocket"/>
    <w:basedOn w:val="Normal"/>
    <w:next w:val="Normal"/>
    <w:link w:val="Heading1Char"/>
    <w:qFormat/>
    <w:rsid w:val="00F064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4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64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3"/>
    <w:unhideWhenUsed/>
    <w:qFormat/>
    <w:rsid w:val="00F064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4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4D8"/>
  </w:style>
  <w:style w:type="character" w:customStyle="1" w:styleId="Heading2Char">
    <w:name w:val="Heading 2 Char"/>
    <w:aliases w:val="Hat Char"/>
    <w:basedOn w:val="DefaultParagraphFont"/>
    <w:link w:val="Heading2"/>
    <w:uiPriority w:val="1"/>
    <w:rsid w:val="00F064D8"/>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F064D8"/>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64D8"/>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F064D8"/>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F064D8"/>
    <w:rPr>
      <w:color w:val="auto"/>
      <w:u w:val="none"/>
    </w:rPr>
  </w:style>
  <w:style w:type="character" w:customStyle="1" w:styleId="Heading1Char">
    <w:name w:val="Heading 1 Char"/>
    <w:aliases w:val="Pocket Char"/>
    <w:basedOn w:val="DefaultParagraphFont"/>
    <w:link w:val="Heading1"/>
    <w:rsid w:val="00F064D8"/>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F064D8"/>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F064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64D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hyperlink" Target="https://www.exeley.com/borderlands/pdf/10.21307/borderlands-2020-013" TargetMode="External"/><Relationship Id="rId2" Type="http://schemas.openxmlformats.org/officeDocument/2006/relationships/styles" Target="styles.xml"/><Relationship Id="rId16" Type="http://schemas.openxmlformats.org/officeDocument/2006/relationships/hyperlink" Target="https://scholarworks.seattleu.edu/cgi/viewcontent.cgi?article=1008&amp;context=ura" TargetMode="External"/><Relationship Id="rId1" Type="http://schemas.openxmlformats.org/officeDocument/2006/relationships/numbering" Target="numbering.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www.speechanddebate.org/wp-content/uploads/High-School-Unified-Manual-2021-2022.pdf" TargetMode="External"/><Relationship Id="rId15" Type="http://schemas.openxmlformats.org/officeDocument/2006/relationships/hyperlink" Target="http://dx.doi.org/10.1080/2201473X.2016.1238160" TargetMode="External"/><Relationship Id="rId10" Type="http://schemas.openxmlformats.org/officeDocument/2006/relationships/hyperlink" Target="https://onlinelibrary.wiley.com/doi/full/10.1111/anti.1265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5594</Words>
  <Characters>31891</Characters>
  <Application>Microsoft Office Word</Application>
  <DocSecurity>0</DocSecurity>
  <Lines>265</Lines>
  <Paragraphs>74</Paragraphs>
  <ScaleCrop>false</ScaleCrop>
  <Company/>
  <LinksUpToDate>false</LinksUpToDate>
  <CharactersWithSpaces>37411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3</cp:revision>
  <dcterms:created xsi:type="dcterms:W3CDTF">2021-11-21T01:42:00Z</dcterms:created>
  <dcterms:modified xsi:type="dcterms:W3CDTF">2021-11-21T01:43:00Z</dcterms:modified>
</cp:coreProperties>
</file>