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0B0DA" w14:textId="77777777" w:rsidR="00B75F37" w:rsidRPr="00FC7BC7" w:rsidRDefault="00B75F37" w:rsidP="00B75F37">
      <w:pPr>
        <w:pStyle w:val="Heading2"/>
      </w:pPr>
      <w:r>
        <w:t>1</w:t>
      </w:r>
    </w:p>
    <w:p w14:paraId="500D891D" w14:textId="77777777" w:rsidR="00B75F37" w:rsidRDefault="00B75F37" w:rsidP="00B75F37">
      <w:r w:rsidRPr="00217DC0">
        <w:t>Interp: Debaters must disclose their affirmative on both the NDCA LD wiki's cite box and round reports</w:t>
      </w:r>
    </w:p>
    <w:p w14:paraId="32520948" w14:textId="77777777" w:rsidR="00B75F37" w:rsidRDefault="00B75F37" w:rsidP="00B75F37">
      <w:r>
        <w:t>Violation: They don’t, see screenshots in doc</w:t>
      </w:r>
    </w:p>
    <w:p w14:paraId="103AF0A4" w14:textId="77777777" w:rsidR="00B75F37" w:rsidRDefault="00B75F37" w:rsidP="00B75F37">
      <w:r>
        <w:rPr>
          <w:noProof/>
        </w:rPr>
        <w:drawing>
          <wp:inline distT="0" distB="0" distL="0" distR="0" wp14:anchorId="157B9334" wp14:editId="40CAF0E8">
            <wp:extent cx="5479863" cy="23282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3884" cy="2329911"/>
                    </a:xfrm>
                    <a:prstGeom prst="rect">
                      <a:avLst/>
                    </a:prstGeom>
                    <a:noFill/>
                    <a:ln>
                      <a:noFill/>
                    </a:ln>
                  </pic:spPr>
                </pic:pic>
              </a:graphicData>
            </a:graphic>
          </wp:inline>
        </w:drawing>
      </w:r>
      <w:r>
        <w:rPr>
          <w:noProof/>
        </w:rPr>
        <w:drawing>
          <wp:inline distT="0" distB="0" distL="0" distR="0" wp14:anchorId="4488C4E7" wp14:editId="4DF6BCD7">
            <wp:extent cx="4994031" cy="20511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08774" cy="2057186"/>
                    </a:xfrm>
                    <a:prstGeom prst="rect">
                      <a:avLst/>
                    </a:prstGeom>
                    <a:noFill/>
                    <a:ln>
                      <a:noFill/>
                    </a:ln>
                  </pic:spPr>
                </pic:pic>
              </a:graphicData>
            </a:graphic>
          </wp:inline>
        </w:drawing>
      </w:r>
      <w:r>
        <w:rPr>
          <w:noProof/>
        </w:rPr>
        <w:drawing>
          <wp:inline distT="0" distB="0" distL="0" distR="0" wp14:anchorId="0DB765AA" wp14:editId="4FC3F144">
            <wp:extent cx="4600135" cy="18127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26236" cy="1823075"/>
                    </a:xfrm>
                    <a:prstGeom prst="rect">
                      <a:avLst/>
                    </a:prstGeom>
                    <a:noFill/>
                    <a:ln>
                      <a:noFill/>
                    </a:ln>
                  </pic:spPr>
                </pic:pic>
              </a:graphicData>
            </a:graphic>
          </wp:inline>
        </w:drawing>
      </w:r>
      <w:r>
        <w:rPr>
          <w:noProof/>
        </w:rPr>
        <w:drawing>
          <wp:inline distT="0" distB="0" distL="0" distR="0" wp14:anchorId="2B0B949F" wp14:editId="76516635">
            <wp:extent cx="4262568" cy="234227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7655" cy="2345066"/>
                    </a:xfrm>
                    <a:prstGeom prst="rect">
                      <a:avLst/>
                    </a:prstGeom>
                    <a:noFill/>
                    <a:ln>
                      <a:noFill/>
                    </a:ln>
                  </pic:spPr>
                </pic:pic>
              </a:graphicData>
            </a:graphic>
          </wp:inline>
        </w:drawing>
      </w:r>
    </w:p>
    <w:p w14:paraId="402E831E" w14:textId="77777777" w:rsidR="00B75F37" w:rsidRPr="00217DC0" w:rsidRDefault="00B75F37" w:rsidP="00B75F37"/>
    <w:p w14:paraId="5368F0EF" w14:textId="77777777" w:rsidR="00B75F37" w:rsidRDefault="00B75F37" w:rsidP="00B75F37">
      <w:pPr>
        <w:pStyle w:val="ListParagraph"/>
        <w:numPr>
          <w:ilvl w:val="0"/>
          <w:numId w:val="1"/>
        </w:numPr>
      </w:pPr>
      <w:r>
        <w:t xml:space="preserve">Navigation: The aff is only disclosed in the open source, but NOT in the cite box which makes it impossible to recognize the correct disclosed to read aff, especially when the only two cite boxes are their wiki belongs to two completely different offs for a different topic. This outweighs, novice debaters new to debate, or even debaters with visual impairments or disabilities would struggle to locate the correct aff. </w:t>
      </w:r>
    </w:p>
    <w:p w14:paraId="7BEFF542" w14:textId="77777777" w:rsidR="00B75F37" w:rsidRDefault="00B75F37" w:rsidP="00B75F37">
      <w:pPr>
        <w:pStyle w:val="ListParagraph"/>
        <w:numPr>
          <w:ilvl w:val="0"/>
          <w:numId w:val="1"/>
        </w:numPr>
      </w:pPr>
      <w:r>
        <w:t>Strat Skew: Round reports provide insight to the strategy of the aff and refusing to properly disclose them on the wiki obfuscates the 1NC’s vision of the aff and how you debate it, we don’t know the true meaning or implication of an aff argument until it’s made in the 1AR as a result. Hold them to a small threshold for responses because they disclose round reports in some rounds, but intentionally not in others</w:t>
      </w:r>
    </w:p>
    <w:p w14:paraId="3FA0EF85" w14:textId="77777777" w:rsidR="00B75F37" w:rsidRDefault="00B75F37" w:rsidP="00B75F37">
      <w:pPr>
        <w:pStyle w:val="Heading4"/>
      </w:pPr>
      <w:r>
        <w:t>[1] DTD on 1ac theory and disclosure – a) disclosure cannot be drop the argument because it would just drop you because you’re the norm b) deterrence</w:t>
      </w:r>
    </w:p>
    <w:p w14:paraId="1C11959D" w14:textId="77777777" w:rsidR="00B75F37" w:rsidRDefault="00B75F37" w:rsidP="00B75F37">
      <w:pPr>
        <w:pStyle w:val="Heading4"/>
      </w:pPr>
      <w:r>
        <w:t>[2] Reject all responses to disclosure – they selectively comply with our norm because they disclose some round reports that meet our criteria which proves we can’t verify what norms they actually agree with.</w:t>
      </w:r>
    </w:p>
    <w:p w14:paraId="69A568C5" w14:textId="77777777" w:rsidR="00B75F37" w:rsidRPr="005059C3" w:rsidRDefault="00B75F37" w:rsidP="00B75F37">
      <w:pPr>
        <w:pStyle w:val="Heading4"/>
        <w:rPr>
          <w:lang w:eastAsia="zh-CN"/>
        </w:rPr>
      </w:pPr>
      <w:r>
        <w:t>[3] No RVI’s because you shouldn’t win for being fair</w:t>
      </w:r>
    </w:p>
    <w:p w14:paraId="09B14B60" w14:textId="77777777" w:rsidR="00B75F37" w:rsidRDefault="00B75F37" w:rsidP="00B75F37">
      <w:pPr>
        <w:pStyle w:val="Heading4"/>
      </w:pPr>
      <w:r>
        <w:t xml:space="preserve">[4] CI – 1] reasonability is arbitrary – impossible to know what is reasonable until you establish a brightline 2] bites judge intervention </w:t>
      </w:r>
      <w:proofErr w:type="spellStart"/>
      <w:r>
        <w:t>cuz</w:t>
      </w:r>
      <w:proofErr w:type="spellEnd"/>
      <w:r>
        <w:t xml:space="preserve"> they have to gut check what they think is good 3] reasonability collapses </w:t>
      </w:r>
      <w:proofErr w:type="spellStart"/>
      <w:r>
        <w:t>cuz</w:t>
      </w:r>
      <w:proofErr w:type="spellEnd"/>
      <w:r>
        <w:t xml:space="preserve"> u use offense defense to evaluate offense under the BL 4] norms – you can sidestep norms by selectively choosing a different brightline you meet every round. </w:t>
      </w:r>
    </w:p>
    <w:p w14:paraId="71A55460" w14:textId="77777777" w:rsidR="00B75F37" w:rsidRDefault="00B75F37" w:rsidP="00B75F37">
      <w:pPr>
        <w:pStyle w:val="Heading4"/>
      </w:pPr>
      <w:r>
        <w:t>[5] Disclosure outweighs – it’s key to assessing the honesty of the form of your argumentation and how you presented arguments which means it precludes 1nc claims.</w:t>
      </w:r>
    </w:p>
    <w:p w14:paraId="6EA2D10C" w14:textId="77777777" w:rsidR="00B75F37" w:rsidRDefault="00B75F37" w:rsidP="00B75F37">
      <w:pPr>
        <w:pStyle w:val="Heading4"/>
      </w:pPr>
      <w:r>
        <w:t>[6] Fairness is a voter because debate is a game governed by rules and you can’t tell who actually won if the layer was skewed.</w:t>
      </w:r>
    </w:p>
    <w:p w14:paraId="773AA208" w14:textId="77777777" w:rsidR="00B75F37" w:rsidRDefault="00B75F37" w:rsidP="00B75F37"/>
    <w:p w14:paraId="1F6703AB" w14:textId="77777777" w:rsidR="00B75F37" w:rsidRDefault="00B75F37" w:rsidP="00B75F37">
      <w:pPr>
        <w:pStyle w:val="Heading2"/>
      </w:pPr>
      <w:r>
        <w:t>2</w:t>
      </w:r>
    </w:p>
    <w:p w14:paraId="4E048D37" w14:textId="77777777" w:rsidR="00B75F37" w:rsidRPr="001D22A6" w:rsidRDefault="00B75F37" w:rsidP="00B75F37">
      <w:pPr>
        <w:pStyle w:val="Heading4"/>
      </w:pPr>
      <w:bookmarkStart w:id="0" w:name="_Hlk87021645"/>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1FAA4582" w14:textId="77777777" w:rsidR="00B75F37" w:rsidRDefault="00B75F37" w:rsidP="00B75F37">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9" w:history="1">
        <w:r w:rsidRPr="00E41435">
          <w:rPr>
            <w:rStyle w:val="Hyperlink"/>
          </w:rPr>
          <w:t>https://doi.org/10.1111/anti.12659</w:t>
        </w:r>
      </w:hyperlink>
      <w:r>
        <w:t>] AX</w:t>
      </w:r>
    </w:p>
    <w:p w14:paraId="62394D7D" w14:textId="77777777" w:rsidR="00B75F37" w:rsidRPr="004263E2" w:rsidRDefault="00B75F37" w:rsidP="00B75F37">
      <w:r>
        <w:t>Dispossession – deprive of land</w:t>
      </w:r>
    </w:p>
    <w:p w14:paraId="4B5E9644" w14:textId="77777777" w:rsidR="00B75F37" w:rsidRPr="00B75F37" w:rsidRDefault="00B75F37" w:rsidP="00B75F37">
      <w:r w:rsidRPr="00B75F37">
        <w:t xml:space="preserve">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w:t>
      </w:r>
      <w:proofErr w:type="spellStart"/>
      <w:r w:rsidRPr="00B75F37">
        <w:t>labour</w:t>
      </w:r>
      <w:proofErr w:type="spellEnd"/>
      <w:r w:rsidRPr="00B75F37">
        <w:t xml:space="preserve">.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w:t>
      </w:r>
      <w:proofErr w:type="spellStart"/>
      <w:r w:rsidRPr="00B75F37">
        <w:t>labour</w:t>
      </w:r>
      <w:proofErr w:type="spellEnd"/>
      <w:r w:rsidRPr="00B75F37">
        <w:t xml:space="preserve"> movements fought for the intensification of settler expansion and racial segregation (see “An Alternative Reading: Settler Colonies and the Exploitation of the Native” above), through </w:t>
      </w:r>
      <w:proofErr w:type="spellStart"/>
      <w:r w:rsidRPr="00B75F37">
        <w:t>colour</w:t>
      </w:r>
      <w:proofErr w:type="spellEnd"/>
      <w:r w:rsidRPr="00B75F37">
        <w:t xml:space="preserve"> bars, boycott campaigns and demands for expulsion. In the process, bitter confrontations emerged between settler </w:t>
      </w:r>
      <w:proofErr w:type="spellStart"/>
      <w:r w:rsidRPr="00B75F37">
        <w:t>labour</w:t>
      </w:r>
      <w:proofErr w:type="spellEnd"/>
      <w:r w:rsidRPr="00B75F37">
        <w:t xml:space="preserve"> and capital, when the latter [and] attempted to increase its profit margins through the exploitation of indigenous </w:t>
      </w:r>
      <w:proofErr w:type="spellStart"/>
      <w:r w:rsidRPr="00B75F37">
        <w:t>labour</w:t>
      </w:r>
      <w:proofErr w:type="spellEnd"/>
      <w:r w:rsidRPr="00B75F37">
        <w:t xml:space="preserve">—for example in the context of the white </w:t>
      </w:r>
      <w:proofErr w:type="spellStart"/>
      <w:r w:rsidRPr="00B75F37">
        <w:t>labour</w:t>
      </w:r>
      <w:proofErr w:type="spellEnd"/>
      <w:r w:rsidRPr="00B75F37">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B75F37">
        <w:t>labour</w:t>
      </w:r>
      <w:proofErr w:type="spellEnd"/>
      <w:r w:rsidRPr="00B75F37">
        <w:t xml:space="preserve"> as well as over the colonial booty. In the case of Zionism in Palestine, the current associated with the publication </w:t>
      </w:r>
      <w:proofErr w:type="spellStart"/>
      <w:r w:rsidRPr="00B75F37">
        <w:t>Matzpen</w:t>
      </w:r>
      <w:proofErr w:type="spellEnd"/>
      <w:r w:rsidRPr="00B75F37">
        <w:t xml:space="preserve"> (“Compass”) developed a class analysis of Israeli society. They came to the conclusion that because the Israeli economy was heavily </w:t>
      </w:r>
      <w:proofErr w:type="spellStart"/>
      <w:r w:rsidRPr="00B75F37">
        <w:t>subsidised</w:t>
      </w:r>
      <w:proofErr w:type="spellEnd"/>
      <w:r w:rsidRPr="00B75F37">
        <w:t xml:space="preserve"> from the outside (first primarily by Britain, then by the US) and that this subsidy was not simply going into private hands but was used by the </w:t>
      </w:r>
      <w:proofErr w:type="spellStart"/>
      <w:r w:rsidRPr="00B75F37">
        <w:t>Labour</w:t>
      </w:r>
      <w:proofErr w:type="spellEnd"/>
      <w:r w:rsidRPr="00B75F37">
        <w:t xml:space="preserve"> Zionist bureaucracy to </w:t>
      </w:r>
      <w:proofErr w:type="spellStart"/>
      <w:r w:rsidRPr="00B75F37">
        <w:t>organise</w:t>
      </w:r>
      <w:proofErr w:type="spellEnd"/>
      <w:r w:rsidRPr="00B75F37">
        <w:t xml:space="preserve"> the development of the Israeli economy and infrastructure, class antagonisms were diverted within its society. </w:t>
      </w:r>
      <w:proofErr w:type="spellStart"/>
      <w:r w:rsidRPr="00B75F37">
        <w:t>Hangebi</w:t>
      </w:r>
      <w:proofErr w:type="spellEnd"/>
      <w:r w:rsidRPr="00B75F37">
        <w:t xml:space="preserve"> et al. (</w:t>
      </w:r>
      <w:hyperlink r:id="rId10" w:anchor="anti12659-bib-0014" w:history="1">
        <w:r w:rsidRPr="00B75F37">
          <w:rPr>
            <w:rStyle w:val="Hyperlink"/>
          </w:rPr>
          <w:t>2012</w:t>
        </w:r>
      </w:hyperlink>
      <w:r w:rsidRPr="00B75F37">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w:t>
      </w:r>
      <w:proofErr w:type="spellStart"/>
      <w:r w:rsidRPr="00B75F37">
        <w:t>Matzpen</w:t>
      </w:r>
      <w:proofErr w:type="spellEnd"/>
      <w:r w:rsidRPr="00B75F37">
        <w:t xml:space="preserve"> otherwise </w:t>
      </w:r>
      <w:proofErr w:type="spellStart"/>
      <w:r w:rsidRPr="00B75F37">
        <w:t>recognised</w:t>
      </w:r>
      <w:proofErr w:type="spellEnd"/>
      <w:r w:rsidRPr="00B75F37">
        <w:t xml:space="preserve">):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B75F37">
        <w:t>labour</w:t>
      </w:r>
      <w:proofErr w:type="spellEnd"/>
      <w:r w:rsidRPr="00B75F37">
        <w:t xml:space="preserve">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11" w:anchor="anti12659-note-1005_77" w:tooltip="Link to note" w:history="1">
        <w:r w:rsidRPr="00B75F37">
          <w:rPr>
            <w:rStyle w:val="Hyperlink"/>
          </w:rPr>
          <w:t>5</w:t>
        </w:r>
      </w:hyperlink>
      <w:r w:rsidRPr="00B75F37">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12" w:anchor="anti12659-bib-0011" w:history="1">
        <w:r w:rsidRPr="00B75F37">
          <w:rPr>
            <w:rStyle w:val="Hyperlink"/>
          </w:rPr>
          <w:t>2001</w:t>
        </w:r>
      </w:hyperlink>
      <w:r w:rsidRPr="00B75F37">
        <w:t>) in the Wretched of the Earth, have argued that indigenous people face the settler population as a whole in their struggle for de-</w:t>
      </w:r>
      <w:proofErr w:type="spellStart"/>
      <w:r w:rsidRPr="00B75F37">
        <w:t>colonisation</w:t>
      </w:r>
      <w:proofErr w:type="spellEnd"/>
      <w:r w:rsidRPr="00B75F37">
        <w:t xml:space="preserve">. This is not to say that individual settlers or specific settler </w:t>
      </w:r>
      <w:proofErr w:type="spellStart"/>
      <w:r w:rsidRPr="00B75F37">
        <w:t>organisations</w:t>
      </w:r>
      <w:proofErr w:type="spellEnd"/>
      <w:r w:rsidRPr="00B75F37">
        <w:t xml:space="preserve"> cannot or have not supported struggles for </w:t>
      </w:r>
      <w:proofErr w:type="spellStart"/>
      <w:r w:rsidRPr="00B75F37">
        <w:t>decolonisation</w:t>
      </w:r>
      <w:proofErr w:type="spellEnd"/>
      <w:r w:rsidRPr="00B75F37">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B75F37">
        <w:t>organised</w:t>
      </w:r>
      <w:proofErr w:type="spellEnd"/>
      <w:r w:rsidRPr="00B75F37">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B75F37">
        <w:t>is</w:t>
      </w:r>
      <w:proofErr w:type="gramEnd"/>
      <w:r w:rsidRPr="00B75F37">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B75F37">
        <w:t>organise</w:t>
      </w:r>
      <w:proofErr w:type="spellEnd"/>
      <w:r w:rsidRPr="00B75F37">
        <w:t xml:space="preserve"> the transfer of populations to the colony in the same way a state could. In the words of </w:t>
      </w:r>
      <w:proofErr w:type="spellStart"/>
      <w:r w:rsidRPr="00B75F37">
        <w:t>Shafir</w:t>
      </w:r>
      <w:proofErr w:type="spellEnd"/>
      <w:r w:rsidRPr="00B75F37">
        <w:t xml:space="preserve"> (</w:t>
      </w:r>
      <w:hyperlink r:id="rId13" w:anchor="anti12659-bib-0041" w:history="1">
        <w:r w:rsidRPr="00B75F37">
          <w:rPr>
            <w:rStyle w:val="Hyperlink"/>
          </w:rPr>
          <w:t>1996</w:t>
        </w:r>
      </w:hyperlink>
      <w:r w:rsidRPr="00B75F37">
        <w:t xml:space="preserve">:155): “Zionism, then, was a </w:t>
      </w:r>
      <w:proofErr w:type="spellStart"/>
      <w:r w:rsidRPr="00B75F37">
        <w:t>colonisation</w:t>
      </w:r>
      <w:proofErr w:type="spellEnd"/>
      <w:r w:rsidRPr="00B75F37">
        <w:t xml:space="preserve"> movement which simultaneously had to secure land for its settlers and settlers for its land”. The dual need for land and </w:t>
      </w:r>
      <w:proofErr w:type="spellStart"/>
      <w:r w:rsidRPr="00B75F37">
        <w:t>labour</w:t>
      </w:r>
      <w:proofErr w:type="spellEnd"/>
      <w:r w:rsidRPr="00B75F37">
        <w:t xml:space="preserve">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w:t>
      </w:r>
      <w:proofErr w:type="spellStart"/>
      <w:r w:rsidRPr="00B75F37">
        <w:t>Shafir</w:t>
      </w:r>
      <w:proofErr w:type="spellEnd"/>
      <w:r w:rsidRPr="00B75F37">
        <w:t xml:space="preserve"> (</w:t>
      </w:r>
      <w:hyperlink r:id="rId14" w:anchor="anti12659-bib-0041" w:history="1">
        <w:r w:rsidRPr="00B75F37">
          <w:rPr>
            <w:rStyle w:val="Hyperlink"/>
          </w:rPr>
          <w:t>1996</w:t>
        </w:r>
      </w:hyperlink>
      <w:r w:rsidRPr="00B75F37">
        <w:t xml:space="preserve">), on the model of other European projects—especially the French settler colonies of North Africa. On the other hand, the nascent </w:t>
      </w:r>
      <w:proofErr w:type="spellStart"/>
      <w:r w:rsidRPr="00B75F37">
        <w:t>Labour</w:t>
      </w:r>
      <w:proofErr w:type="spellEnd"/>
      <w:r w:rsidRPr="00B75F37">
        <w:t xml:space="preserve">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w:t>
      </w:r>
      <w:proofErr w:type="spellStart"/>
      <w:r w:rsidRPr="00B75F37">
        <w:t>labour</w:t>
      </w:r>
      <w:proofErr w:type="spellEnd"/>
      <w:r w:rsidRPr="00B75F37">
        <w:t xml:space="preserve"> force. This led to the development of a series of new </w:t>
      </w:r>
      <w:proofErr w:type="spellStart"/>
      <w:r w:rsidRPr="00B75F37">
        <w:t>Labour</w:t>
      </w:r>
      <w:proofErr w:type="spellEnd"/>
      <w:r w:rsidRPr="00B75F37">
        <w:t xml:space="preserve"> Zionist institutions to </w:t>
      </w:r>
      <w:proofErr w:type="spellStart"/>
      <w:r w:rsidRPr="00B75F37">
        <w:t>organise</w:t>
      </w:r>
      <w:proofErr w:type="spellEnd"/>
      <w:r w:rsidRPr="00B75F37">
        <w:t xml:space="preserve"> this “Conquest of Hebrew </w:t>
      </w:r>
      <w:proofErr w:type="spellStart"/>
      <w:r w:rsidRPr="00B75F37">
        <w:t>Labour</w:t>
      </w:r>
      <w:proofErr w:type="spellEnd"/>
      <w:r w:rsidRPr="00B75F37">
        <w:t xml:space="preserve">”, by </w:t>
      </w:r>
      <w:proofErr w:type="spellStart"/>
      <w:r w:rsidRPr="00B75F37">
        <w:t>organising</w:t>
      </w:r>
      <w:proofErr w:type="spellEnd"/>
      <w:r w:rsidRPr="00B75F37">
        <w:t xml:space="preserve"> strikes, pickets, and boycotts of Jewish owned businesses that employed Palestinian workers or sold products made by them. The Kibbutzim, the Histadrut,</w:t>
      </w:r>
      <w:hyperlink r:id="rId15" w:anchor="anti12659-note-1006_81" w:tooltip="Link to note" w:history="1">
        <w:r w:rsidRPr="00B75F37">
          <w:rPr>
            <w:rStyle w:val="Hyperlink"/>
          </w:rPr>
          <w:t>6</w:t>
        </w:r>
      </w:hyperlink>
      <w:r w:rsidRPr="00B75F37">
        <w:t xml:space="preserve"> and the early Zionist militias were all born out of the process of </w:t>
      </w:r>
      <w:proofErr w:type="spellStart"/>
      <w:r w:rsidRPr="00B75F37">
        <w:t>organising</w:t>
      </w:r>
      <w:proofErr w:type="spellEnd"/>
      <w:r w:rsidRPr="00B75F37">
        <w:t xml:space="preserve"> this campaign (Lockman </w:t>
      </w:r>
      <w:hyperlink r:id="rId16" w:anchor="anti12659-bib-0024" w:history="1">
        <w:r w:rsidRPr="00B75F37">
          <w:rPr>
            <w:rStyle w:val="Hyperlink"/>
          </w:rPr>
          <w:t>1996</w:t>
        </w:r>
      </w:hyperlink>
      <w:r w:rsidRPr="00B75F37">
        <w:t xml:space="preserve">). For example, the </w:t>
      </w:r>
      <w:proofErr w:type="spellStart"/>
      <w:r w:rsidRPr="00B75F37">
        <w:t>Histadrut’s</w:t>
      </w:r>
      <w:proofErr w:type="spellEnd"/>
      <w:r w:rsidRPr="00B75F37">
        <w:t xml:space="preserve"> constitution, passed at its founding congress, made clear that it was a Zionist body committed to the project of settlement through the development of an exclusively Jewish society. It stated that the </w:t>
      </w:r>
      <w:proofErr w:type="spellStart"/>
      <w:r w:rsidRPr="00B75F37">
        <w:t>Histadrut’s</w:t>
      </w:r>
      <w:proofErr w:type="spellEnd"/>
      <w:r w:rsidRPr="00B75F37">
        <w:t xml:space="preserve"> goal was to: … unite all the workers and </w:t>
      </w:r>
      <w:proofErr w:type="spellStart"/>
      <w:r w:rsidRPr="00B75F37">
        <w:t>labourers</w:t>
      </w:r>
      <w:proofErr w:type="spellEnd"/>
      <w:r w:rsidRPr="00B75F37">
        <w:t xml:space="preserve"> in the country who live by their own </w:t>
      </w:r>
      <w:proofErr w:type="spellStart"/>
      <w:r w:rsidRPr="00B75F37">
        <w:t>labour</w:t>
      </w:r>
      <w:proofErr w:type="spellEnd"/>
      <w:r w:rsidRPr="00B75F37">
        <w:t xml:space="preserve"> without exploiting the </w:t>
      </w:r>
      <w:proofErr w:type="spellStart"/>
      <w:r w:rsidRPr="00B75F37">
        <w:t>labour</w:t>
      </w:r>
      <w:proofErr w:type="spellEnd"/>
      <w:r w:rsidRPr="00B75F37">
        <w:t xml:space="preserve"> of others, in order to arrange for all settlement, economic and also cultural affairs of all the workers in the country, so as to build a society of Jewish </w:t>
      </w:r>
      <w:proofErr w:type="spellStart"/>
      <w:r w:rsidRPr="00B75F37">
        <w:t>labour</w:t>
      </w:r>
      <w:proofErr w:type="spellEnd"/>
      <w:r w:rsidRPr="00B75F37">
        <w:t xml:space="preserve"> in Eretz </w:t>
      </w:r>
      <w:proofErr w:type="spellStart"/>
      <w:r w:rsidRPr="00B75F37">
        <w:t>Yisra’el</w:t>
      </w:r>
      <w:proofErr w:type="spellEnd"/>
      <w:r w:rsidRPr="00B75F37">
        <w:t>. (</w:t>
      </w:r>
      <w:proofErr w:type="gramStart"/>
      <w:r w:rsidRPr="00B75F37">
        <w:t>quoted</w:t>
      </w:r>
      <w:proofErr w:type="gramEnd"/>
      <w:r w:rsidRPr="00B75F37">
        <w:t xml:space="preserve"> in Lockman 1996:68) The similarity between the logic of this statement and that of the white South African strikers mentioned above is remarkable. This struggle—waged against Palestinian workers and Jewish farmers—led to a partial victory for the </w:t>
      </w:r>
      <w:proofErr w:type="spellStart"/>
      <w:r w:rsidRPr="00B75F37">
        <w:t>Labour</w:t>
      </w:r>
      <w:proofErr w:type="spellEnd"/>
      <w:r w:rsidRPr="00B75F37">
        <w:t xml:space="preserve"> Zionist movement (Lockman </w:t>
      </w:r>
      <w:hyperlink r:id="rId17" w:anchor="anti12659-bib-0025" w:history="1">
        <w:r w:rsidRPr="00B75F37">
          <w:rPr>
            <w:rStyle w:val="Hyperlink"/>
          </w:rPr>
          <w:t>2012</w:t>
        </w:r>
      </w:hyperlink>
      <w:r w:rsidRPr="00B75F37">
        <w:t xml:space="preserve">). Key industries, such as construction and agriculture, were taken over by </w:t>
      </w:r>
      <w:proofErr w:type="spellStart"/>
      <w:r w:rsidRPr="00B75F37">
        <w:t>Labour</w:t>
      </w:r>
      <w:proofErr w:type="spellEnd"/>
      <w:r w:rsidRPr="00B75F37">
        <w:t xml:space="preserve"> Zionist institutions such as Solal </w:t>
      </w:r>
      <w:proofErr w:type="spellStart"/>
      <w:r w:rsidRPr="00B75F37">
        <w:t>Boneh</w:t>
      </w:r>
      <w:proofErr w:type="spellEnd"/>
      <w:r w:rsidRPr="00B75F37">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B75F37">
        <w:t>Labour</w:t>
      </w:r>
      <w:proofErr w:type="spellEnd"/>
      <w:r w:rsidRPr="00B75F37">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B75F37">
        <w:t>Labour</w:t>
      </w:r>
      <w:proofErr w:type="spellEnd"/>
      <w:r w:rsidRPr="00B75F37">
        <w:t xml:space="preserve"> Zionist movement developed on the basis of opposing Jewish farmers as well as Palestinian workers, a political focus that also shaped its key institutions. The campaign for Hebrew </w:t>
      </w:r>
      <w:proofErr w:type="spellStart"/>
      <w:r w:rsidRPr="00B75F37">
        <w:t>Labour</w:t>
      </w:r>
      <w:proofErr w:type="spellEnd"/>
      <w:r w:rsidRPr="00B75F37">
        <w:t xml:space="preserve"> also demonstrates that the “elimination of the native” in the settler colonial context is not a given, as in the Wolfe-</w:t>
      </w:r>
      <w:proofErr w:type="gramStart"/>
      <w:r w:rsidRPr="00B75F37">
        <w:t>an</w:t>
      </w:r>
      <w:proofErr w:type="gramEnd"/>
      <w:r w:rsidRPr="00B75F37">
        <w:t xml:space="preserve"> framework, but the outcome of a specific set of struggles that pit both the indigenous population against the settlers, as well as different settler classes against one another.</w:t>
      </w:r>
    </w:p>
    <w:p w14:paraId="06B79116" w14:textId="77777777" w:rsidR="00B75F37" w:rsidRDefault="00B75F37" w:rsidP="00B75F37"/>
    <w:p w14:paraId="4B45BF6D" w14:textId="77777777" w:rsidR="00B75F37" w:rsidRDefault="00B75F37" w:rsidP="00B75F37">
      <w:pPr>
        <w:pStyle w:val="Heading4"/>
      </w:pPr>
      <w:r w:rsidRPr="005F4260">
        <w:t xml:space="preserve">The impact is twofold 1) Psychological violence due to the denial of cultural practices 2) The settler colonial mindset is the root cause of </w:t>
      </w:r>
      <w:r>
        <w:t xml:space="preserve">indigenous and black </w:t>
      </w:r>
      <w:r w:rsidRPr="005F4260">
        <w:t>oppression</w:t>
      </w:r>
    </w:p>
    <w:p w14:paraId="4DCD888C" w14:textId="77777777" w:rsidR="00B75F37" w:rsidRPr="00F535EF" w:rsidRDefault="00B75F37" w:rsidP="00B75F37">
      <w:proofErr w:type="spellStart"/>
      <w:r w:rsidRPr="00F535EF">
        <w:rPr>
          <w:rStyle w:val="Style13ptBold"/>
        </w:rPr>
        <w:t>Klutse</w:t>
      </w:r>
      <w:proofErr w:type="spellEnd"/>
      <w:r w:rsidRPr="00F535EF">
        <w:rPr>
          <w:rStyle w:val="Style13ptBold"/>
        </w:rPr>
        <w:t xml:space="preserve"> 18</w:t>
      </w:r>
      <w:r>
        <w:t xml:space="preserve"> Olivia </w:t>
      </w:r>
      <w:proofErr w:type="spellStart"/>
      <w:r>
        <w:t>Klutse</w:t>
      </w:r>
      <w:proofErr w:type="spellEnd"/>
      <w:r>
        <w:t xml:space="preserve"> Seattle University,</w:t>
      </w:r>
      <w:r w:rsidRPr="00F535EF">
        <w:t xml:space="preserve"> </w:t>
      </w:r>
      <w:r>
        <w:t xml:space="preserve">2018 “Repatriation and Reparations: Land-Based Indigenous and Black Futurity”, </w:t>
      </w:r>
      <w:hyperlink r:id="rId18" w:history="1">
        <w:r>
          <w:rPr>
            <w:rStyle w:val="Hyperlink"/>
          </w:rPr>
          <w:t>https://scholarworks.seattleu.edu/cgi/viewcontent.cgi?article=1008&amp;context=ura</w:t>
        </w:r>
      </w:hyperlink>
      <w:r>
        <w:t xml:space="preserve"> AX</w:t>
      </w:r>
    </w:p>
    <w:p w14:paraId="60FC356E" w14:textId="77777777" w:rsidR="00B75F37" w:rsidRPr="00B75F37" w:rsidRDefault="00B75F37" w:rsidP="00B75F37">
      <w:r w:rsidRPr="00B75F37">
        <w:t xml:space="preserve">Settler colonialism, capitalism, and white supremacy are foundational to one another. Their exploitations cross-reference one another; the construction of each warrants the sustained presence of the other because they all emerged in tandem. They are structured to support one another, but they affect their subjects whose exploitation they subsist off of differently particularly in terms of race and Indigeneity. Hence, Black and Indigenous people in the United States and Canada experience largely distinct, yet interconnected struggles that originate from the same triad of structural oppression. Settler Colonialism, Capitalism, and Indigeneity. Beyond its blatant functions of land theft and occupation, settler colonialism operates covertly to produce a myriad of detrimental effects on Indigenous people. For instance, the traumatic generational longevity of colonialism characterizes Indigenous people’s present-day interactions with the settler state: “All Indigenous people’s personal interfaces with the state are channeled through and shaped by the collective relationship that their nation has, historically, and currently, with the colonial regime” (Alfred 50:2009). The settler state forcibly mediates Indigenous people’s interactions in order to reinscribe patterns of “marginalization” and “forced acculturation” (Alfred 50:2009). By positioning interactions with the state as inescapable, settler colonialism produces detrimental psychological effects on Indigenous people: This is a major effect of colonization: denial of access to land-based cultural practices leading to a loss of freedom on both the individual and collective levels equating to the psychological effect of anomie, or the state of profound alienation that results from experiencing serious cultural dissolution, which is then the direct cause of serious substance abuse problems, suicide, and interpersonal violence (Alfred 49:2009). The settler colonial foundation of land theft and subsequent occupation, in addition to psychological manipulation, shifts Indigenous relationships with land by propagating itself and the economic system that enables it--capitalism--as the singular framework by which to conceive of relationship to land (Alfred 48:2009). Capitalism and settler colonialism position themselves as the primary modalities through which survival is possible but are inherently structured to eradicate Indigeneity. Moreover, the eradication of Indigeneity is a function of white supremacy, because the eventual assimilation of Indigenous people into whiteness fortifies the settler colonial existence. Settler Colonialism, Capitalism, and (Anti)-Blackness. Historically, white supremacy has sought to eliminate Indigeneity to justify the presence of settlers but has racialized Black people in an opposite way. In early United States and Canada settler societies, the logic of </w:t>
      </w:r>
      <w:proofErr w:type="spellStart"/>
      <w:r w:rsidRPr="00B75F37">
        <w:t>anti Blackness</w:t>
      </w:r>
      <w:proofErr w:type="spellEnd"/>
      <w:r w:rsidRPr="00B75F37">
        <w:t xml:space="preserve"> strived to multiply the number of people considered Black in order to grow the pool of available slave labor. The structure and sentiment of anti-Blackness that resulted from Black people’s subjugation has endured. However, although Black people’s presence in North America--particularly those descended from slaves--is often solely attributed to white supremacy, it is also a tangential consequence of settler colonialism. Most notably, settler colonialism used the logic of white supremacy as means to forcibly migrate and racialize Black people as Black to justify exploiting their bodies for labor and to occupy Indigenous land: “The reality then is that Black peoples have not been quintessential “settlers” in the White supremacist usage of the word; nevertheless, they have, as free people, been involved in some form of settlement process” (</w:t>
      </w:r>
      <w:proofErr w:type="spellStart"/>
      <w:r w:rsidRPr="00B75F37">
        <w:t>Amadahy</w:t>
      </w:r>
      <w:proofErr w:type="spellEnd"/>
      <w:r w:rsidRPr="00B75F37">
        <w:t xml:space="preserve"> and Lawrence 107:2009). Therefore, the logic of settler colonialism forcefully produced mass Black displacement and subjugation, and non-consensually implicates Black people in the occupation of Indigenous land. </w:t>
      </w:r>
    </w:p>
    <w:p w14:paraId="469A9D3E" w14:textId="77777777" w:rsidR="00B75F37" w:rsidRDefault="00B75F37" w:rsidP="00B75F37">
      <w:pPr>
        <w:pStyle w:val="Heading4"/>
      </w:pPr>
      <w:proofErr w:type="gramStart"/>
      <w:r>
        <w:t>Thus</w:t>
      </w:r>
      <w:proofErr w:type="gramEnd"/>
      <w:r>
        <w:t xml:space="preserve"> the alternative is generative refusal – a simultaneous affirmation of indigenous sovereignty and a political force to generate action</w:t>
      </w:r>
    </w:p>
    <w:p w14:paraId="348F3D06" w14:textId="77777777" w:rsidR="00B75F37" w:rsidRPr="009D33A8" w:rsidRDefault="00B75F37" w:rsidP="00B75F37">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proofErr w:type="gramStart"/>
      <w:r w:rsidRPr="0086287D">
        <w:t>She</w:t>
      </w:r>
      <w:proofErr w:type="gramEnd"/>
      <w:r w:rsidRPr="0086287D">
        <w:t xml:space="preserve"> is continuing to research Indigenous peoples' arts and practices of sovereignty.</w:t>
      </w:r>
      <w:r w:rsidRPr="009D33A8">
        <w:t xml:space="preserve"> </w:t>
      </w:r>
      <w:r>
        <w:t xml:space="preserve">November 2 2020“Generative Refusal: Creative Practice and Relational Indigenous Sovereignty” </w:t>
      </w:r>
      <w:hyperlink r:id="rId19" w:history="1">
        <w:r w:rsidRPr="00394BEA">
          <w:rPr>
            <w:rStyle w:val="Hyperlink"/>
          </w:rPr>
          <w:t>https://www.exeley.com/borderlands/pdf/10.21307/borderlands-2020-013</w:t>
        </w:r>
      </w:hyperlink>
      <w:r>
        <w:t xml:space="preserve"> AX</w:t>
      </w:r>
    </w:p>
    <w:p w14:paraId="7624DF6D" w14:textId="77777777" w:rsidR="00B75F37" w:rsidRPr="00B75F37" w:rsidRDefault="00B75F37" w:rsidP="00B75F37">
      <w:r w:rsidRPr="00B75F37">
        <w:t xml:space="preserve">In Dancing on our Turtle’s Back, Leanne </w:t>
      </w:r>
      <w:proofErr w:type="spellStart"/>
      <w:r w:rsidRPr="00B75F37">
        <w:t>Betasamosake</w:t>
      </w:r>
      <w:proofErr w:type="spellEnd"/>
      <w:r w:rsidRPr="00B75F37">
        <w:t xml:space="preserv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spellStart"/>
      <w:proofErr w:type="gramStart"/>
      <w:r w:rsidRPr="00B75F37">
        <w:t>Stó:Lō</w:t>
      </w:r>
      <w:proofErr w:type="spellEnd"/>
      <w:proofErr w:type="gramEnd"/>
      <w:r w:rsidRPr="00B75F37">
        <w:t xml:space="preserve">,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w:t>
      </w:r>
      <w:proofErr w:type="spellStart"/>
      <w:r w:rsidRPr="00B75F37">
        <w:t>Starblanket</w:t>
      </w:r>
      <w:proofErr w:type="spellEnd"/>
      <w:r w:rsidRPr="00B75F37">
        <w:t xml:space="preserve"> and Stark’s call for governance as the business of all living things. Through the acts of doing, the relations these actions generate with the land and with others, this work becomes sovereign enactment in itself, refusing the authority of the state to authorize in </w:t>
      </w:r>
      <w:proofErr w:type="spellStart"/>
      <w:r w:rsidRPr="00B75F37">
        <w:t>favour</w:t>
      </w:r>
      <w:proofErr w:type="spellEnd"/>
      <w:r w:rsidRPr="00B75F37">
        <w:t xml:space="preserve">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w:t>
      </w:r>
      <w:proofErr w:type="gramStart"/>
      <w:r w:rsidRPr="00B75F37">
        <w:t>practice</w:t>
      </w:r>
      <w:proofErr w:type="gramEnd"/>
      <w:r w:rsidRPr="00B75F37">
        <w:t xml:space="preserv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w:t>
      </w:r>
      <w:proofErr w:type="gramStart"/>
      <w:r w:rsidRPr="00B75F37">
        <w:t>tell</w:t>
      </w:r>
      <w:proofErr w:type="gramEnd"/>
      <w:r w:rsidRPr="00B75F37">
        <w:t xml:space="preserve">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w:t>
      </w:r>
      <w:proofErr w:type="spellStart"/>
      <w:r w:rsidRPr="00B75F37">
        <w:t>dependant</w:t>
      </w:r>
      <w:proofErr w:type="spellEnd"/>
      <w:r w:rsidRPr="00B75F37">
        <w:t xml:space="preserve"> on, the engagement of Indigenous nations. This critique offers an opportunity for settler colonial relations to take up the generative refusal as a call to action. Taking seriously the assertion of </w:t>
      </w:r>
      <w:proofErr w:type="spellStart"/>
      <w:r w:rsidRPr="00B75F37">
        <w:t>Starblanket</w:t>
      </w:r>
      <w:proofErr w:type="spellEnd"/>
      <w:r w:rsidRPr="00B75F37">
        <w:t xml:space="preserve">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p w14:paraId="7F9C470A" w14:textId="77777777" w:rsidR="00B75F37" w:rsidRDefault="00B75F37" w:rsidP="00B75F37">
      <w:pPr>
        <w:pStyle w:val="Heading4"/>
      </w:pPr>
      <w:r w:rsidRPr="00EB4580">
        <w:t>The Role of the Ballot is to vote for the debater who best challenges settler colonialism</w:t>
      </w:r>
      <w:r>
        <w:t xml:space="preserve"> – fiat is illusory, no policy is being implemented out of round – the only material impact is affecting our subjectivity. Speech acts are a necessary step in the destabilization of the settler subject</w:t>
      </w:r>
    </w:p>
    <w:p w14:paraId="295E40F2" w14:textId="77777777" w:rsidR="00B75F37" w:rsidRPr="00422863" w:rsidRDefault="00B75F37" w:rsidP="00B75F37">
      <w:pPr>
        <w:rPr>
          <w:b/>
          <w:bCs/>
          <w:sz w:val="26"/>
        </w:rPr>
      </w:pPr>
      <w:r w:rsidRPr="00066F35">
        <w:rPr>
          <w:rStyle w:val="Style13ptBold"/>
        </w:rPr>
        <w:t xml:space="preserve">Henderson 17 </w:t>
      </w:r>
      <w:r w:rsidRPr="00066F35">
        <w:t xml:space="preserve">(Phil currently holds a Bachelor’s (Hons.) in Political Science from the University of Western Ontario and a Master’s Degree in Political Science from the University of Victoria, with a specialization in Cultural, Social and Political thought, </w:t>
      </w:r>
      <w:proofErr w:type="spellStart"/>
      <w:r w:rsidRPr="00066F35">
        <w:t>Imagoed</w:t>
      </w:r>
      <w:proofErr w:type="spellEnd"/>
      <w:r w:rsidRPr="00066F35">
        <w:t xml:space="preserve"> communities: the psychosocial space of settler colonialism, Settler Colonial Studies Vol 7 No 1, 2017) </w:t>
      </w:r>
      <w:r w:rsidRPr="002220C6">
        <w:t>https://www.tandfonline.com/doi/abs/10.1080/2201473X.2015.1092194</w:t>
      </w:r>
    </w:p>
    <w:p w14:paraId="1FEE5690" w14:textId="77777777" w:rsidR="00B75F37" w:rsidRPr="00B75F37" w:rsidRDefault="00B75F37" w:rsidP="00B75F37">
      <w:proofErr w:type="spellStart"/>
      <w:r w:rsidRPr="00B75F37">
        <w:t>Goeman</w:t>
      </w:r>
      <w:proofErr w:type="spellEnd"/>
      <w:r w:rsidRPr="00B75F37">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but the subject in slippage also provides an avenue by which the process of settler colonialism can be subverted – creating cracks in a phantasmatic wholeness which can be opened wider. Breakages of this sort offer an opportunity to pursue what Paulette Regan calls a ‘</w:t>
      </w:r>
      <w:proofErr w:type="spellStart"/>
      <w:r w:rsidRPr="00B75F37">
        <w:t>restorying</w:t>
      </w:r>
      <w:proofErr w:type="spellEnd"/>
      <w:r w:rsidRPr="00B75F37">
        <w:t xml:space="preserve">’ of settler colonial history and culture, to decenter settler mythologies built upon and within the dispossession of indigenous peoples.76 The cultivation of these cracks is a necessary part of decolonizing work, as it continues to panic and thus to destabilize settler subjects. Resistance to settler colonialism does not occur only in highly visible moments like the famous conflict at </w:t>
      </w:r>
      <w:proofErr w:type="spellStart"/>
      <w:r w:rsidRPr="00B75F37">
        <w:t>Kanesatake</w:t>
      </w:r>
      <w:proofErr w:type="spellEnd"/>
      <w:r w:rsidRPr="00B75F37">
        <w:t xml:space="preserve"> and Kahnawake,77 it also occurs in reiterative and disruptive practices, presences, and speech acts. </w:t>
      </w:r>
      <w:proofErr w:type="spellStart"/>
      <w:r w:rsidRPr="00B75F37">
        <w:t>Goeman</w:t>
      </w:r>
      <w:proofErr w:type="spellEnd"/>
      <w:r w:rsidRPr="00B75F37">
        <w:t xml:space="preserve"> correctly observes that the ‘repetitive practices of everyday life’ are what give settler spaces their meaning, as they provide a degree of naturalness to the settler imago and its psychic investments.78 As such, to disrupt the ease of these repetitions is at once to striate radically the otherwise smooth spaces of settler colonialism and also to disrupt the easy (re)production of the settler subject. </w:t>
      </w:r>
      <w:proofErr w:type="spellStart"/>
      <w:r w:rsidRPr="00B75F37">
        <w:t>Goeman</w:t>
      </w:r>
      <w:proofErr w:type="spellEnd"/>
      <w:r w:rsidRPr="00B75F37">
        <w:t xml:space="preserve">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w:t>
      </w:r>
    </w:p>
    <w:bookmarkEnd w:id="0"/>
    <w:p w14:paraId="3DBCE491"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7B406E"/>
    <w:multiLevelType w:val="hybridMultilevel"/>
    <w:tmpl w:val="FDA64F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F37"/>
    <w:rsid w:val="00B75F37"/>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866CD"/>
  <w15:chartTrackingRefBased/>
  <w15:docId w15:val="{DA61DD8D-9080-4B43-9CE9-7004410DE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5F37"/>
    <w:rPr>
      <w:rFonts w:ascii="Calibri" w:eastAsiaTheme="minorHAnsi" w:hAnsi="Calibri"/>
      <w:lang w:eastAsia="en-US"/>
    </w:rPr>
  </w:style>
  <w:style w:type="paragraph" w:styleId="Heading1">
    <w:name w:val="heading 1"/>
    <w:aliases w:val="Pocket"/>
    <w:basedOn w:val="Normal"/>
    <w:next w:val="Normal"/>
    <w:link w:val="Heading1Char"/>
    <w:qFormat/>
    <w:rsid w:val="00B75F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5F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75F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3"/>
    <w:unhideWhenUsed/>
    <w:qFormat/>
    <w:rsid w:val="00B75F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5F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5F37"/>
  </w:style>
  <w:style w:type="character" w:customStyle="1" w:styleId="Heading2Char">
    <w:name w:val="Heading 2 Char"/>
    <w:aliases w:val="Hat Char"/>
    <w:basedOn w:val="DefaultParagraphFont"/>
    <w:link w:val="Heading2"/>
    <w:uiPriority w:val="1"/>
    <w:rsid w:val="00B75F37"/>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B75F37"/>
    <w:rPr>
      <w:rFonts w:ascii="Calibri" w:eastAsiaTheme="majorEastAsia" w:hAnsi="Calibri" w:cstheme="majorBidi"/>
      <w:b/>
      <w:iCs/>
      <w:sz w:val="26"/>
      <w:lang w:eastAsia="en-US"/>
    </w:rPr>
  </w:style>
  <w:style w:type="paragraph" w:styleId="ListParagraph">
    <w:name w:val="List Paragraph"/>
    <w:aliases w:val="6 font"/>
    <w:basedOn w:val="Normal"/>
    <w:uiPriority w:val="34"/>
    <w:qFormat/>
    <w:rsid w:val="00B75F37"/>
    <w:pPr>
      <w:ind w:left="720"/>
      <w:contextualSpacing/>
    </w:p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5F37"/>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B75F37"/>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B75F37"/>
    <w:rPr>
      <w:color w:val="auto"/>
      <w:u w:val="none"/>
    </w:rPr>
  </w:style>
  <w:style w:type="character" w:customStyle="1" w:styleId="Heading1Char">
    <w:name w:val="Heading 1 Char"/>
    <w:aliases w:val="Pocket Char"/>
    <w:basedOn w:val="DefaultParagraphFont"/>
    <w:link w:val="Heading1"/>
    <w:rsid w:val="00B75F37"/>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B75F37"/>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B75F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5F3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onlinelibrary.wiley.com/doi/full/10.1111/anti.12659" TargetMode="External"/><Relationship Id="rId18" Type="http://schemas.openxmlformats.org/officeDocument/2006/relationships/hyperlink" Target="https://scholarworks.seattleu.edu/cgi/viewcontent.cgi?article=1008&amp;context=ur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s://onlinelibrary.wiley.com/doi/full/10.1111/anti.12659" TargetMode="External"/><Relationship Id="rId17" Type="http://schemas.openxmlformats.org/officeDocument/2006/relationships/hyperlink" Target="https://onlinelibrary.wiley.com/doi/full/10.1111/anti.12659" TargetMode="External"/><Relationship Id="rId2" Type="http://schemas.openxmlformats.org/officeDocument/2006/relationships/styles" Target="styles.xml"/><Relationship Id="rId16" Type="http://schemas.openxmlformats.org/officeDocument/2006/relationships/hyperlink" Target="https://onlinelibrary.wiley.com/doi/full/10.1111/anti.1265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onlinelibrary.wiley.com/doi/full/10.1111/anti.12659" TargetMode="External"/><Relationship Id="rId5" Type="http://schemas.openxmlformats.org/officeDocument/2006/relationships/image" Target="media/image1.png"/><Relationship Id="rId15" Type="http://schemas.openxmlformats.org/officeDocument/2006/relationships/hyperlink" Target="https://onlinelibrary.wiley.com/doi/full/10.1111/anti.12659" TargetMode="External"/><Relationship Id="rId10" Type="http://schemas.openxmlformats.org/officeDocument/2006/relationships/hyperlink" Target="https://onlinelibrary.wiley.com/doi/full/10.1111/anti.12659" TargetMode="External"/><Relationship Id="rId19" Type="http://schemas.openxmlformats.org/officeDocument/2006/relationships/hyperlink" Target="https://www.exeley.com/borderlands/pdf/10.21307/borderlands-2020-013" TargetMode="External"/><Relationship Id="rId4" Type="http://schemas.openxmlformats.org/officeDocument/2006/relationships/webSettings" Target="webSettings.xml"/><Relationship Id="rId9" Type="http://schemas.openxmlformats.org/officeDocument/2006/relationships/hyperlink" Target="https://doi.org/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TotalTime>
  <Pages>1</Pages>
  <Words>4556</Words>
  <Characters>25972</Characters>
  <Application>Microsoft Office Word</Application>
  <DocSecurity>0</DocSecurity>
  <Lines>216</Lines>
  <Paragraphs>60</Paragraphs>
  <ScaleCrop>false</ScaleCrop>
  <Company/>
  <LinksUpToDate>false</LinksUpToDate>
  <CharactersWithSpaces>30468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cp:revision>
  <dcterms:created xsi:type="dcterms:W3CDTF">2021-11-20T16:03:00Z</dcterms:created>
  <dcterms:modified xsi:type="dcterms:W3CDTF">2021-11-20T16:05:00Z</dcterms:modified>
</cp:coreProperties>
</file>