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DD8A8" w14:textId="3E09AC01" w:rsidR="00052A5A" w:rsidRDefault="00052A5A" w:rsidP="00052A5A">
      <w:pPr>
        <w:pStyle w:val="Heading2"/>
      </w:pPr>
      <w:bookmarkStart w:id="0" w:name="_Hlk87021645"/>
      <w:r>
        <w:t>1</w:t>
      </w:r>
    </w:p>
    <w:p w14:paraId="141887AB" w14:textId="77777777" w:rsidR="00052A5A" w:rsidRPr="00052A5A" w:rsidRDefault="00052A5A" w:rsidP="00052A5A"/>
    <w:p w14:paraId="6901A674" w14:textId="357563AE" w:rsidR="00304A2C" w:rsidRPr="001D22A6" w:rsidRDefault="00304A2C" w:rsidP="00304A2C">
      <w:pPr>
        <w:pStyle w:val="Heading4"/>
      </w:pPr>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7F5B9E35" w14:textId="77777777" w:rsidR="00304A2C" w:rsidRDefault="00304A2C" w:rsidP="00304A2C">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5" w:history="1">
        <w:r w:rsidRPr="00E41435">
          <w:rPr>
            <w:rStyle w:val="Hyperlink"/>
          </w:rPr>
          <w:t>https://doi.org/10.1111/anti.12659</w:t>
        </w:r>
      </w:hyperlink>
      <w:r>
        <w:t>] AX</w:t>
      </w:r>
    </w:p>
    <w:p w14:paraId="78D150EF" w14:textId="77777777" w:rsidR="00304A2C" w:rsidRPr="004263E2" w:rsidRDefault="00304A2C" w:rsidP="00304A2C">
      <w:r>
        <w:t>Dispossession – deprive of land</w:t>
      </w:r>
    </w:p>
    <w:p w14:paraId="111AE06E" w14:textId="77777777" w:rsidR="00304A2C" w:rsidRPr="009C1383" w:rsidRDefault="00304A2C" w:rsidP="00304A2C">
      <w:r w:rsidRPr="009C1383">
        <w:t>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labour.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labour movements fought for the intensification of settler expansion and racial segregation (see “An Alternative Reading: Settler Colonies and the Exploitation of the Native” above), through colour bars, boycott campaigns and demands for expulsion. In the process, bitter confrontations emerged between settler labour and capital, when the latter [and] attempted to increase its profit margins through the exploitation of indigenous labour—for example in the context of the white labour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labour as well as over the colonial booty. 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Hangebi et al. (</w:t>
      </w:r>
      <w:hyperlink r:id="rId6" w:anchor="anti12659-bib-0014" w:history="1">
        <w:r w:rsidRPr="009C1383">
          <w:rPr>
            <w:rStyle w:val="Hyperlink"/>
          </w:rPr>
          <w:t>2012</w:t>
        </w:r>
      </w:hyperlink>
      <w:r w:rsidRPr="009C1383">
        <w:t>:83)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Matzpen otherwise recognised):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labour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7" w:anchor="anti12659-note-1005_77" w:tooltip="Link to note" w:history="1">
        <w:r w:rsidRPr="009C1383">
          <w:rPr>
            <w:rStyle w:val="Hyperlink"/>
          </w:rPr>
          <w:t>5</w:t>
        </w:r>
      </w:hyperlink>
      <w:r w:rsidRPr="009C1383">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8" w:anchor="anti12659-bib-0011" w:history="1">
        <w:r w:rsidRPr="009C1383">
          <w:rPr>
            <w:rStyle w:val="Hyperlink"/>
          </w:rPr>
          <w:t>2001</w:t>
        </w:r>
      </w:hyperlink>
      <w:r w:rsidRPr="009C1383">
        <w:t xml:space="preserve">) in the Wretched of the Earth, have argued that indigenous people face the settler population as a whole in their struggle for de-colonisation.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9C1383">
        <w:t>is</w:t>
      </w:r>
      <w:proofErr w:type="gramEnd"/>
      <w:r w:rsidRPr="009C1383">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w:t>
      </w:r>
      <w:hyperlink r:id="rId9" w:anchor="anti12659-bib-0041" w:history="1">
        <w:r w:rsidRPr="009C1383">
          <w:rPr>
            <w:rStyle w:val="Hyperlink"/>
          </w:rPr>
          <w:t>1996</w:t>
        </w:r>
      </w:hyperlink>
      <w:r w:rsidRPr="009C1383">
        <w:t>:155): “Zionism, then, was a colonisation movement which simultaneously had to secure land for its settlers and settlers for its land”. The dual need for land and labour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Shafir (</w:t>
      </w:r>
      <w:hyperlink r:id="rId10" w:anchor="anti12659-bib-0041" w:history="1">
        <w:r w:rsidRPr="009C1383">
          <w:rPr>
            <w:rStyle w:val="Hyperlink"/>
          </w:rPr>
          <w:t>1996</w:t>
        </w:r>
      </w:hyperlink>
      <w:r w:rsidRPr="009C1383">
        <w:t>), on the model of other European projects—especially the French settler colonies of North Africa. On the other hand, the nascent Labour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labour force. This led to the development of a series of new Labour Zionist institutions to organise this “Conquest of Hebrew Labour”, by organising strikes, pickets, and boycotts of Jewish owned businesses that employed Palestinian workers or sold products made by them. The Kibbutzim, the Histadrut,</w:t>
      </w:r>
      <w:hyperlink r:id="rId11" w:anchor="anti12659-note-1006_81" w:tooltip="Link to note" w:history="1">
        <w:r w:rsidRPr="009C1383">
          <w:rPr>
            <w:rStyle w:val="Hyperlink"/>
          </w:rPr>
          <w:t>6</w:t>
        </w:r>
      </w:hyperlink>
      <w:r w:rsidRPr="009C1383">
        <w:t xml:space="preserve"> and the early Zionist militias were all born out of the process of organising this campaign (Lockman </w:t>
      </w:r>
      <w:hyperlink r:id="rId12" w:anchor="anti12659-bib-0024" w:history="1">
        <w:r w:rsidRPr="009C1383">
          <w:rPr>
            <w:rStyle w:val="Hyperlink"/>
          </w:rPr>
          <w:t>1996</w:t>
        </w:r>
      </w:hyperlink>
      <w:r w:rsidRPr="009C1383">
        <w:t>). For example, the Histadrut’s constitution, passed at its founding congress, made clear that it was a Zionist body committed to the project of settlement through the development of an exclusively Jewish society. It stated that the Histadrut’s goal was to: … unite all the workers and labourers in the country who live by their own labour without exploiting the labour of others, in order to arrange for all settlement, economic and also cultural affairs of all the workers in the country, so as to build a society of Jewish labour in Eretz Yisra’el. (</w:t>
      </w:r>
      <w:proofErr w:type="gramStart"/>
      <w:r w:rsidRPr="009C1383">
        <w:t>quoted</w:t>
      </w:r>
      <w:proofErr w:type="gramEnd"/>
      <w:r w:rsidRPr="009C1383">
        <w:t xml:space="preserve"> in Lockman 1996:68) The similarity between the logic of this statement and that of the white South African strikers mentioned above is remarkable. This struggle—waged against Palestinian workers and Jewish farmers—led to a partial victory for the Labour Zionist movement (Lockman </w:t>
      </w:r>
      <w:hyperlink r:id="rId13" w:anchor="anti12659-bib-0025" w:history="1">
        <w:r w:rsidRPr="009C1383">
          <w:rPr>
            <w:rStyle w:val="Hyperlink"/>
          </w:rPr>
          <w:t>2012</w:t>
        </w:r>
      </w:hyperlink>
      <w:r w:rsidRPr="009C1383">
        <w:t>). Key industries, such as construction and agriculture, were taken over by Labour Zionist institutions such as Solal Boneh and the Kibbutzim. At the same time, Jewish representation in colonial institutions was increased through collaboration with the British Mandate authorities especially in the context of crushing the Arab Revolt of 1936-1939. The Labour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Labour Zionist movement developed on the basis of opposing Jewish farmers as well as Palestinian workers, a political focus that also shaped its key institutions. The campaign for Hebrew Labour also demonstrates that the “elimination of the native” in the settler colonial context is not a given, as in the Wolfe-</w:t>
      </w:r>
      <w:proofErr w:type="gramStart"/>
      <w:r w:rsidRPr="009C1383">
        <w:t>an</w:t>
      </w:r>
      <w:proofErr w:type="gramEnd"/>
      <w:r w:rsidRPr="009C1383">
        <w:t xml:space="preserve"> framework, but the outcome of a specific set of struggles that pit both the indigenous population against the settlers, as well as different settler classes against one another.</w:t>
      </w:r>
    </w:p>
    <w:p w14:paraId="4F209C53" w14:textId="77777777" w:rsidR="00304A2C" w:rsidRDefault="00304A2C" w:rsidP="00304A2C"/>
    <w:p w14:paraId="3119F71E" w14:textId="77777777" w:rsidR="00304A2C" w:rsidRDefault="00304A2C" w:rsidP="00304A2C">
      <w:pPr>
        <w:pStyle w:val="Heading4"/>
      </w:pPr>
      <w:r w:rsidRPr="005F4260">
        <w:t xml:space="preserve">The impact is twofold 1) Psychological violence due to the denial of cultural practices 2) The settler colonial mindset is the root cause of </w:t>
      </w:r>
      <w:r>
        <w:t xml:space="preserve">indigenous and black </w:t>
      </w:r>
      <w:r w:rsidRPr="005F4260">
        <w:t>oppression</w:t>
      </w:r>
    </w:p>
    <w:p w14:paraId="4C2A0101" w14:textId="77777777" w:rsidR="00304A2C" w:rsidRPr="00F535EF" w:rsidRDefault="00304A2C" w:rsidP="00304A2C">
      <w:r w:rsidRPr="00F535EF">
        <w:rPr>
          <w:rStyle w:val="Style13ptBold"/>
        </w:rPr>
        <w:t>Klutse 18</w:t>
      </w:r>
      <w:r>
        <w:t xml:space="preserve"> Olivia Klutse Seattle University,</w:t>
      </w:r>
      <w:r w:rsidRPr="00F535EF">
        <w:t xml:space="preserve"> </w:t>
      </w:r>
      <w:r>
        <w:t xml:space="preserve">2018 “Repatriation and Reparations: Land-Based Indigenous and Black Futurity”, </w:t>
      </w:r>
      <w:hyperlink r:id="rId14" w:history="1">
        <w:r>
          <w:rPr>
            <w:rStyle w:val="Hyperlink"/>
          </w:rPr>
          <w:t>https://scholarworks.seattleu.edu/cgi/viewcontent.cgi?article=1008&amp;context=ura</w:t>
        </w:r>
      </w:hyperlink>
      <w:r>
        <w:t xml:space="preserve"> AX</w:t>
      </w:r>
    </w:p>
    <w:p w14:paraId="02756BAB" w14:textId="77777777" w:rsidR="00304A2C" w:rsidRPr="009C1383" w:rsidRDefault="00304A2C" w:rsidP="00304A2C">
      <w:r w:rsidRPr="009C1383">
        <w:t xml:space="preserve">Settler colonialism, capitalism, and white supremacy are foundational to one another. Their exploitations cross-reference one another; the construction of each warrants the sustained presence of the other because they all emerged in tandem. They are structured to support one another, but they affect their subjects whose exploitation they subsist off of differently particularly in terms of race and Indigeneity. Hence, Black and Indigenous people in the United States and Canada experience largely distinct, yet interconnected struggles that originate from the same triad of structural oppression. Settler Colonialism, Capitalism, and Indigeneity. Beyond its blatant functions of land theft and occupation, settler colonialism operates covertly to produce a myriad of detrimental effects on Indigenous people. For instance, the traumatic generational longevity of colonialism characterizes Indigenous people’s present-day interactions with the settler state: “All Indigenous people’s personal interfaces with the state are channeled through and shaped by the collective relationship that their nation has, historically, and currently, with the colonial regime” (Alfred 50:2009). The settler state forcibly mediates Indigenous people’s interactions in order to reinscribe patterns of “marginalization” and “forced acculturation” (Alfred 50:2009). By positioning interactions with the state as inescapable, settler colonialism produces detrimental psychological effects on Indigenous people: This is a major effect of colonization: denial of access to land-based cultural practices leading to a loss of freedom on both the individual and collective levels equating to the psychological effect of anomie, or the state of profound alienation that results from experiencing serious cultural dissolution, which is then the direct cause of serious substance abuse problems, suicide, and interpersonal violence (Alfred 49:2009). The settler colonial foundation of land theft and subsequent occupation, in addition to psychological manipulation, shifts Indigenous relationships with land by propagating itself and the economic system that enables it--capitalism--as the singular framework by which to conceive of relationship to land (Alfred 48:2009). Capitalism and settler colonialism position themselves as the primary modalities through which survival is possible but are inherently structured to eradicate Indigeneity. Moreover, the eradication of Indigeneity is a function of white supremacy, because the eventual assimilation of Indigenous people into whiteness fortifies the settler colonial existence. Settler Colonialism, Capitalism, and (Anti)-Blackness. Historically, white supremacy has sought to eliminate Indigeneity to justify the presence of settlers but has racialized Black people in an opposite way. In early United States and Canada settler societies, the logic of anti Blackness strived to multiply the number of people considered Black in order to grow the pool of available slave labor. The structure and sentiment of anti-Blackness that resulted from Black people’s subjugation has endured. However, although Black people’s presence in North America--particularly those descended from slaves--is often solely attributed to white supremacy, it is also a tangential consequence of settler colonialism. Most notably, settler colonialism used the logic of white supremacy as means to forcibly migrate and racialize Black people as Black to justify exploiting their bodies for labor and to occupy Indigenous land: “The reality then is that Black peoples have not been quintessential “settlers” in the White supremacist usage of the word; nevertheless, they have, as free people, been involved in some form of settlement process” (Amadahy and Lawrence 107:2009). Therefore, the logic of settler colonialism forcefully produced mass Black displacement and subjugation, and non-consensually implicates Black people in the occupation of Indigenous land. </w:t>
      </w:r>
    </w:p>
    <w:p w14:paraId="6DB02C9A" w14:textId="77777777" w:rsidR="00304A2C" w:rsidRDefault="00304A2C" w:rsidP="00304A2C">
      <w:pPr>
        <w:pStyle w:val="Heading4"/>
      </w:pPr>
      <w:proofErr w:type="gramStart"/>
      <w:r>
        <w:t>Thus</w:t>
      </w:r>
      <w:proofErr w:type="gramEnd"/>
      <w:r>
        <w:t xml:space="preserve"> the alternative is generative refusal – a simultaneous affirmation of indigenous sovereignty and a political force to generate action</w:t>
      </w:r>
    </w:p>
    <w:p w14:paraId="1AABF39B" w14:textId="77777777" w:rsidR="00304A2C" w:rsidRPr="009D33A8" w:rsidRDefault="00304A2C" w:rsidP="00304A2C">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proofErr w:type="gramStart"/>
      <w:r w:rsidRPr="0086287D">
        <w:t>She</w:t>
      </w:r>
      <w:proofErr w:type="gramEnd"/>
      <w:r w:rsidRPr="0086287D">
        <w:t xml:space="preserve"> is continuing to research Indigenous peoples' arts and practices of sovereignty.</w:t>
      </w:r>
      <w:r w:rsidRPr="009D33A8">
        <w:t xml:space="preserve"> </w:t>
      </w:r>
      <w:r>
        <w:t xml:space="preserve">November 2 2020“Generative Refusal: Creative Practice and Relational Indigenous Sovereignty” </w:t>
      </w:r>
      <w:hyperlink r:id="rId15" w:history="1">
        <w:r w:rsidRPr="00394BEA">
          <w:rPr>
            <w:rStyle w:val="Hyperlink"/>
          </w:rPr>
          <w:t>https://www.exeley.com/borderlands/pdf/10.21307/borderlands-2020-013</w:t>
        </w:r>
      </w:hyperlink>
      <w:r>
        <w:t xml:space="preserve"> AX</w:t>
      </w:r>
    </w:p>
    <w:p w14:paraId="51AD3BD4" w14:textId="77777777" w:rsidR="00304A2C" w:rsidRPr="009C1383" w:rsidRDefault="00304A2C" w:rsidP="00304A2C">
      <w:r w:rsidRPr="009C1383">
        <w:t xml:space="preserve">In Dancing on our Turtle’s Back, Leanne Betasamosake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w:t>
      </w:r>
      <w:proofErr w:type="gramStart"/>
      <w:r w:rsidRPr="009C1383">
        <w:t>Stó:Lō</w:t>
      </w:r>
      <w:proofErr w:type="gramEnd"/>
      <w:r w:rsidRPr="009C1383">
        <w:t xml:space="preserve">,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 is the ‘imagination of the political under conditions of falsehood’ (Simpson, 2017, p. 2), and simultaneously enacts a critique of the state, and generative of Indigenous sovereignty as otherwise. Decoupling sovereign actions from the perception and reception of those actions as sovereign challenges the assumed settler authority to recognize what and whom can be sovereign, again opening the space to answer Starblanket and Stark’s call for governance as the business of all living things. Through the acts of doing, the relations these actions generate with the land and with others, this work becomes sovereign enactment in itself, refusing the authority of the state to authorize in favour of generating or creating something else. Embedding refusal within a relational analytic through his analysis of sensory sovereignty, by decoupling sovereign actions from sovereign perceptions, Robinson makes a vital interjection into understanding Indigenous sovereignty as both contemporary </w:t>
      </w:r>
      <w:proofErr w:type="gramStart"/>
      <w:r w:rsidRPr="009C1383">
        <w:t>practice</w:t>
      </w:r>
      <w:proofErr w:type="gramEnd"/>
      <w:r w:rsidRPr="009C1383">
        <w:t xml:space="preserve">, but also within a larger historic context. Despite the ongoing settler colonial violence and dispossession, Indigenous sovereign acts continue, no matter the perception or recognition. These relational forms invite, but do not require, recognition. In these moments of refusal ‘this is political life that, in its insistence on certain things—such as nationhood and sovereignty—fundamentally interrupts and casts into question the story that settler states </w:t>
      </w:r>
      <w:proofErr w:type="gramStart"/>
      <w:r w:rsidRPr="009C1383">
        <w:t>tell</w:t>
      </w:r>
      <w:proofErr w:type="gramEnd"/>
      <w:r w:rsidRPr="009C1383">
        <w:t xml:space="preserve"> about themselves’ (A Simpson, 2014, p. 177). While secondary to the generative and creative relations that Indigenous sovereignty produce, this refusal, and the moments of distribution concomitantly enact a critique. Detangling the generative relations of sovereignty from a disruptive critique of the settler colonial state allows both acts to exist simultaneously, without capitulating to the authority of colonial recognition. Rather than demanding engagement from Indigenous forms and relations of sovereignty, refusal, or this generative no, takes critique into a realm that is responsive to, but not dependant on, the engagement of Indigenous nations. This critique offers an opportunity for settler colonial relations to take up the generative refusal as a call to action. Taking seriously the assertion of Starblanket and Stark that governance is the business of all living things, this calls for non-Indigenous subjects and subjectivities to constitute themselves as refusable. As a response to Audra Simpson’s call for refusal as consents revenge, to be refusable is not just imagining the possibilities of a world created through that generative ‘no’ but inviting it. It starts from acknowledging ‘the trickery of consent’ (A Simpson, 2016, p. 3), and affirming that these ongoing structures, events and experiences of settler colonial violence were not consented to, are not consented to. Moreover, it affirms that recognition, and the assumption of the consent to be recognized, is not the starting point of ethical relations. To be refusable is to invite action. To be refusable does not require being refused, but it does mark a moment of constituting oneself as acknowledging and understanding the diverse sovereignties of Indigenous nations and that to be refused is always a possibility and sometimes a necessity.</w:t>
      </w:r>
    </w:p>
    <w:p w14:paraId="7DDD0888" w14:textId="77777777" w:rsidR="00304A2C" w:rsidRDefault="00304A2C" w:rsidP="00304A2C">
      <w:pPr>
        <w:pStyle w:val="Heading4"/>
      </w:pPr>
      <w:r w:rsidRPr="00EB4580">
        <w:t>The Role of the Ballot is to vote for the debater who best challenges settler colonialism</w:t>
      </w:r>
      <w:r>
        <w:t xml:space="preserve"> – fiat is illusory, no policy is being implemented out of round – the only material impact is affecting our subjectivity. Speech acts are a necessary step in the destabilization of the settler subject</w:t>
      </w:r>
    </w:p>
    <w:p w14:paraId="239D456A" w14:textId="77777777" w:rsidR="00304A2C" w:rsidRPr="00422863" w:rsidRDefault="00304A2C" w:rsidP="00304A2C">
      <w:pPr>
        <w:rPr>
          <w:b/>
          <w:bCs/>
          <w:sz w:val="26"/>
        </w:rPr>
      </w:pPr>
      <w:r w:rsidRPr="00066F35">
        <w:rPr>
          <w:rStyle w:val="Style13ptBold"/>
        </w:rPr>
        <w:t xml:space="preserve">Henderson 17 </w:t>
      </w:r>
      <w:r w:rsidRPr="00066F35">
        <w:t xml:space="preserve">(Phil currently holds a Bachelor’s (Hons.) in Political Science from the University of Western Ontario and a Master’s Degree in Political Science from the University of Victoria, with a specialization in Cultural, Social and Political thought, Imagoed communities: the psychosocial space of settler colonialism, Settler Colonial Studies Vol 7 No 1, 2017) </w:t>
      </w:r>
      <w:r w:rsidRPr="002220C6">
        <w:t>https://www.tandfonline.com/doi/abs/10.1080/2201473X.2015.1092194</w:t>
      </w:r>
    </w:p>
    <w:p w14:paraId="637CBEA9" w14:textId="77777777" w:rsidR="00304A2C" w:rsidRPr="009C1383" w:rsidRDefault="00304A2C" w:rsidP="00304A2C">
      <w:r w:rsidRPr="009C1383">
        <w:t>Goeman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Thus, the process of subject formation is always in slippage and never totalized as others might suggest.75 Because of this precarity, the settler subject is prone to violence and lashing out; but the subject in slippage also provides an avenue by which the process of settler colonialism can be subverted – creating cracks in a phantasmatic wholeness which can be opened wider. Breakages of this sort offer an opportunity to pursue what Paulette Regan calls a ‘restorying’ of settler colonial history and culture, to decenter settler mythologies built upon and within the dispossession of indigenous peoples.76 The cultivation of these cracks is a necessary part of decolonizing work, as it continues to panic and thus to destabilize settler subjects. Resistance to settler colonialism does not occur only in highly visible moments like the famous conflict at Kanesatake and Kahnawake,77 it also occurs in reiterative and disruptive practices, presences, and speech acts. Goeman correctly observes that the ‘repetitive practices of everyday life’ are what give settler spaces their meaning, as they provide a degree of naturalness to the settler imago and its psychic investments.78 As such, to disrupt the ease of these repetitions is at once to striate radically the otherwise smooth spaces of settler colonialism and also to disrupt the easy (re)production of the settler subject. Goeman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w:t>
      </w:r>
    </w:p>
    <w:bookmarkEnd w:id="0"/>
    <w:p w14:paraId="1F36D7BD" w14:textId="3D0218EF" w:rsidR="00DB78F4" w:rsidRDefault="00DB78F4" w:rsidP="00052A5A">
      <w:pPr>
        <w:pStyle w:val="Heading2"/>
        <w:jc w:val="left"/>
      </w:pPr>
    </w:p>
    <w:p w14:paraId="256378C3" w14:textId="77777777" w:rsidR="00052A5A" w:rsidRDefault="00052A5A" w:rsidP="00052A5A">
      <w:pPr>
        <w:pStyle w:val="Heading2"/>
      </w:pPr>
      <w:r>
        <w:t>2</w:t>
      </w:r>
    </w:p>
    <w:p w14:paraId="741C8F41" w14:textId="77777777" w:rsidR="00052A5A" w:rsidRDefault="00052A5A" w:rsidP="00052A5A">
      <w:pPr>
        <w:pStyle w:val="Heading4"/>
      </w:pPr>
      <w:r>
        <w:t>Interpretation: Affirmatives must specify and cite an indigenous solvency advocate in the 1ac</w:t>
      </w:r>
    </w:p>
    <w:p w14:paraId="06B09638" w14:textId="77777777" w:rsidR="00052A5A" w:rsidRDefault="00052A5A" w:rsidP="00052A5A">
      <w:pPr>
        <w:pStyle w:val="Heading4"/>
      </w:pPr>
      <w:r>
        <w:t xml:space="preserve">Violation: </w:t>
      </w:r>
    </w:p>
    <w:p w14:paraId="3F7FA182" w14:textId="77777777" w:rsidR="00052A5A" w:rsidRDefault="00052A5A" w:rsidP="00052A5A">
      <w:pPr>
        <w:pStyle w:val="Heading4"/>
      </w:pPr>
      <w:r>
        <w:t>Standards:</w:t>
      </w:r>
    </w:p>
    <w:p w14:paraId="1E63D6CA" w14:textId="77777777" w:rsidR="00052A5A" w:rsidRDefault="00052A5A" w:rsidP="00052A5A">
      <w:pPr>
        <w:pStyle w:val="Heading4"/>
        <w:numPr>
          <w:ilvl w:val="0"/>
          <w:numId w:val="11"/>
        </w:numPr>
        <w:tabs>
          <w:tab w:val="num" w:pos="360"/>
        </w:tabs>
        <w:ind w:left="360"/>
      </w:pPr>
      <w:r>
        <w:t>In round violence</w:t>
      </w:r>
    </w:p>
    <w:p w14:paraId="7733BFB2" w14:textId="77777777" w:rsidR="00052A5A" w:rsidRPr="00604FDF" w:rsidRDefault="00052A5A" w:rsidP="00052A5A">
      <w:pPr>
        <w:pStyle w:val="Heading4"/>
      </w:pPr>
      <w:r>
        <w:t xml:space="preserve">Centering and citing indigenous authors </w:t>
      </w:r>
      <w:proofErr w:type="gramStart"/>
      <w:r>
        <w:t>is</w:t>
      </w:r>
      <w:proofErr w:type="gramEnd"/>
      <w:r>
        <w:t xml:space="preserve"> key to disrupt the culture of forgetting that devalues the culture and identity of indigenous people.</w:t>
      </w:r>
    </w:p>
    <w:p w14:paraId="174E1856" w14:textId="77777777" w:rsidR="00052A5A" w:rsidRPr="00010532" w:rsidRDefault="00052A5A" w:rsidP="00052A5A">
      <w:r w:rsidRPr="002A4551">
        <w:rPr>
          <w:rStyle w:val="Style13ptBold"/>
        </w:rPr>
        <w:t>Torres 19</w:t>
      </w:r>
      <w:r w:rsidRPr="002A4551">
        <w:t xml:space="preserve"> [Born and raised on the unceded ancestral lands of the Tongva peoples, Dr. Samuel Torres comes to the National Native American Boarding School Healing to promote the reconnection and reclamation of indigenous ancestral wisdoms. As a bicultural human being, Dr. Torres is a descendant of the Mexica/Nahua people from the lands we now know as Mexico. In addition to actively learning and practicing Nahua language and traditions, he practices Danza Azteca and is a member of Kalpulli Yaocenoxtli, “Beyond Colonizing Epistemicides: Toward a Decolonizing Framework for Indigenous Education” https://digitalcommons.lmu.edu/cgi/viewcontent.cgi?article=1896&amp;context=etd</w:t>
      </w:r>
    </w:p>
    <w:p w14:paraId="2A085AB5" w14:textId="77777777" w:rsidR="00052A5A" w:rsidRPr="00052A5A" w:rsidRDefault="00052A5A" w:rsidP="00052A5A">
      <w:r w:rsidRPr="00052A5A">
        <w:t xml:space="preserve">Revealing the delicate vulnerability that Indigenous peoples persistently face, Darder (2019) has urgently asserted, “if we do not define our existence, there will be those who have no hesitation defining it for us” (p. 8). Historically, we have seen such a violent authorization of epistemic formations of exclusion linked to a politics of coloniality (Quijano, 2000), where the control of knowledge and voice is either legitimated or invisibilized, as dictated by Western hegemony. This epistemological region that Santos (2007) has called the abyssal divide reinforces and cultivates a culture of forgetting (Darder, 2014a) whereby the coercive expectation to uncritically adopt hegemonic values and reject our own culture and identity is forcefully imposed. The politics of the subaltern voice emerges then, a product of “the tenacious and tireless navigation through the forces of silence and isolation” (Darder, 2019, p. 8), forged in courageous determination and empowered to counter the deliberate distortions of Eurocentric representations of historical, social, and political identities imposed upon </w:t>
      </w:r>
      <w:proofErr w:type="gramStart"/>
      <w:r w:rsidRPr="00052A5A">
        <w:t>Ind  igenous</w:t>
      </w:r>
      <w:proofErr w:type="gramEnd"/>
      <w:r w:rsidRPr="00052A5A">
        <w:t xml:space="preserve"> and other subaltern populations. Furthermore, a decolonizing interpretive framework openly endeavors to expose how the colonial matrix of power (Tlostanova &amp; Mignolo, 2009)—linking economic control, control of authority, control of the public sphere, and ideological control (of knowledge)—continues to wage its colonizing expectations long after the formal structures of the colonial politics of invasion have ceased. Engaging in such contestations not only works to disrupt the mandates of hegemonic control and power, but also opens the possibility for centering the politics of the subaltern voice within the “authority of lived experience” (hooks, 1994). Such decolonizing perspectives rooted in lived experiences and non-dominant epistemologies are central to engaging in the contention, deconstruction, and reformulation of hegemonic theories and practices within Indigenous schools and communities (Darder, 2019). Hernandez (2019) has shown that the awakening of the subaltern voice is intimately tied to the unveiling of the colonizing roots of the phenomena in which we live and study in order to establish a continuity and seedbed for traditional knowledges to prevail and flourish. This entails engaging the role of dissident, deliberately willing to disobey and courageously confront the normalization of colonizing and epistemicidal discourses. The nature of this resistance work is well known to Indigenous peoples and is highlighted by what Gerald Vizenor (1998) called survivance—that state of being that is “more than survival, more than endurance, or mere response [to colonization]; the stories of survivance are an active presence . . . an active repudiation of dominance, tragedy, and victimry” (p. 15).</w:t>
      </w:r>
    </w:p>
    <w:p w14:paraId="1D8CA5D3" w14:textId="77777777" w:rsidR="00052A5A" w:rsidRPr="00342939" w:rsidRDefault="00052A5A" w:rsidP="00052A5A">
      <w:pPr>
        <w:pStyle w:val="Heading4"/>
        <w:numPr>
          <w:ilvl w:val="0"/>
          <w:numId w:val="11"/>
        </w:numPr>
        <w:tabs>
          <w:tab w:val="num" w:pos="360"/>
        </w:tabs>
        <w:ind w:left="360"/>
      </w:pPr>
      <w:r>
        <w:t>Methods of resistance</w:t>
      </w:r>
    </w:p>
    <w:p w14:paraId="37C261D9" w14:textId="77777777" w:rsidR="00052A5A" w:rsidRDefault="00052A5A" w:rsidP="00052A5A">
      <w:pPr>
        <w:pStyle w:val="Heading4"/>
      </w:pPr>
      <w:r>
        <w:t>Narratives and epistemology are based on a grammar of exclusion that is inevitable without the inclusion of indigenous voices. Only through centering discussions of pedagogy and philosophy in educational spaces around indigenous authors can we disrupt Eurocentric representations and engage in anti-colonial resistance outside of the debate space</w:t>
      </w:r>
    </w:p>
    <w:p w14:paraId="3730A5A3" w14:textId="77777777" w:rsidR="00052A5A" w:rsidRDefault="00052A5A" w:rsidP="00052A5A"/>
    <w:p w14:paraId="604F35F4" w14:textId="77777777" w:rsidR="00052A5A" w:rsidRDefault="00052A5A" w:rsidP="00052A5A">
      <w:pPr>
        <w:pStyle w:val="Heading4"/>
      </w:pPr>
      <w:r>
        <w:t xml:space="preserve">Vote neg - </w:t>
      </w:r>
    </w:p>
    <w:p w14:paraId="59D5C661" w14:textId="77777777" w:rsidR="00052A5A" w:rsidRDefault="00052A5A" w:rsidP="00052A5A">
      <w:pPr>
        <w:pStyle w:val="Heading4"/>
      </w:pPr>
      <w:r w:rsidRPr="000E0815">
        <w:t xml:space="preserve">Epistemology-Our practices of citation are uniquely </w:t>
      </w:r>
      <w:r>
        <w:t>key</w:t>
      </w:r>
      <w:r w:rsidRPr="000E0815">
        <w:t xml:space="preserve"> in debate. The emphasis on carded evidence means that who we cite circulates and effects who is read. </w:t>
      </w:r>
      <w:r>
        <w:t xml:space="preserve">Settler futurity </w:t>
      </w:r>
      <w:r w:rsidRPr="000E0815">
        <w:t xml:space="preserve">in our scholarly production must be stopped. </w:t>
      </w:r>
      <w:r>
        <w:t>Ows because its</w:t>
      </w:r>
      <w:r w:rsidRPr="000E0815">
        <w:t xml:space="preserve"> a material impact on the education and voices that circulate in and beyond the community.</w:t>
      </w:r>
    </w:p>
    <w:p w14:paraId="792850ED" w14:textId="77777777" w:rsidR="00052A5A" w:rsidRPr="00094226" w:rsidRDefault="00052A5A" w:rsidP="00052A5A"/>
    <w:p w14:paraId="1AB57E33" w14:textId="77777777" w:rsidR="00052A5A" w:rsidRDefault="00052A5A" w:rsidP="00052A5A">
      <w:pPr>
        <w:rPr>
          <w:b/>
          <w:sz w:val="24"/>
          <w:szCs w:val="24"/>
          <w:u w:val="single"/>
        </w:rPr>
      </w:pPr>
      <w:r>
        <w:rPr>
          <w:rFonts w:eastAsia="Calibri" w:cs="Calibri"/>
          <w:b/>
          <w:sz w:val="24"/>
          <w:szCs w:val="24"/>
          <w:u w:val="single"/>
        </w:rPr>
        <w:t>Evaluate through competing interps</w:t>
      </w:r>
    </w:p>
    <w:p w14:paraId="3FB725CC" w14:textId="77777777" w:rsidR="00052A5A" w:rsidRDefault="00052A5A" w:rsidP="00052A5A">
      <w:pPr>
        <w:rPr>
          <w:b/>
          <w:sz w:val="24"/>
          <w:szCs w:val="24"/>
        </w:rPr>
      </w:pPr>
      <w:r>
        <w:rPr>
          <w:rFonts w:eastAsia="Calibri" w:cs="Calibri"/>
          <w:b/>
          <w:sz w:val="24"/>
          <w:szCs w:val="24"/>
        </w:rPr>
        <w:t xml:space="preserve">1. No brightline for reasonability and we need concrete ways of weighing offense. </w:t>
      </w:r>
    </w:p>
    <w:p w14:paraId="7031D095" w14:textId="77777777" w:rsidR="00052A5A" w:rsidRDefault="00052A5A" w:rsidP="00052A5A">
      <w:pPr>
        <w:rPr>
          <w:b/>
          <w:sz w:val="24"/>
          <w:szCs w:val="24"/>
        </w:rPr>
      </w:pPr>
      <w:r>
        <w:rPr>
          <w:rFonts w:eastAsia="Calibri" w:cs="Calibri"/>
          <w:b/>
          <w:sz w:val="24"/>
          <w:szCs w:val="24"/>
        </w:rPr>
        <w:t>2. It’s valuable to articulate our different visions in debate so we can change as a community</w:t>
      </w:r>
    </w:p>
    <w:p w14:paraId="421BDD4A" w14:textId="77777777" w:rsidR="00052A5A" w:rsidRDefault="00052A5A" w:rsidP="00052A5A">
      <w:pPr>
        <w:rPr>
          <w:b/>
          <w:u w:val="single"/>
        </w:rPr>
      </w:pPr>
      <w:r>
        <w:rPr>
          <w:rFonts w:ascii="Times New Roman" w:eastAsia="Times New Roman" w:hAnsi="Times New Roman" w:cs="Times New Roman"/>
          <w:sz w:val="20"/>
          <w:szCs w:val="20"/>
        </w:rPr>
        <w:t xml:space="preserve"> </w:t>
      </w:r>
      <w:r>
        <w:rPr>
          <w:b/>
          <w:u w:val="single"/>
        </w:rPr>
        <w:t>No RVIs</w:t>
      </w:r>
    </w:p>
    <w:p w14:paraId="42052EC8" w14:textId="77777777" w:rsidR="00052A5A" w:rsidRPr="006552E8" w:rsidRDefault="00052A5A" w:rsidP="00052A5A">
      <w:pPr>
        <w:pStyle w:val="ListParagraph"/>
        <w:numPr>
          <w:ilvl w:val="0"/>
          <w:numId w:val="12"/>
        </w:numPr>
        <w:rPr>
          <w:b/>
          <w:u w:val="single"/>
        </w:rPr>
      </w:pPr>
      <w:r w:rsidRPr="006552E8">
        <w:rPr>
          <w:rFonts w:eastAsia="Calibri" w:cs="Calibri"/>
          <w:b/>
          <w:sz w:val="24"/>
          <w:szCs w:val="24"/>
        </w:rPr>
        <w:t xml:space="preserve">Debaters with more resources will just bait theory and win off the RVI </w:t>
      </w:r>
      <w:r>
        <w:rPr>
          <w:rFonts w:eastAsia="Calibri" w:cs="Calibri"/>
          <w:b/>
          <w:sz w:val="24"/>
          <w:szCs w:val="24"/>
        </w:rPr>
        <w:t xml:space="preserve">- </w:t>
      </w:r>
      <w:r w:rsidRPr="006552E8">
        <w:rPr>
          <w:rFonts w:eastAsia="Calibri" w:cs="Calibri"/>
          <w:b/>
          <w:sz w:val="24"/>
          <w:szCs w:val="24"/>
        </w:rPr>
        <w:t>only an entire rejection of RVIs have the possibility of material change</w:t>
      </w:r>
      <w:r>
        <w:rPr>
          <w:rFonts w:eastAsia="Calibri" w:cs="Calibri"/>
          <w:b/>
          <w:sz w:val="24"/>
          <w:szCs w:val="24"/>
        </w:rPr>
        <w:t xml:space="preserve"> and the implementation of norms in the db8 space</w:t>
      </w:r>
    </w:p>
    <w:p w14:paraId="5BE092C2" w14:textId="77777777" w:rsidR="00052A5A" w:rsidRDefault="00052A5A" w:rsidP="00052A5A">
      <w:pPr>
        <w:rPr>
          <w:rFonts w:ascii="Times New Roman" w:eastAsia="Times New Roman" w:hAnsi="Times New Roman" w:cs="Times New Roman"/>
          <w:sz w:val="20"/>
          <w:szCs w:val="20"/>
        </w:rPr>
      </w:pPr>
    </w:p>
    <w:p w14:paraId="516B1017" w14:textId="77777777" w:rsidR="00052A5A" w:rsidRDefault="00052A5A" w:rsidP="00052A5A">
      <w:pPr>
        <w:rPr>
          <w:rFonts w:ascii="Arial" w:eastAsia="Arial" w:hAnsi="Arial" w:cs="Arial"/>
          <w:b/>
        </w:rPr>
      </w:pPr>
      <w:r>
        <w:rPr>
          <w:rFonts w:ascii="Arial" w:eastAsia="Arial" w:hAnsi="Arial" w:cs="Arial"/>
          <w:b/>
        </w:rPr>
        <w:t>Theory comes before substance - we can’t export methods of resisting violence in the real world if the debate space is violent.</w:t>
      </w:r>
    </w:p>
    <w:p w14:paraId="1355269D" w14:textId="77777777" w:rsidR="00052A5A" w:rsidRDefault="00052A5A" w:rsidP="00052A5A">
      <w:pPr>
        <w:rPr>
          <w:rFonts w:ascii="Arial" w:eastAsia="Arial" w:hAnsi="Arial" w:cs="Arial"/>
          <w:b/>
        </w:rPr>
      </w:pPr>
    </w:p>
    <w:p w14:paraId="44B709DC" w14:textId="77777777" w:rsidR="00052A5A" w:rsidRDefault="00052A5A" w:rsidP="00052A5A">
      <w:pPr>
        <w:pStyle w:val="Heading4"/>
      </w:pPr>
      <w:r>
        <w:t xml:space="preserve">DTD 1) Logic – DTA is incoherent since we are criticizing the method of the aff 2) Key 2 maintaining a safe space in debate and </w:t>
      </w:r>
      <w:proofErr w:type="gramStart"/>
      <w:r>
        <w:t>real world</w:t>
      </w:r>
      <w:proofErr w:type="gramEnd"/>
      <w:r>
        <w:t xml:space="preserve"> change</w:t>
      </w:r>
    </w:p>
    <w:p w14:paraId="232837A4" w14:textId="77777777" w:rsidR="00052A5A" w:rsidRPr="00052A5A" w:rsidRDefault="00052A5A" w:rsidP="00052A5A"/>
    <w:sectPr w:rsidR="00052A5A" w:rsidRPr="00052A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F7367D"/>
    <w:multiLevelType w:val="hybridMultilevel"/>
    <w:tmpl w:val="AC98B0D2"/>
    <w:lvl w:ilvl="0" w:tplc="E6EECB1C">
      <w:start w:val="1"/>
      <w:numFmt w:val="decimal"/>
      <w:lvlText w:val="%1)"/>
      <w:lvlJc w:val="left"/>
      <w:pPr>
        <w:ind w:left="720" w:hanging="360"/>
      </w:pPr>
      <w:rPr>
        <w:rFonts w:eastAsia="Calibri" w:cs="Calibri"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A71F91"/>
    <w:multiLevelType w:val="hybridMultilevel"/>
    <w:tmpl w:val="D6CE3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04A2C"/>
    <w:rsid w:val="00052A5A"/>
    <w:rsid w:val="00304A2C"/>
    <w:rsid w:val="00DB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F5A5"/>
  <w15:chartTrackingRefBased/>
  <w15:docId w15:val="{1A419C58-8357-48A4-A256-B5EA73791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2A5A"/>
    <w:rPr>
      <w:rFonts w:ascii="Calibri" w:eastAsiaTheme="minorHAnsi" w:hAnsi="Calibri"/>
      <w:lang w:eastAsia="en-US"/>
    </w:rPr>
  </w:style>
  <w:style w:type="paragraph" w:styleId="Heading1">
    <w:name w:val="heading 1"/>
    <w:aliases w:val="Pocket"/>
    <w:basedOn w:val="Normal"/>
    <w:next w:val="Normal"/>
    <w:link w:val="Heading1Char"/>
    <w:qFormat/>
    <w:rsid w:val="00052A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2A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2A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3"/>
    <w:unhideWhenUsed/>
    <w:qFormat/>
    <w:rsid w:val="00052A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2A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2A5A"/>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052A5A"/>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2A5A"/>
    <w:rPr>
      <w:b/>
      <w:bCs/>
      <w:sz w:val="26"/>
      <w:u w:val="non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052A5A"/>
    <w:rPr>
      <w:color w:val="auto"/>
      <w:u w:val="none"/>
    </w:rPr>
  </w:style>
  <w:style w:type="character" w:customStyle="1" w:styleId="Heading1Char">
    <w:name w:val="Heading 1 Char"/>
    <w:aliases w:val="Pocket Char"/>
    <w:basedOn w:val="DefaultParagraphFont"/>
    <w:link w:val="Heading1"/>
    <w:rsid w:val="00052A5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52A5A"/>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52A5A"/>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052A5A"/>
    <w:rPr>
      <w:rFonts w:ascii="Calibri" w:hAnsi="Calibri"/>
      <w:b/>
      <w:i w:val="0"/>
      <w:iCs/>
      <w:sz w:val="22"/>
      <w:u w:val="single"/>
      <w:bdr w:val="none" w:sz="0" w:space="0" w:color="auto"/>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052A5A"/>
    <w:rPr>
      <w:b w:val="0"/>
      <w:sz w:val="22"/>
      <w:u w:val="single"/>
    </w:rPr>
  </w:style>
  <w:style w:type="character" w:styleId="FollowedHyperlink">
    <w:name w:val="FollowedHyperlink"/>
    <w:basedOn w:val="DefaultParagraphFont"/>
    <w:uiPriority w:val="99"/>
    <w:semiHidden/>
    <w:unhideWhenUsed/>
    <w:rsid w:val="00052A5A"/>
    <w:rPr>
      <w:color w:val="auto"/>
      <w:u w:val="none"/>
    </w:rPr>
  </w:style>
  <w:style w:type="paragraph" w:styleId="ListParagraph">
    <w:name w:val="List Paragraph"/>
    <w:aliases w:val="6 font"/>
    <w:basedOn w:val="Normal"/>
    <w:uiPriority w:val="34"/>
    <w:qFormat/>
    <w:rsid w:val="00052A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3" Type="http://schemas.openxmlformats.org/officeDocument/2006/relationships/settings" Target="settings.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nlinelibrary.wiley.com/doi/full/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hyperlink" Target="https://doi.org/10.1111/anti.12659" TargetMode="External"/><Relationship Id="rId15" Type="http://schemas.openxmlformats.org/officeDocument/2006/relationships/hyperlink" Target="https://www.exeley.com/borderlands/pdf/10.21307/borderlands-2020-013" TargetMode="External"/><Relationship Id="rId10" Type="http://schemas.openxmlformats.org/officeDocument/2006/relationships/hyperlink" Target="https://onlinelibrary.wiley.com/doi/full/10.1111/anti.12659" TargetMode="External"/><Relationship Id="rId4" Type="http://schemas.openxmlformats.org/officeDocument/2006/relationships/webSettings" Target="web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scholarworks.seattleu.edu/cgi/viewcontent.cgi?article=1008&amp;context=u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3</TotalTime>
  <Pages>1</Pages>
  <Words>5022</Words>
  <Characters>28632</Characters>
  <Application>Microsoft Office Word</Application>
  <DocSecurity>0</DocSecurity>
  <Lines>238</Lines>
  <Paragraphs>67</Paragraphs>
  <ScaleCrop>false</ScaleCrop>
  <Company/>
  <LinksUpToDate>false</LinksUpToDate>
  <CharactersWithSpaces>33587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2</cp:revision>
  <dcterms:created xsi:type="dcterms:W3CDTF">2021-11-20T14:31:00Z</dcterms:created>
  <dcterms:modified xsi:type="dcterms:W3CDTF">2021-11-20T14:34:00Z</dcterms:modified>
</cp:coreProperties>
</file>