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091CF" w14:textId="77777777" w:rsidR="00497B4F" w:rsidRDefault="00497B4F" w:rsidP="00497B4F">
      <w:pPr>
        <w:pStyle w:val="Heading2"/>
      </w:pPr>
      <w:r>
        <w:t>1</w:t>
      </w:r>
    </w:p>
    <w:p w14:paraId="45E6653A" w14:textId="77777777" w:rsidR="00497B4F" w:rsidRPr="00DB3454" w:rsidRDefault="00497B4F" w:rsidP="00497B4F">
      <w:pPr>
        <w:pStyle w:val="Heading3"/>
        <w:jc w:val="left"/>
      </w:pPr>
    </w:p>
    <w:p w14:paraId="32C6304C" w14:textId="77777777" w:rsidR="00497B4F" w:rsidRDefault="00497B4F" w:rsidP="00497B4F">
      <w:pPr>
        <w:pStyle w:val="Heading4"/>
      </w:pPr>
      <w:r w:rsidRPr="00A353FF">
        <w:t xml:space="preserve">Interpretation: The affirmative may not specify a </w:t>
      </w:r>
      <w:r>
        <w:t>just government.</w:t>
      </w:r>
    </w:p>
    <w:p w14:paraId="78379F5C" w14:textId="77777777" w:rsidR="00497B4F" w:rsidRPr="003E5015" w:rsidRDefault="00497B4F" w:rsidP="00497B4F">
      <w:pPr>
        <w:pStyle w:val="Heading4"/>
      </w:pPr>
      <w:r w:rsidRPr="003E5015">
        <w:t>“A” is an indefinite article that modifies “</w:t>
      </w:r>
      <w:r>
        <w:t>just government</w:t>
      </w:r>
      <w:r w:rsidRPr="003E5015">
        <w:t>” in the res</w:t>
      </w:r>
      <w:r>
        <w:t xml:space="preserve"> –</w:t>
      </w:r>
      <w:r w:rsidRPr="003E5015">
        <w:t xml:space="preserve"> means that you have to prove the resolution true in a </w:t>
      </w:r>
      <w:r>
        <w:t>vacuum</w:t>
      </w:r>
      <w:r w:rsidRPr="003E5015">
        <w:t>, not a particular instance</w:t>
      </w:r>
    </w:p>
    <w:p w14:paraId="08E97EC4" w14:textId="77777777" w:rsidR="00497B4F" w:rsidRPr="003E5015" w:rsidRDefault="00497B4F" w:rsidP="00497B4F">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00B0DFE0" w14:textId="77777777" w:rsidR="00497B4F" w:rsidRPr="00E0280B" w:rsidRDefault="00497B4F" w:rsidP="00E0280B">
      <w:r w:rsidRPr="00E0280B">
        <w:t xml:space="preserve">The three articles — a, an, the — are a kind of adjective. The is called the definite article because it usually precedes a specific or previously mentioned noun; a and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caution </w:t>
      </w:r>
      <w:proofErr w:type="spellStart"/>
      <w:r w:rsidRPr="00E0280B">
        <w:t>CAUTION</w:t>
      </w:r>
      <w:proofErr w:type="spellEnd"/>
      <w:r w:rsidRPr="00E0280B">
        <w:t xml:space="preserve">! Even after you learn all the principles behind the use of these articles, you will find an abundance of situations </w:t>
      </w:r>
      <w:proofErr w:type="gramStart"/>
      <w:r w:rsidRPr="00E0280B">
        <w:t>where</w:t>
      </w:r>
      <w:proofErr w:type="gramEnd"/>
      <w:r w:rsidRPr="00E0280B">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E0280B">
        <w:t>below..</w:t>
      </w:r>
      <w:proofErr w:type="gramEnd"/>
      <w:r w:rsidRPr="00E0280B">
        <w:t xml:space="preserve">) If you would like help with the distinction between count and non-count nouns, please refer to Count and Non-Count Nouns. We use a before singular count-nouns that begin with consonants (a cow, a barn, a sheep); we use </w:t>
      </w:r>
      <w:proofErr w:type="gramStart"/>
      <w:r w:rsidRPr="00E0280B">
        <w:t>an</w:t>
      </w:r>
      <w:proofErr w:type="gramEnd"/>
      <w:r w:rsidRPr="00E0280B">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E0280B">
        <w:t>an</w:t>
      </w:r>
      <w:proofErr w:type="spellEnd"/>
      <w:r w:rsidRPr="00E0280B">
        <w:t xml:space="preserve"> (as in an hour, an honor). We would say a useful device and a union matter because the u of those words actually sounds like </w:t>
      </w:r>
      <w:proofErr w:type="spellStart"/>
      <w:r w:rsidRPr="00E0280B">
        <w:t>yoo</w:t>
      </w:r>
      <w:proofErr w:type="spellEnd"/>
      <w:r w:rsidRPr="00E0280B">
        <w:t xml:space="preserve"> (as opposed, say, to the u of an ugly incident). The same is true of a European and a Euro (because of that consonantal "</w:t>
      </w:r>
      <w:proofErr w:type="spellStart"/>
      <w:r w:rsidRPr="00E0280B">
        <w:t>Yoo</w:t>
      </w:r>
      <w:proofErr w:type="spellEnd"/>
      <w:r w:rsidRPr="00E0280B">
        <w:t xml:space="preserve">" sound). We would say a once-in-a-lifetime experience or a one-time hero because the words once and one begin with a w sound (as if they were spelled </w:t>
      </w:r>
      <w:proofErr w:type="spellStart"/>
      <w:r w:rsidRPr="00E0280B">
        <w:t>wuntz</w:t>
      </w:r>
      <w:proofErr w:type="spellEnd"/>
      <w:r w:rsidRPr="00E0280B">
        <w:t xml:space="preserve"> and won). Merriam-Webster's Dictionary says that we can use </w:t>
      </w:r>
      <w:proofErr w:type="gramStart"/>
      <w:r w:rsidRPr="00E0280B">
        <w:t>an</w:t>
      </w:r>
      <w:proofErr w:type="gramEnd"/>
      <w:r w:rsidRPr="00E0280B">
        <w:t xml:space="preserve"> before an h- word that begins with an unstressed syllable. Thus, we might say an </w:t>
      </w:r>
      <w:proofErr w:type="spellStart"/>
      <w:r w:rsidRPr="00E0280B">
        <w:t>hisTORical</w:t>
      </w:r>
      <w:proofErr w:type="spellEnd"/>
      <w:r w:rsidRPr="00E0280B">
        <w:t xml:space="preserve"> moment, but we would say a </w:t>
      </w:r>
      <w:proofErr w:type="spellStart"/>
      <w:r w:rsidRPr="00E0280B">
        <w:t>HIStory</w:t>
      </w:r>
      <w:proofErr w:type="spellEnd"/>
      <w:r w:rsidRPr="00E0280B">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We can refer to something in a generic way by using any of the three articles. We can do the same thing by omitting the article altogether. A beagle makes a great hunting dog and family companion. An </w:t>
      </w:r>
      <w:proofErr w:type="spellStart"/>
      <w:r w:rsidRPr="00E0280B">
        <w:t>airedale</w:t>
      </w:r>
      <w:proofErr w:type="spellEnd"/>
      <w:r w:rsidRPr="00E0280B">
        <w:t xml:space="preserve"> is sometimes a rather skittish animal. The golden retriever is a marvelous pet for children.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p w14:paraId="1C895078" w14:textId="77777777" w:rsidR="00497B4F" w:rsidRDefault="00497B4F" w:rsidP="00497B4F">
      <w:pPr>
        <w:pStyle w:val="Heading4"/>
      </w:pPr>
      <w:r>
        <w:t>The article “a” implies a nonspecific or generic reading of the word “just government”.</w:t>
      </w:r>
    </w:p>
    <w:p w14:paraId="5AE0D8FF" w14:textId="77777777" w:rsidR="00497B4F" w:rsidRPr="00FC4FE0" w:rsidRDefault="00497B4F" w:rsidP="00497B4F">
      <w:r>
        <w:rPr>
          <w:rStyle w:val="Style13ptBold"/>
        </w:rPr>
        <w:t xml:space="preserve">Walden 20 </w:t>
      </w:r>
      <w:r w:rsidRPr="00764DF9">
        <w:t>Walden University</w:t>
      </w:r>
      <w:r>
        <w:t xml:space="preserve"> [</w:t>
      </w:r>
      <w:r w:rsidRPr="00764DF9">
        <w:t>The Writing Center provides a broad range of writing instruction and editing services for students at Walden University, including writing assistance for undergraduates, graduate students, and doctoral capstone writers</w:t>
      </w:r>
      <w:r>
        <w:t>], “</w:t>
      </w:r>
      <w:r w:rsidRPr="00DB7A0D">
        <w:t>"A" or "An"</w:t>
      </w:r>
      <w:r>
        <w:t xml:space="preserve">” last modified July 14 2020, </w:t>
      </w:r>
      <w:hyperlink r:id="rId5" w:history="1">
        <w:r w:rsidRPr="00F059C2">
          <w:rPr>
            <w:rStyle w:val="Hyperlink"/>
          </w:rPr>
          <w:t>https://academicguides.waldenu.edu/writingcenter/grammar/articles</w:t>
        </w:r>
      </w:hyperlink>
      <w:r>
        <w:t xml:space="preserve"> SM</w:t>
      </w:r>
    </w:p>
    <w:p w14:paraId="7EF185F6" w14:textId="77777777" w:rsidR="00497B4F" w:rsidRPr="00E0280B" w:rsidRDefault="00497B4F" w:rsidP="00E0280B">
      <w:r w:rsidRPr="00E0280B">
        <w:t>When to Use "A" or "An" "A" and "an" are used with singular countable nouns when the noun is nonspecific or generic. I do not own a car. In this sentence, "car" is a singular countable noun that is not specific. It could be any car. She would like to go to a university that specializes in teaching. "University" is a singular countable noun. Although it begins with a vowel, the first sound of the word is /j/ or “y.” Thus, "a" instead of "an" is used. In this sentence, it is also generic (it could be any university with this specialization, not a specific one). I would like to eat an apple. In this sentence, "apple" is a singular countable noun that is not specific. It could be any apple.</w:t>
      </w:r>
    </w:p>
    <w:p w14:paraId="12AD364A" w14:textId="77777777" w:rsidR="00497B4F" w:rsidRDefault="00497B4F" w:rsidP="00497B4F">
      <w:pPr>
        <w:pStyle w:val="Heading4"/>
      </w:pPr>
      <w:r w:rsidRPr="00A353FF">
        <w:t>Violation: they spec</w:t>
      </w:r>
      <w:r>
        <w:t xml:space="preserve"> China</w:t>
      </w:r>
    </w:p>
    <w:p w14:paraId="1A087B8B" w14:textId="77777777" w:rsidR="00497B4F" w:rsidRPr="00A353FF" w:rsidRDefault="00497B4F" w:rsidP="00497B4F">
      <w:pPr>
        <w:pStyle w:val="Heading4"/>
      </w:pPr>
      <w:r w:rsidRPr="00A353FF">
        <w:t>Standards:</w:t>
      </w:r>
    </w:p>
    <w:p w14:paraId="527841FC" w14:textId="77777777" w:rsidR="00497B4F" w:rsidRDefault="00497B4F" w:rsidP="00497B4F">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6A884D1E" w14:textId="77777777" w:rsidR="00497B4F" w:rsidRDefault="00497B4F" w:rsidP="00497B4F">
      <w:pPr>
        <w:pStyle w:val="Heading4"/>
      </w:pPr>
      <w:r>
        <w:t xml:space="preserve">2] Limits – there are infinite governments that could be just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aff – </w:t>
      </w:r>
      <w:proofErr w:type="gramStart"/>
      <w:r>
        <w:t>i.e.</w:t>
      </w:r>
      <w:proofErr w:type="gramEnd"/>
      <w:r>
        <w:t xml:space="preserve"> laws about the right to strike in the US are different than in New Zealand – means the aff is always more prepared and wins just for </w:t>
      </w:r>
      <w:proofErr w:type="spellStart"/>
      <w:r>
        <w:t>speccing</w:t>
      </w:r>
      <w:proofErr w:type="spellEnd"/>
      <w:r>
        <w:t>.</w:t>
      </w:r>
    </w:p>
    <w:p w14:paraId="0A03594F" w14:textId="77777777" w:rsidR="00497B4F" w:rsidRDefault="00497B4F" w:rsidP="00497B4F">
      <w:pPr>
        <w:pStyle w:val="Heading4"/>
      </w:pPr>
      <w:r>
        <w:t>3] TVA – just read your aff as an advantage under a whole adv, solves your offense</w:t>
      </w:r>
    </w:p>
    <w:p w14:paraId="3D85E445" w14:textId="77777777" w:rsidR="00497B4F" w:rsidRDefault="00497B4F" w:rsidP="00497B4F">
      <w:pPr>
        <w:pStyle w:val="Heading4"/>
      </w:pPr>
      <w:r>
        <w:t>Fairness – debate is a competitive activity that requires fairness for objective evaluation. Outweighs – it constrains your ability to evaluate the rest of the flow because they require fair evaluation.</w:t>
      </w:r>
    </w:p>
    <w:p w14:paraId="54930A39" w14:textId="77777777" w:rsidR="00497B4F" w:rsidRDefault="00497B4F" w:rsidP="00497B4F">
      <w:pPr>
        <w:pStyle w:val="Heading4"/>
      </w:pPr>
      <w:r>
        <w:t>Drop the debater – to deter future abuse and set better norms for debate.</w:t>
      </w:r>
    </w:p>
    <w:p w14:paraId="27FC20C6" w14:textId="77777777" w:rsidR="00497B4F" w:rsidRDefault="00497B4F" w:rsidP="00497B4F">
      <w:pPr>
        <w:pStyle w:val="Heading4"/>
      </w:pPr>
      <w:r>
        <w:t xml:space="preserve">Competing interps – reasonability is arbitrary and invites judge intervention but we </w:t>
      </w:r>
      <w:proofErr w:type="gramStart"/>
      <w:r>
        <w:t>creates</w:t>
      </w:r>
      <w:proofErr w:type="gramEnd"/>
      <w:r>
        <w:t xml:space="preserve"> a race to the top where we create the best norms for debate.</w:t>
      </w:r>
    </w:p>
    <w:p w14:paraId="0E820D45" w14:textId="77777777" w:rsidR="00497B4F" w:rsidRDefault="00497B4F" w:rsidP="00497B4F">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2E43D287" w14:textId="77777777" w:rsidR="00497B4F" w:rsidRDefault="00497B4F" w:rsidP="00497B4F">
      <w:pPr>
        <w:pStyle w:val="Heading4"/>
      </w:pPr>
      <w:r>
        <w:t xml:space="preserve">1AR theory is </w:t>
      </w:r>
      <w:proofErr w:type="spellStart"/>
      <w:r>
        <w:t>dta</w:t>
      </w:r>
      <w:proofErr w:type="spellEnd"/>
      <w:r>
        <w:t xml:space="preserve"> and reasonability – sandbagging o/w, irresolvable o/w</w:t>
      </w:r>
    </w:p>
    <w:p w14:paraId="7AF0634D" w14:textId="77777777" w:rsidR="00497B4F" w:rsidRDefault="00497B4F" w:rsidP="00497B4F">
      <w:pPr>
        <w:pStyle w:val="Heading4"/>
      </w:pPr>
      <w:r>
        <w:t>RVI on 1AR theory – time skew o/w</w:t>
      </w:r>
    </w:p>
    <w:p w14:paraId="731E6E24" w14:textId="77777777" w:rsidR="00497B4F" w:rsidRDefault="00497B4F" w:rsidP="00497B4F">
      <w:pPr>
        <w:pStyle w:val="Heading2"/>
      </w:pPr>
    </w:p>
    <w:p w14:paraId="71744DF1" w14:textId="77777777" w:rsidR="00497B4F" w:rsidRDefault="00497B4F" w:rsidP="00497B4F">
      <w:pPr>
        <w:pStyle w:val="Heading2"/>
      </w:pPr>
      <w:r>
        <w:t>2</w:t>
      </w:r>
    </w:p>
    <w:p w14:paraId="15DF01ED" w14:textId="77777777" w:rsidR="00497B4F" w:rsidRPr="001D22A6" w:rsidRDefault="00497B4F" w:rsidP="00497B4F">
      <w:pPr>
        <w:pStyle w:val="Heading4"/>
      </w:pPr>
      <w:r>
        <w:t xml:space="preserve">The labor movement is built on the exploitation of indigenous populations. The aff’s “right to strike” only seeks to benefit the settler labor movement. Settler labor movements fight for higher wages and living standards while simultaneously exploiting indigenous labor and excluding indigenous workers from the labor market. The collective dispossession of the indigenous population ties the settler community together through settler quietism. </w:t>
      </w:r>
      <w:r w:rsidRPr="001D22A6">
        <w:t xml:space="preserve">The aff’s foundational assumptions </w:t>
      </w:r>
      <w:r>
        <w:t>perpetuate the destruction of</w:t>
      </w:r>
      <w:r w:rsidRPr="001D22A6">
        <w:t xml:space="preserve"> Native life and governance. </w:t>
      </w:r>
    </w:p>
    <w:p w14:paraId="27599FD1" w14:textId="77777777" w:rsidR="00497B4F" w:rsidRDefault="00497B4F" w:rsidP="00497B4F">
      <w:r w:rsidRPr="00DA24E3">
        <w:rPr>
          <w:rStyle w:val="Style13ptBold"/>
        </w:rPr>
        <w:t>Englert 20</w:t>
      </w:r>
      <w:r>
        <w:t xml:space="preserve"> [Englert, S. Institute for Area Studies, Leiden University, Leiden, The Netherlands (2020), Settlers, Workers, and the Logic of Accumulation by Dispossession. Antipode, 52: 1647-1666. </w:t>
      </w:r>
      <w:hyperlink r:id="rId6" w:history="1">
        <w:r w:rsidRPr="00E41435">
          <w:rPr>
            <w:rStyle w:val="Hyperlink"/>
          </w:rPr>
          <w:t>https://doi.org/10.1111/anti.12659</w:t>
        </w:r>
      </w:hyperlink>
      <w:r>
        <w:t>] AX</w:t>
      </w:r>
    </w:p>
    <w:p w14:paraId="3454C9AD" w14:textId="77777777" w:rsidR="00497B4F" w:rsidRPr="004263E2" w:rsidRDefault="00497B4F" w:rsidP="00497B4F">
      <w:r>
        <w:t>Dispossession – deprive of land</w:t>
      </w:r>
    </w:p>
    <w:p w14:paraId="33C9C6E4" w14:textId="77777777" w:rsidR="00497B4F" w:rsidRPr="005C5BAA" w:rsidRDefault="00497B4F" w:rsidP="005C5BAA">
      <w:r w:rsidRPr="005C5BAA">
        <w:t xml:space="preserve">In order to reflect on the particular nature of accumulation by dispossession within a settler colonial context, another issue should be raised: that of the internal social relations within settler colonial societies. Indeed, the most striking aspect of settler colonial societies is the development of a colonial polity in which settlers live, produce, and reproduce themselves socially. They do so on the back of the dispossession of indigenous populations through which they acquire land, resources, and, depending on the context, </w:t>
      </w:r>
      <w:proofErr w:type="spellStart"/>
      <w:r w:rsidRPr="005C5BAA">
        <w:t>labour</w:t>
      </w:r>
      <w:proofErr w:type="spellEnd"/>
      <w:r w:rsidRPr="005C5BAA">
        <w:t xml:space="preserve">. This—perhaps obvious—characteristic leads to the development of internal class relations and conflicts, alongside confrontations between settlers and indigenous peoples. The history of settler colonialism underscores the conspicuous absence of involvement by settler working classes (as opposed to individuals or limited networks) in mass, sustained challenges against the process of settlement and indigenous dispossession.3 In fact, more often than not, settler </w:t>
      </w:r>
      <w:proofErr w:type="spellStart"/>
      <w:r w:rsidRPr="005C5BAA">
        <w:t>labour</w:t>
      </w:r>
      <w:proofErr w:type="spellEnd"/>
      <w:r w:rsidRPr="005C5BAA">
        <w:t xml:space="preserve"> movements fought for the intensification of settler expansion and racial segregation (see “An Alternative Reading: Settler Colonies and the Exploitation of the Native” above), through </w:t>
      </w:r>
      <w:proofErr w:type="spellStart"/>
      <w:r w:rsidRPr="005C5BAA">
        <w:t>colour</w:t>
      </w:r>
      <w:proofErr w:type="spellEnd"/>
      <w:r w:rsidRPr="005C5BAA">
        <w:t xml:space="preserve"> bars, boycott campaigns and demands for expulsion. In the process, bitter confrontations emerged between settler </w:t>
      </w:r>
      <w:proofErr w:type="spellStart"/>
      <w:r w:rsidRPr="005C5BAA">
        <w:t>labour</w:t>
      </w:r>
      <w:proofErr w:type="spellEnd"/>
      <w:r w:rsidRPr="005C5BAA">
        <w:t xml:space="preserve"> and capital, when the latter [and] attempted to increase its profit margins through the exploitation of indigenous </w:t>
      </w:r>
      <w:proofErr w:type="spellStart"/>
      <w:r w:rsidRPr="005C5BAA">
        <w:t>labour</w:t>
      </w:r>
      <w:proofErr w:type="spellEnd"/>
      <w:r w:rsidRPr="005C5BAA">
        <w:t xml:space="preserve">—for example in the context of the white </w:t>
      </w:r>
      <w:proofErr w:type="spellStart"/>
      <w:r w:rsidRPr="005C5BAA">
        <w:t>labour</w:t>
      </w:r>
      <w:proofErr w:type="spellEnd"/>
      <w:r w:rsidRPr="005C5BAA">
        <w:t xml:space="preserve">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If settler workers are exploited as workers within the settler colony, they remain settlers. As such they participate in the processes of accumulation by dispossession through the occupation of lands, the elimination or exploitation of indigenous peoples, and the extraction of expropriated resources. For example, at a very basic level, their houses, workplaces, and basic infrastructure such as roads, railways, etc., are all premised on the capture and control of indigenous land. Settler workers are both exploited by settler bosses and their co-conspirators in the dispossession of indigenous peoples. As such, class struggle within a settler society has a dual character: it is waged over the distribution of wealth extracted from their </w:t>
      </w:r>
      <w:proofErr w:type="spellStart"/>
      <w:r w:rsidRPr="005C5BAA">
        <w:t>labour</w:t>
      </w:r>
      <w:proofErr w:type="spellEnd"/>
      <w:r w:rsidRPr="005C5BAA">
        <w:t xml:space="preserve"> as well as over the colonial booty. In the case of Zionism in Palestine, the current associated with the publication </w:t>
      </w:r>
      <w:proofErr w:type="spellStart"/>
      <w:r w:rsidRPr="005C5BAA">
        <w:t>Matzpen</w:t>
      </w:r>
      <w:proofErr w:type="spellEnd"/>
      <w:r w:rsidRPr="005C5BAA">
        <w:t xml:space="preserve"> (“Compass”) developed a class analysis of Israeli society. They came to the conclusion that because the Israeli economy was heavily </w:t>
      </w:r>
      <w:proofErr w:type="spellStart"/>
      <w:r w:rsidRPr="005C5BAA">
        <w:t>subsidised</w:t>
      </w:r>
      <w:proofErr w:type="spellEnd"/>
      <w:r w:rsidRPr="005C5BAA">
        <w:t xml:space="preserve"> from the outside (first primarily by Britain, then by the US) and that this subsidy was not simply going into private hands but was used by the </w:t>
      </w:r>
      <w:proofErr w:type="spellStart"/>
      <w:r w:rsidRPr="005C5BAA">
        <w:t>Labour</w:t>
      </w:r>
      <w:proofErr w:type="spellEnd"/>
      <w:r w:rsidRPr="005C5BAA">
        <w:t xml:space="preserve"> Zionist bureaucracy to </w:t>
      </w:r>
      <w:proofErr w:type="spellStart"/>
      <w:r w:rsidRPr="005C5BAA">
        <w:t>organise</w:t>
      </w:r>
      <w:proofErr w:type="spellEnd"/>
      <w:r w:rsidRPr="005C5BAA">
        <w:t xml:space="preserve"> the development of the Israeli economy and infrastructure, class antagonisms were diverted within its society. </w:t>
      </w:r>
      <w:proofErr w:type="spellStart"/>
      <w:r w:rsidRPr="005C5BAA">
        <w:t>Hangebi</w:t>
      </w:r>
      <w:proofErr w:type="spellEnd"/>
      <w:r w:rsidRPr="005C5BAA">
        <w:t xml:space="preserve"> et al. (</w:t>
      </w:r>
      <w:hyperlink r:id="rId7" w:anchor="anti12659-bib-0014" w:history="1">
        <w:r w:rsidRPr="005C5BAA">
          <w:rPr>
            <w:rStyle w:val="Hyperlink"/>
          </w:rPr>
          <w:t>2012</w:t>
        </w:r>
      </w:hyperlink>
      <w:r w:rsidRPr="005C5BAA">
        <w:t xml:space="preserve">:83) wrote: The Jewish worker in Israel does not receive his share in cash, but he gets it in terms of new and relatively inexpensive housing, which could not have been constructed by raising capital locally; he gets it in industrial employment, which could not have been started or kept going without external subsidies; and he gets it in terms of a general standard of living, which does not correspond to the output of that society … In this way the struggle between the Israeli working class and its employers, both bureaucrats and capitalists, is fought not only over the surplus value produced by the worker but also over the share each group receives from this external source of subsidies. If this analysis was essentially correct, it underplayed, however, the consequences of an important aspect of Israeli wealth creation (which </w:t>
      </w:r>
      <w:proofErr w:type="spellStart"/>
      <w:r w:rsidRPr="005C5BAA">
        <w:t>Matzpen</w:t>
      </w:r>
      <w:proofErr w:type="spellEnd"/>
      <w:r w:rsidRPr="005C5BAA">
        <w:t xml:space="preserve"> otherwise </w:t>
      </w:r>
      <w:proofErr w:type="spellStart"/>
      <w:r w:rsidRPr="005C5BAA">
        <w:t>recognised</w:t>
      </w:r>
      <w:proofErr w:type="spellEnd"/>
      <w:r w:rsidRPr="005C5BAA">
        <w:t xml:space="preserve">): the Israeli state, its infrastructure, and its economy were made possible by colonial expansion, land confiscation, the expulsion of Palestinians and the expropriation of their wealth and property.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population as a whole, which ties the settler community together, despite internal class, ethnic, and political divisions. The settler class struggle is fought over the distribution of wealth extracted from settler </w:t>
      </w:r>
      <w:proofErr w:type="spellStart"/>
      <w:r w:rsidRPr="005C5BAA">
        <w:t>labour</w:t>
      </w:r>
      <w:proofErr w:type="spellEnd"/>
      <w:r w:rsidRPr="005C5BAA">
        <w:t xml:space="preserve"> power as well as over the share each group receives from the process of accumulation by dispossession. This dual class and colonial relationship helps explain the relative absence of settler workers’ resistance against settler colonial expansion or alliances with Indigenous peoples.</w:t>
      </w:r>
      <w:hyperlink r:id="rId8" w:anchor="anti12659-note-1005_77" w:tooltip="Link to note" w:history="1">
        <w:r w:rsidRPr="005C5BAA">
          <w:rPr>
            <w:rStyle w:val="Hyperlink"/>
          </w:rPr>
          <w:t>5</w:t>
        </w:r>
      </w:hyperlink>
      <w:r w:rsidRPr="005C5BAA">
        <w:t xml:space="preserve"> This tendency can be understood as “settler quietism”: even if working-class settlers are exploited by their ruling classes, overthrowing the settler state would mean overthrowing a system in which they share, however unequally, in the distribution of the colonial loot. Participating in the process of dispossession and fighting for a greater share of the pie leads to more important and immediate material gains. It also follows, as many anti-colonial thinkers and activists, not least among them Fanon (</w:t>
      </w:r>
      <w:hyperlink r:id="rId9" w:anchor="anti12659-bib-0011" w:history="1">
        <w:r w:rsidRPr="005C5BAA">
          <w:rPr>
            <w:rStyle w:val="Hyperlink"/>
          </w:rPr>
          <w:t>2001</w:t>
        </w:r>
      </w:hyperlink>
      <w:r w:rsidRPr="005C5BAA">
        <w:t>) in the Wretched of the Earth, have argued that indigenous people face the settler population as a whole in their struggle for de-</w:t>
      </w:r>
      <w:proofErr w:type="spellStart"/>
      <w:r w:rsidRPr="005C5BAA">
        <w:t>colonisation</w:t>
      </w:r>
      <w:proofErr w:type="spellEnd"/>
      <w:r w:rsidRPr="005C5BAA">
        <w:t xml:space="preserve">. This is not to say that individual settlers or specific settler </w:t>
      </w:r>
      <w:proofErr w:type="spellStart"/>
      <w:r w:rsidRPr="005C5BAA">
        <w:t>organisations</w:t>
      </w:r>
      <w:proofErr w:type="spellEnd"/>
      <w:r w:rsidRPr="005C5BAA">
        <w:t xml:space="preserve"> cannot or have not supported struggles for </w:t>
      </w:r>
      <w:proofErr w:type="spellStart"/>
      <w:r w:rsidRPr="005C5BAA">
        <w:t>decolonisation</w:t>
      </w:r>
      <w:proofErr w:type="spellEnd"/>
      <w:r w:rsidRPr="005C5BAA">
        <w:t xml:space="preserve">. It is however to point out that this is not the case for the majority of the settler working class, while it continues to depend on the continued dispossession of the natives for the quality of its living standards. Whether the settler colony is </w:t>
      </w:r>
      <w:proofErr w:type="spellStart"/>
      <w:r w:rsidRPr="005C5BAA">
        <w:t>organised</w:t>
      </w:r>
      <w:proofErr w:type="spellEnd"/>
      <w:r w:rsidRPr="005C5BAA">
        <w:t xml:space="preserve">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More than that, the specific structural forms of settler rule over the indigenous population </w:t>
      </w:r>
      <w:proofErr w:type="gramStart"/>
      <w:r w:rsidRPr="005C5BAA">
        <w:t>is</w:t>
      </w:r>
      <w:proofErr w:type="gramEnd"/>
      <w:r w:rsidRPr="005C5BAA">
        <w:t xml:space="preserve"> best understood as the outcome of struggle, both between settler classes and between settlers and indigenous populations. This paper now turns to two brief case studies demonstrating this process in the context of Zionism in Palestine. The specificity of Zionism in the history of settler colonialism, its lack of a colonial metropolis, had real consequences for the Zionists in Palestine. Firstly, it could not impose—at first—its control over the land through military force. Secondly it could not </w:t>
      </w:r>
      <w:proofErr w:type="spellStart"/>
      <w:r w:rsidRPr="005C5BAA">
        <w:t>organise</w:t>
      </w:r>
      <w:proofErr w:type="spellEnd"/>
      <w:r w:rsidRPr="005C5BAA">
        <w:t xml:space="preserve"> the transfer of populations to the colony in the same way a state could. In the words of </w:t>
      </w:r>
      <w:proofErr w:type="spellStart"/>
      <w:r w:rsidRPr="005C5BAA">
        <w:t>Shafir</w:t>
      </w:r>
      <w:proofErr w:type="spellEnd"/>
      <w:r w:rsidRPr="005C5BAA">
        <w:t xml:space="preserve"> (</w:t>
      </w:r>
      <w:hyperlink r:id="rId10" w:anchor="anti12659-bib-0041" w:history="1">
        <w:r w:rsidRPr="005C5BAA">
          <w:rPr>
            <w:rStyle w:val="Hyperlink"/>
          </w:rPr>
          <w:t>1996</w:t>
        </w:r>
      </w:hyperlink>
      <w:r w:rsidRPr="005C5BAA">
        <w:t xml:space="preserve">:155): “Zionism, then, was a </w:t>
      </w:r>
      <w:proofErr w:type="spellStart"/>
      <w:r w:rsidRPr="005C5BAA">
        <w:t>colonisation</w:t>
      </w:r>
      <w:proofErr w:type="spellEnd"/>
      <w:r w:rsidRPr="005C5BAA">
        <w:t xml:space="preserve"> movement which simultaneously had to secure land for its settlers and settlers for its land”. The dual need for land and </w:t>
      </w:r>
      <w:proofErr w:type="spellStart"/>
      <w:r w:rsidRPr="005C5BAA">
        <w:t>labour</w:t>
      </w:r>
      <w:proofErr w:type="spellEnd"/>
      <w:r w:rsidRPr="005C5BAA">
        <w:t xml:space="preserve"> was at the heart of many political developments in the Yishuv. If the question of land was resolved first through acquisition from largely absentee land owners and then (and most extensively) through military violence, the question of immigration came close several times to bringing the whole colonial project to its knees, as the European Jewish population tended to reject Zionism as a political response to the poverty and discrimination they faced. Two distinct political responses emerged within the early settler population. On the one hand, the Jewish farmers and their sponsors hoped to develop a cash crop producing agricultural sector focused on export to Europe and the exploitation of cheap Palestinian workers. This vision was based, as demonstrated by </w:t>
      </w:r>
      <w:proofErr w:type="spellStart"/>
      <w:r w:rsidRPr="005C5BAA">
        <w:t>Shafir</w:t>
      </w:r>
      <w:proofErr w:type="spellEnd"/>
      <w:r w:rsidRPr="005C5BAA">
        <w:t xml:space="preserve"> (</w:t>
      </w:r>
      <w:hyperlink r:id="rId11" w:anchor="anti12659-bib-0041" w:history="1">
        <w:r w:rsidRPr="005C5BAA">
          <w:rPr>
            <w:rStyle w:val="Hyperlink"/>
          </w:rPr>
          <w:t>1996</w:t>
        </w:r>
      </w:hyperlink>
      <w:r w:rsidRPr="005C5BAA">
        <w:t xml:space="preserve">), on the model of other European projects—especially the French settler colonies of North Africa. On the other hand, the nascent </w:t>
      </w:r>
      <w:proofErr w:type="spellStart"/>
      <w:r w:rsidRPr="005C5BAA">
        <w:t>Labour</w:t>
      </w:r>
      <w:proofErr w:type="spellEnd"/>
      <w:r w:rsidRPr="005C5BAA">
        <w:t xml:space="preserve"> Zionist movement demanded better wages and working conditions for Jewish workers in Palestine, which they argued would be the only way to attract and retain new settlers. This, they claimed, necessitated full separation between the Jewish and Palestinian sectors, removing thereby the “unfair competition” of the cheaper indigenous </w:t>
      </w:r>
      <w:proofErr w:type="spellStart"/>
      <w:r w:rsidRPr="005C5BAA">
        <w:t>labour</w:t>
      </w:r>
      <w:proofErr w:type="spellEnd"/>
      <w:r w:rsidRPr="005C5BAA">
        <w:t xml:space="preserve"> force. This led to the development of a series of new </w:t>
      </w:r>
      <w:proofErr w:type="spellStart"/>
      <w:r w:rsidRPr="005C5BAA">
        <w:t>Labour</w:t>
      </w:r>
      <w:proofErr w:type="spellEnd"/>
      <w:r w:rsidRPr="005C5BAA">
        <w:t xml:space="preserve"> Zionist institutions to </w:t>
      </w:r>
      <w:proofErr w:type="spellStart"/>
      <w:r w:rsidRPr="005C5BAA">
        <w:t>organise</w:t>
      </w:r>
      <w:proofErr w:type="spellEnd"/>
      <w:r w:rsidRPr="005C5BAA">
        <w:t xml:space="preserve"> this “Conquest of Hebrew </w:t>
      </w:r>
      <w:proofErr w:type="spellStart"/>
      <w:r w:rsidRPr="005C5BAA">
        <w:t>Labour</w:t>
      </w:r>
      <w:proofErr w:type="spellEnd"/>
      <w:r w:rsidRPr="005C5BAA">
        <w:t xml:space="preserve">”, by </w:t>
      </w:r>
      <w:proofErr w:type="spellStart"/>
      <w:r w:rsidRPr="005C5BAA">
        <w:t>organising</w:t>
      </w:r>
      <w:proofErr w:type="spellEnd"/>
      <w:r w:rsidRPr="005C5BAA">
        <w:t xml:space="preserve"> strikes, pickets, and boycotts of Jewish owned businesses that employed Palestinian workers or sold products made by them. The Kibbutzim, the Histadrut,</w:t>
      </w:r>
      <w:hyperlink r:id="rId12" w:anchor="anti12659-note-1006_81" w:tooltip="Link to note" w:history="1">
        <w:r w:rsidRPr="005C5BAA">
          <w:rPr>
            <w:rStyle w:val="Hyperlink"/>
          </w:rPr>
          <w:t>6</w:t>
        </w:r>
      </w:hyperlink>
      <w:r w:rsidRPr="005C5BAA">
        <w:t xml:space="preserve"> and the early Zionist militias were all born out of the process of </w:t>
      </w:r>
      <w:proofErr w:type="spellStart"/>
      <w:r w:rsidRPr="005C5BAA">
        <w:t>organising</w:t>
      </w:r>
      <w:proofErr w:type="spellEnd"/>
      <w:r w:rsidRPr="005C5BAA">
        <w:t xml:space="preserve"> this campaign (Lockman </w:t>
      </w:r>
      <w:hyperlink r:id="rId13" w:anchor="anti12659-bib-0024" w:history="1">
        <w:r w:rsidRPr="005C5BAA">
          <w:rPr>
            <w:rStyle w:val="Hyperlink"/>
          </w:rPr>
          <w:t>1996</w:t>
        </w:r>
      </w:hyperlink>
      <w:r w:rsidRPr="005C5BAA">
        <w:t xml:space="preserve">). For example, the </w:t>
      </w:r>
      <w:proofErr w:type="spellStart"/>
      <w:r w:rsidRPr="005C5BAA">
        <w:t>Histadrut’s</w:t>
      </w:r>
      <w:proofErr w:type="spellEnd"/>
      <w:r w:rsidRPr="005C5BAA">
        <w:t xml:space="preserve"> constitution, passed at its founding congress, made clear that it was a Zionist body committed to the project of settlement through the development of an exclusively Jewish society. It stated that the </w:t>
      </w:r>
      <w:proofErr w:type="spellStart"/>
      <w:r w:rsidRPr="005C5BAA">
        <w:t>Histadrut’s</w:t>
      </w:r>
      <w:proofErr w:type="spellEnd"/>
      <w:r w:rsidRPr="005C5BAA">
        <w:t xml:space="preserve"> goal was to: … unite all the workers and </w:t>
      </w:r>
      <w:proofErr w:type="spellStart"/>
      <w:r w:rsidRPr="005C5BAA">
        <w:t>labourers</w:t>
      </w:r>
      <w:proofErr w:type="spellEnd"/>
      <w:r w:rsidRPr="005C5BAA">
        <w:t xml:space="preserve"> in the country who live by their own </w:t>
      </w:r>
      <w:proofErr w:type="spellStart"/>
      <w:r w:rsidRPr="005C5BAA">
        <w:t>labour</w:t>
      </w:r>
      <w:proofErr w:type="spellEnd"/>
      <w:r w:rsidRPr="005C5BAA">
        <w:t xml:space="preserve"> without exploiting the </w:t>
      </w:r>
      <w:proofErr w:type="spellStart"/>
      <w:r w:rsidRPr="005C5BAA">
        <w:t>labour</w:t>
      </w:r>
      <w:proofErr w:type="spellEnd"/>
      <w:r w:rsidRPr="005C5BAA">
        <w:t xml:space="preserve"> of others, in order to arrange for all settlement, economic and also cultural affairs of all the workers in the country, so as to build a society of Jewish </w:t>
      </w:r>
      <w:proofErr w:type="spellStart"/>
      <w:r w:rsidRPr="005C5BAA">
        <w:t>labour</w:t>
      </w:r>
      <w:proofErr w:type="spellEnd"/>
      <w:r w:rsidRPr="005C5BAA">
        <w:t xml:space="preserve"> in Eretz </w:t>
      </w:r>
      <w:proofErr w:type="spellStart"/>
      <w:r w:rsidRPr="005C5BAA">
        <w:t>Yisra’el</w:t>
      </w:r>
      <w:proofErr w:type="spellEnd"/>
      <w:r w:rsidRPr="005C5BAA">
        <w:t>. (</w:t>
      </w:r>
      <w:proofErr w:type="gramStart"/>
      <w:r w:rsidRPr="005C5BAA">
        <w:t>quoted</w:t>
      </w:r>
      <w:proofErr w:type="gramEnd"/>
      <w:r w:rsidRPr="005C5BAA">
        <w:t xml:space="preserve"> in Lockman 1996:68) The similarity between the logic of this statement and that of the white South African strikers mentioned above is remarkable. This struggle—waged against Palestinian workers and Jewish farmers—led to a partial victory for the </w:t>
      </w:r>
      <w:proofErr w:type="spellStart"/>
      <w:r w:rsidRPr="005C5BAA">
        <w:t>Labour</w:t>
      </w:r>
      <w:proofErr w:type="spellEnd"/>
      <w:r w:rsidRPr="005C5BAA">
        <w:t xml:space="preserve"> Zionist movement (Lockman </w:t>
      </w:r>
      <w:hyperlink r:id="rId14" w:anchor="anti12659-bib-0025" w:history="1">
        <w:r w:rsidRPr="005C5BAA">
          <w:rPr>
            <w:rStyle w:val="Hyperlink"/>
          </w:rPr>
          <w:t>2012</w:t>
        </w:r>
      </w:hyperlink>
      <w:r w:rsidRPr="005C5BAA">
        <w:t xml:space="preserve">). Key industries, such as construction and agriculture, were taken over by </w:t>
      </w:r>
      <w:proofErr w:type="spellStart"/>
      <w:r w:rsidRPr="005C5BAA">
        <w:t>Labour</w:t>
      </w:r>
      <w:proofErr w:type="spellEnd"/>
      <w:r w:rsidRPr="005C5BAA">
        <w:t xml:space="preserve"> Zionist institutions such as Solal </w:t>
      </w:r>
      <w:proofErr w:type="spellStart"/>
      <w:r w:rsidRPr="005C5BAA">
        <w:t>Boneh</w:t>
      </w:r>
      <w:proofErr w:type="spellEnd"/>
      <w:r w:rsidRPr="005C5BAA">
        <w:t xml:space="preserve"> and the Kibbutzim. At the same time, Jewish representation in colonial institutions was increased through collaboration with the British Mandate authorities especially in the context of crushing the Arab Revolt of 1936-1939. The </w:t>
      </w:r>
      <w:proofErr w:type="spellStart"/>
      <w:r w:rsidRPr="005C5BAA">
        <w:t>Labour</w:t>
      </w:r>
      <w:proofErr w:type="spellEnd"/>
      <w:r w:rsidRPr="005C5BAA">
        <w:t xml:space="preserve"> Zionists took over the Yishuv’s political leadership and created a dominant Jewish sector, without however being able to establish a fully segregated one. It did set in motion the logic of separation as well as laying the infrastructure for a Jewish state, which would be made a reality by its militias’ military violence and mass expulsion of Palestinians during the Nakba. This case study shows that the </w:t>
      </w:r>
      <w:proofErr w:type="spellStart"/>
      <w:r w:rsidRPr="005C5BAA">
        <w:t>Labour</w:t>
      </w:r>
      <w:proofErr w:type="spellEnd"/>
      <w:r w:rsidRPr="005C5BAA">
        <w:t xml:space="preserve"> Zionist movement developed on the basis of opposing Jewish farmers as well as Palestinian workers, a political focus that also shaped its key institutions. The campaign for Hebrew </w:t>
      </w:r>
      <w:proofErr w:type="spellStart"/>
      <w:r w:rsidRPr="005C5BAA">
        <w:t>Labour</w:t>
      </w:r>
      <w:proofErr w:type="spellEnd"/>
      <w:r w:rsidRPr="005C5BAA">
        <w:t xml:space="preserve"> also demonstrates that the “elimination of the native” in the settler colonial context is not a given, as in the Wolfe-</w:t>
      </w:r>
      <w:proofErr w:type="gramStart"/>
      <w:r w:rsidRPr="005C5BAA">
        <w:t>an</w:t>
      </w:r>
      <w:proofErr w:type="gramEnd"/>
      <w:r w:rsidRPr="005C5BAA">
        <w:t xml:space="preserve"> framework, but the outcome of a specific set of struggles that pit both the indigenous population against the settlers, as well as different settler classes against one another.</w:t>
      </w:r>
    </w:p>
    <w:p w14:paraId="5EDFF8E2" w14:textId="77777777" w:rsidR="00497B4F" w:rsidRPr="00066F35" w:rsidRDefault="00497B4F" w:rsidP="00497B4F">
      <w:pPr>
        <w:pStyle w:val="Heading4"/>
        <w:rPr>
          <w:rFonts w:cs="Calibri"/>
        </w:rPr>
      </w:pPr>
      <w:r w:rsidRPr="00066F35">
        <w:rPr>
          <w:rFonts w:cs="Calibri"/>
        </w:rPr>
        <w:t>Their performative use of extinction impacts are just rhetorical tropes to divert attention away radical decolonization and reinscribes a settler will to innocence.</w:t>
      </w:r>
    </w:p>
    <w:p w14:paraId="515BF10F" w14:textId="77777777" w:rsidR="00497B4F" w:rsidRPr="00066F35" w:rsidRDefault="00497B4F" w:rsidP="00497B4F">
      <w:pPr>
        <w:rPr>
          <w:rStyle w:val="Style13ptBold"/>
          <w:b w:val="0"/>
          <w:sz w:val="20"/>
          <w:szCs w:val="20"/>
        </w:rPr>
      </w:pPr>
      <w:proofErr w:type="spellStart"/>
      <w:r w:rsidRPr="00066F35">
        <w:rPr>
          <w:rStyle w:val="Style13ptBold"/>
        </w:rPr>
        <w:t>Dalley</w:t>
      </w:r>
      <w:proofErr w:type="spellEnd"/>
      <w:r w:rsidRPr="00066F35">
        <w:rPr>
          <w:rStyle w:val="Style13ptBold"/>
        </w:rPr>
        <w:t xml:space="preserve"> 16 </w:t>
      </w:r>
      <w:r w:rsidRPr="00066F35">
        <w:t xml:space="preserve">Hamish, Professor of Ethnic Studies at Daemen College, “The deaths of settler colonialism: extinction as a metaphor of decolonization in contemporary settler literature”, Settler Colonial Studies, October 4, 2016, </w:t>
      </w:r>
      <w:hyperlink r:id="rId15" w:history="1">
        <w:r w:rsidRPr="00066F35">
          <w:rPr>
            <w:rStyle w:val="Hyperlink"/>
          </w:rPr>
          <w:t>http://dx.doi.org/10.1080/2201473X.2016.1238160</w:t>
        </w:r>
      </w:hyperlink>
      <w:r w:rsidRPr="00066F35">
        <w:t>, July 7, 2017</w:t>
      </w:r>
    </w:p>
    <w:p w14:paraId="4F3BA90F" w14:textId="77777777" w:rsidR="00497B4F" w:rsidRPr="00AE60E9" w:rsidRDefault="00497B4F" w:rsidP="00AE60E9">
      <w:r w:rsidRPr="00AE60E9">
        <w:t xml:space="preserve">Settlers love to contemplate the possibility of their own extinction; to read many contemporary literary representations of settler colonialism is to find settlers strangely satisfied in dreaming of ends that never come. This tendency is widely prevalent in English-language representations of settler colonialism produced since the 1980s: the possibility of an ending – the likelihood that the settler race will one day die out – is a common theme in literary and pop culture considerations of colonialism’s future. Yet it has barely been remarked how surprising it is that this theme is so present. For settlers, of all people, to obsessively ruminate on their own finitude is counterintuitive, for few modern social formations have been more resistant to change than settler colonialism. With a few exceptions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political agency and rights – and they have done so notwithstanding the sustained resistance that has been mounted whenever such an order has been built. Settlers think all the time that they might one day end, even though (perhaps because) that ending seems unlikely ever to happen. The significance of this paradox for settler-colonial literature is the subject of this article. Considering the problem of futurity offers a useful foil to traditional analyses of </w:t>
      </w:r>
      <w:proofErr w:type="spellStart"/>
      <w:r w:rsidRPr="00AE60E9">
        <w:t>settlercolonial</w:t>
      </w:r>
      <w:proofErr w:type="spellEnd"/>
      <w:r w:rsidRPr="00AE60E9">
        <w:t xml:space="preserve"> narrative, which typically examine settlers’ attitudes towards history in order to highlight a constitutive anxiety about the past – about origins. Settler colonialism, the argument goes, has a problem with historical narration that arises from a contradiction in its founding mythology. In Stephen Turner’s formulation, the settler subject is by definition one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AE60E9">
        <w:t>spectre</w:t>
      </w:r>
      <w:proofErr w:type="spellEnd"/>
      <w:r w:rsidRPr="00AE60E9">
        <w:t xml:space="preserve"> of the native, whose existence (which cannot be disavowed completely because it is needed to define the settler’s difference, superiority, and hence claim to the land) inscribes the settler’s foreignness, thus reinstating the gap between settler and colony that the narrative was meant to efface.1 Settler-colonial narrative is thus shaped around its need to erase and evoke the native, to make the indigene both invisible and present in a contradictory pattern that prevents settlers from ever moving on from the moment of colonization.2 As evidence of this constitutive contradiction, critics have identified in settler-colonial discourse symptoms of psychic distress such as disavowal, inversion, and repression.3 Indeed, the frozen temporality of settler-colonial narrative, fixated on the moment of the frontier, recalls nothing so much as Freud’s description of the ‘repetition compulsion’ attending trauma.4 As Lorenzo Veracini puts it, because: ‘settler society’ can thus be seen as a fantasy where a perception of a constant struggle is juxtaposed against an ideal of ‘peace’ that can never be reached, settler projects embrace and reject violence at the same time. The settler colonial situation is thus a circumstance where the tension between contradictory impulses produces long-lasting psychic conflicts and a number of associated psychopathologies.5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settlers do often try to imagine their demise – but they do so in a way that reasserts the paradoxes of their founding ideology, with the result that the radical potentiality of decolonization is undone even as it is invoked. I argue that, notwithstanding Veracini’s analysis, there is a metaphor via which the end of settler colonialism unspools – the quasi-biological concept of extinction, which, when deployed as a narrative trope, offers settlers a chance to consider and disavow their demise, just as they consider and then disavow the violence of their origins. 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AE60E9">
        <w:t>historio</w:t>
      </w:r>
      <w:proofErr w:type="spellEnd"/>
      <w:r w:rsidRPr="00AE60E9">
        <w:t xml:space="preserve">-civilizational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my analysis is intended to draw the attention of settler colonial studies toward futurity and the ambivalence of settler paranoia, while highlighting a potential point of cross-fertilization between settler-colonial and eco-critical approaches to contemporary literature. That ‘extinction’ should be a key word in the settler-colonial lexicon is no surprise. In Patrick Wolfe’s phrase,7 settler colonialism is predicated on a ‘logic of elimination’ that tends towards the extermination – by one means or another – of indigenous peoples.8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 9 that necessitates the extinction of inferior races. What is surprising, though, is how often 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 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inhabitation but his knowledge comes freighted with an expected sense of biological superiority, made apparent by his description of the ‘Bushman’s’ ‘yellow face’, and lack of mental self-awareness. What is not clear is why Waldo’s contemplation of colonial genocide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imminent loss’. 11 The fear of looming annihilation serves a powerful ideological function in settler communities, working to foster racial solidarity, suppress dissent, and legitimate violence against indigenous populations who, by any objective measure, are far more at risk of extermination than the settlers who fear them. Ann </w:t>
      </w:r>
      <w:proofErr w:type="spellStart"/>
      <w:r w:rsidRPr="00AE60E9">
        <w:t>Curthoys</w:t>
      </w:r>
      <w:proofErr w:type="spellEnd"/>
      <w:r w:rsidRPr="00AE60E9">
        <w:t xml:space="preserve"> and Dirk Moses have traced this pattern in Australia and Israel-Palestine, respectively.12 This scholarship suggests that narratives of settler extinction are acts of ideological mystification, obscuring the brutal inequalities of the frontier behind a mask of white vulnerability – an argument with which I sympathize. However, this article shows how there is more to settler-colonial extinction narratives than bad faith. I argue that we need a more nuanced understanding of how they encode a specifically settler-colonial framework for imagining the future, one that has implications for how we understand contemporary literatures from settler societies, and which allows us to see extinction as a genuine, if flawed, attempt to envisage social change. In the remainder of this </w:t>
      </w:r>
      <w:proofErr w:type="gramStart"/>
      <w:r w:rsidRPr="00AE60E9">
        <w:t>paper</w:t>
      </w:r>
      <w:proofErr w:type="gramEnd"/>
      <w:r w:rsidRPr="00AE60E9">
        <w:t xml:space="preserve"> I consider extinction’s function as a metaphor of decolonization. I use this phrase to invoke, without completely endorsing, Tuck and Yang’s argument that to treat decolonization figuratively, as I argue extinction narratives do, is necessarily to preclude radical change, creating opportunities for settler ‘moves to innocence’ that re-legitimate racial inequality.13 The counterview to this pessimistic perspective is offered by Veracini, who suggests that progressive change to settler-colonial relationships will only happen if narratives can be found that make decolonization thinkable.14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AE60E9">
        <w:t>Maddaddam</w:t>
      </w:r>
      <w:proofErr w:type="spellEnd"/>
      <w:r w:rsidRPr="00AE60E9">
        <w:t xml:space="preserve"> trilogy (2003–2013). I advance four specific arguments. First, 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extinction narratives rely on a more or less conscious slippage between ‘the settler’ and ‘the human’. Third, 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w:t>
      </w:r>
      <w:proofErr w:type="spellStart"/>
      <w:r w:rsidRPr="00AE60E9">
        <w:t>asequivalent</w:t>
      </w:r>
      <w:proofErr w:type="spellEnd"/>
      <w:r w:rsidRPr="00AE60E9">
        <w:t xml:space="preserve"> to humanity. Fourth, these ideological effects are mediated by gender, insofar as extinction narratives invoke issues of biological reproduction, community protection, and violence that function to differentiate and reify masculine and feminine roles in the putative de-colonial future. Overall, my central claim is that extinction is a core trope through which settler futurity emerges, one with crucial narrative and ideological effects that shape much of the contemporary literature emerging from white colonial settings.</w:t>
      </w:r>
    </w:p>
    <w:p w14:paraId="3ED191C5" w14:textId="77777777" w:rsidR="00497B4F" w:rsidRDefault="00497B4F" w:rsidP="00497B4F">
      <w:pPr>
        <w:pStyle w:val="Heading4"/>
      </w:pPr>
      <w:proofErr w:type="gramStart"/>
      <w:r>
        <w:t>Thus</w:t>
      </w:r>
      <w:proofErr w:type="gramEnd"/>
      <w:r>
        <w:t xml:space="preserve"> the alternative is generative refusal – a simultaneous affirmation of indigenous sovereignty and a political force to generate action</w:t>
      </w:r>
    </w:p>
    <w:p w14:paraId="08D20CEF" w14:textId="77777777" w:rsidR="00497B4F" w:rsidRPr="009D33A8" w:rsidRDefault="00497B4F" w:rsidP="00497B4F">
      <w:r w:rsidRPr="009D33A8">
        <w:rPr>
          <w:rStyle w:val="Style13ptBold"/>
        </w:rPr>
        <w:t xml:space="preserve">Wrightson 20 </w:t>
      </w:r>
      <w:r w:rsidRPr="009D33A8">
        <w:t>KELSEY R. WRIGHTSON</w:t>
      </w:r>
      <w:r>
        <w:t xml:space="preserve"> </w:t>
      </w:r>
      <w:r w:rsidRPr="0086287D">
        <w:t>PhD in Political Science at the University of British Columbia</w:t>
      </w:r>
      <w:r>
        <w:t xml:space="preserve">, </w:t>
      </w:r>
      <w:proofErr w:type="gramStart"/>
      <w:r w:rsidRPr="0086287D">
        <w:t>She</w:t>
      </w:r>
      <w:proofErr w:type="gramEnd"/>
      <w:r w:rsidRPr="0086287D">
        <w:t xml:space="preserve"> is continuing to research Indigenous peoples' arts and practices of sovereignty.</w:t>
      </w:r>
      <w:r w:rsidRPr="009D33A8">
        <w:t xml:space="preserve"> </w:t>
      </w:r>
      <w:r>
        <w:t xml:space="preserve">November 2 2020“Generative Refusal: Creative Practice and Relational Indigenous Sovereignty” </w:t>
      </w:r>
      <w:hyperlink r:id="rId16" w:history="1">
        <w:r w:rsidRPr="00394BEA">
          <w:rPr>
            <w:rStyle w:val="Hyperlink"/>
          </w:rPr>
          <w:t>https://www.exeley.com/borderlands/pdf/10.21307/borderlands-2020-013</w:t>
        </w:r>
      </w:hyperlink>
      <w:r>
        <w:t xml:space="preserve"> AX</w:t>
      </w:r>
    </w:p>
    <w:p w14:paraId="7D46E28B" w14:textId="77777777" w:rsidR="00497B4F" w:rsidRPr="00626A7F" w:rsidRDefault="00497B4F" w:rsidP="00626A7F">
      <w:r w:rsidRPr="00626A7F">
        <w:t xml:space="preserve">In Dancing on our Turtle’s Back, Leanne </w:t>
      </w:r>
      <w:proofErr w:type="spellStart"/>
      <w:r w:rsidRPr="00626A7F">
        <w:t>Betasamosake</w:t>
      </w:r>
      <w:proofErr w:type="spellEnd"/>
      <w:r w:rsidRPr="00626A7F">
        <w:t xml:space="preserve"> Simpson (2011, p. 32) pushes back against understanding Indigenous resistance as ‘antagonism’ but instead the desire to move towards resurgent new forms. She says ‘I have spent enough time taking down the master’s house, and now I want most of my energy to go into visioning and building our new house’. From this moment of refusal, resistance then is both generative and imaginative, visioning and building rather than dismantling. In </w:t>
      </w:r>
      <w:proofErr w:type="spellStart"/>
      <w:proofErr w:type="gramStart"/>
      <w:r w:rsidRPr="00626A7F">
        <w:t>Stó:Lō</w:t>
      </w:r>
      <w:proofErr w:type="spellEnd"/>
      <w:proofErr w:type="gramEnd"/>
      <w:r w:rsidRPr="00626A7F">
        <w:t xml:space="preserve">, scholar Dylan Robinson’s analysis of Indigenous soundscapes, he argues that critical sovereign listening ‘understands that in entering Indigenous sound territories as guests, we will be unable to hear Indigenous sovereignty, at the same time that Indigenous peoples affirm sovereignty of their lands through the felt history of song’ (Robinson, 2020, p. 53). This is a vital decoupling of the practice of Indigenous sovereignty from the perceptions of those subject to Indigenous sovereignty as guests or settlers on sovereign territories. Robinson states that ‘sovereign speech does not necessarily provoke specific forms of sovereign listening … by decoupling the deterministic relationship between sovereign object and reception, we can gain a more nuanced understanding of Indigenous and settler forms of sensory experience’ (Robinson, 2020, p. 63). Decoupling acts from reception offers the space for understanding Indigenous sovereignty as deeply relational, but not requiring recognition. Audra Simpson argues, ‘just because the settler state cannot hear or comprehend the articulations of Indigenous sovereignty, does not mean that they are not happening’ (A Simpson, 2000, p. 114). Indigenous practices of sovereignty need not be recognized and affirmed by the settler state in its juridical or normative forms to nevertheless be a manifestation of Indigenous sovereignty. Robinson describes the colonial practice of ‘hungry listening’, or listening for settler consumption. In resistance, sovereign practices of listening refuse that ear, sometimes through spatializing sovereignty to create ‘irreconcilable spaces’ that ‘unwelcome non-Indigenous desire’ (Robinson, 2020, p. 236). Audra Simpson describes ‘refusal’ as ‘a political and ethical stance that stands in stark contrast to the desire to have one’s distinctiveness as a culture, as a people, recognized. Refusal comes with the requirement of having one’s political sovereignty acknowledged and upheld, and raises the question of legitimacy for those who are usually in the position of recognizing’ (Simpson, 2014, p. 11). Simpson identifies here the dual nature of a politics of refusal, simultaneously enacting a new reality while offering a critique of the assumed sovereignty of the settler colonial state. In turning away, the practice of refusal is the ‘imagination of the political under conditions of falsehood’ (Simpson, 2017, p. 2), and simultaneously enacts a critique of the state, and generative of Indigenous sovereignty as otherwise. Decoupling sovereign actions from the perception and reception of those actions as sovereign challenges the assumed settler authority to recognize what and whom can be sovereign, again opening the space to answer </w:t>
      </w:r>
      <w:proofErr w:type="spellStart"/>
      <w:r w:rsidRPr="00626A7F">
        <w:t>Starblanket</w:t>
      </w:r>
      <w:proofErr w:type="spellEnd"/>
      <w:r w:rsidRPr="00626A7F">
        <w:t xml:space="preserve"> and Stark’s call for governance as the business of all living things. Through the acts of doing, the relations these actions generate with the land and with others, this work becomes sovereign enactment in itself, refusing the authority of the state to authorize in </w:t>
      </w:r>
      <w:proofErr w:type="spellStart"/>
      <w:r w:rsidRPr="00626A7F">
        <w:t>favour</w:t>
      </w:r>
      <w:proofErr w:type="spellEnd"/>
      <w:r w:rsidRPr="00626A7F">
        <w:t xml:space="preserve"> of generating or creating something else. Embedding refusal within a relational analytic through his analysis of sensory sovereignty, by decoupling sovereign actions from sovereign perceptions, Robinson makes a vital interjection into understanding Indigenous sovereignty as both contemporary </w:t>
      </w:r>
      <w:proofErr w:type="gramStart"/>
      <w:r w:rsidRPr="00626A7F">
        <w:t>practice</w:t>
      </w:r>
      <w:proofErr w:type="gramEnd"/>
      <w:r w:rsidRPr="00626A7F">
        <w:t xml:space="preserve">, but also within a larger historic context. Despite the ongoing settler colonial violence and dispossession, Indigenous sovereign acts continue, no matter the perception or recognition. These relational forms invite, but do not require, recognition. In these moments of refusal ‘this is political life that, in its insistence on certain things—such as nationhood and sovereignty—fundamentally interrupts and casts into question the story that settler states </w:t>
      </w:r>
      <w:proofErr w:type="gramStart"/>
      <w:r w:rsidRPr="00626A7F">
        <w:t>tell</w:t>
      </w:r>
      <w:proofErr w:type="gramEnd"/>
      <w:r w:rsidRPr="00626A7F">
        <w:t xml:space="preserve"> about themselves’ (A Simpson, 2014, p. 177). While secondary to the generative and creative relations that Indigenous sovereignty produce, this refusal, and the moments of distribution concomitantly enact a critique. Detangling the generative relations of sovereignty from a disruptive critique of the settler colonial state allows both acts to exist simultaneously, without capitulating to the authority of colonial recognition. Rather than demanding engagement from Indigenous forms and relations of sovereignty, refusal, or this generative no, takes critique into a realm that is responsive to, but not </w:t>
      </w:r>
      <w:proofErr w:type="spellStart"/>
      <w:r w:rsidRPr="00626A7F">
        <w:t>dependant</w:t>
      </w:r>
      <w:proofErr w:type="spellEnd"/>
      <w:r w:rsidRPr="00626A7F">
        <w:t xml:space="preserve"> on, the engagement of Indigenous nations. This critique offers an opportunity for settler colonial relations to take up the generative refusal as a call to action. Taking seriously the assertion of </w:t>
      </w:r>
      <w:proofErr w:type="spellStart"/>
      <w:r w:rsidRPr="00626A7F">
        <w:t>Starblanket</w:t>
      </w:r>
      <w:proofErr w:type="spellEnd"/>
      <w:r w:rsidRPr="00626A7F">
        <w:t xml:space="preserve"> and Stark that governance is the business of all living things, this calls for non-Indigenous subjects and subjectivities to constitute themselves as refusable. As a response to Audra Simpson’s call for refusal as consents revenge, to be refusable is not just imagining the possibilities of a world created through that generative ‘no’ but inviting it. It starts from acknowledging ‘the trickery of consent’ (A Simpson, 2016, p. 3), and affirming that these ongoing structures, events and experiences of settler colonial violence were not consented to, are not consented to. Moreover, it affirms that recognition, and the assumption of the consent to be recognized, is not the starting point of ethical relations. To be refusable is to invite action. To be refusable does not require being refused, but it does mark a moment of constituting oneself as acknowledging and understanding the diverse sovereignties of Indigenous nations and that to be refused is always a possibility and sometimes a necessity.</w:t>
      </w:r>
    </w:p>
    <w:p w14:paraId="236DF7C4" w14:textId="77777777" w:rsidR="00497B4F" w:rsidRDefault="00497B4F" w:rsidP="00497B4F">
      <w:pPr>
        <w:pStyle w:val="Heading4"/>
      </w:pPr>
      <w:r w:rsidRPr="00EB4580">
        <w:t>The Role of the Ballot is to vote for the debater who best challenges settler colonialism</w:t>
      </w:r>
      <w:r>
        <w:t xml:space="preserve"> – fiat is illusory, no policy is being implemented out of round – the only material impact is affecting our subjectivity. Speech acts are a necessary step in the destabilization of the settler subject</w:t>
      </w:r>
    </w:p>
    <w:p w14:paraId="4CC6EB0D" w14:textId="77777777" w:rsidR="00497B4F" w:rsidRPr="00422863" w:rsidRDefault="00497B4F" w:rsidP="00497B4F">
      <w:pPr>
        <w:rPr>
          <w:b/>
          <w:bCs/>
          <w:sz w:val="26"/>
        </w:rPr>
      </w:pPr>
      <w:r w:rsidRPr="00066F35">
        <w:rPr>
          <w:rStyle w:val="Style13ptBold"/>
        </w:rPr>
        <w:t xml:space="preserve">Henderson 17 </w:t>
      </w:r>
      <w:r w:rsidRPr="00066F35">
        <w:t xml:space="preserve">(Phil currently holds a Bachelor’s (Hons.) in Political Science from the University of Western Ontario and a Master’s Degree in Political Science from the University of Victoria, with a specialization in Cultural, Social and Political thought, </w:t>
      </w:r>
      <w:proofErr w:type="spellStart"/>
      <w:r w:rsidRPr="00066F35">
        <w:t>Imagoed</w:t>
      </w:r>
      <w:proofErr w:type="spellEnd"/>
      <w:r w:rsidRPr="00066F35">
        <w:t xml:space="preserve"> communities: the psychosocial space of settler colonialism, Settler Colonial Studies Vol 7 No 1, 2017) MN</w:t>
      </w:r>
    </w:p>
    <w:p w14:paraId="06342B31" w14:textId="77777777" w:rsidR="00497B4F" w:rsidRPr="005C0936" w:rsidRDefault="00497B4F" w:rsidP="005C0936">
      <w:proofErr w:type="spellStart"/>
      <w:r w:rsidRPr="005C0936">
        <w:t>Goeman</w:t>
      </w:r>
      <w:proofErr w:type="spellEnd"/>
      <w:r w:rsidRPr="005C0936">
        <w:t xml:space="preserve"> writes as an explicit challenge to other indigenous peoples, but this holds true to settler-allies as well, that decolonization must include an analysis of the dominant ‘self-disciplining colonial subject’.73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within settler subjects this can be expressed as an irrational anxiety that expresses itself whenever a settler is confronted with the facts regarding their colonizing status. Under conditions of total subjectification, such charges ought to be unintelligible to the settler. Thus, the process of subject formation is always in slippage and never totalized as others might suggest.75 Because of this precarity, the settler subject is prone to violence and lashing out; but the subject in slippage also provides an avenue by which the process of settler colonialism can be subverted – creating cracks in a phantasmatic wholeness which can be opened wider. Breakages of this sort offer an opportunity to pursue what Paulette Regan calls a ‘</w:t>
      </w:r>
      <w:proofErr w:type="spellStart"/>
      <w:r w:rsidRPr="005C0936">
        <w:t>restorying</w:t>
      </w:r>
      <w:proofErr w:type="spellEnd"/>
      <w:r w:rsidRPr="005C0936">
        <w:t xml:space="preserve">’ of settler colonial history and culture, to decenter settler mythologies built upon and within the dispossession of indigenous peoples.76 The cultivation of these cracks is a necessary part of decolonizing work, as it continues to panic and thus to destabilize settler subjects. Resistance to settler colonialism does not occur only in highly visible moments like the famous conflict at </w:t>
      </w:r>
      <w:proofErr w:type="spellStart"/>
      <w:r w:rsidRPr="005C0936">
        <w:t>Kanesatake</w:t>
      </w:r>
      <w:proofErr w:type="spellEnd"/>
      <w:r w:rsidRPr="005C0936">
        <w:t xml:space="preserve"> and Kahnawake,77 it also occurs in reiterative and disruptive practices, presences, and speech acts. </w:t>
      </w:r>
      <w:proofErr w:type="spellStart"/>
      <w:r w:rsidRPr="005C0936">
        <w:t>Goeman</w:t>
      </w:r>
      <w:proofErr w:type="spellEnd"/>
      <w:r w:rsidRPr="005C0936">
        <w:t xml:space="preserve"> correctly observes that the ‘repetitive practices of everyday life’ are what give settler spaces their meaning, as they provide a degree of naturalness to the settler imago and its psychic investments.78 As such, to disrupt the ease of these repetitions is at once to striate radically the otherwise smooth spaces of settler colonialism and also to disrupt the easy (re)production of the settler subject. </w:t>
      </w:r>
      <w:proofErr w:type="spellStart"/>
      <w:r w:rsidRPr="005C0936">
        <w:t>Goeman</w:t>
      </w:r>
      <w:proofErr w:type="spellEnd"/>
      <w:r w:rsidRPr="005C0936">
        <w:t xml:space="preserve"> calls these subversive acts the ‘micro-politics of resistance', which historically took the form of ‘moving fences, not cooperating with census enumerators, sometimes disrupting survey parties’ amongst other process.79 These acts panic the subject that is disciplined as a product of settler colonial power, by forcing encounters with the sovereign indigenous peoples that were imagined to be gone. This reveals to the settler, if only fleetingly, the violence that founds and sustains the settler colonial relationship. While such practices may not overthrow the settler colonial system, they do subvert its logics by insistently drawing attention to the ongoing presence of indigenous peoples who refuse erasure.</w:t>
      </w:r>
    </w:p>
    <w:p w14:paraId="1A69A5A2" w14:textId="77777777" w:rsidR="00497B4F" w:rsidRPr="006A61A1" w:rsidRDefault="00497B4F" w:rsidP="00497B4F"/>
    <w:p w14:paraId="6203FF7B" w14:textId="77777777" w:rsidR="00497B4F" w:rsidRDefault="00497B4F" w:rsidP="00497B4F">
      <w:pPr>
        <w:pStyle w:val="Heading2"/>
      </w:pPr>
      <w:r>
        <w:t>3</w:t>
      </w:r>
    </w:p>
    <w:p w14:paraId="4E6D0466" w14:textId="77777777" w:rsidR="00497B4F" w:rsidRDefault="00497B4F" w:rsidP="00497B4F">
      <w:pPr>
        <w:pStyle w:val="Heading4"/>
      </w:pPr>
      <w:r>
        <w:t>Interpretation: Affirmatives must specify and cite an indigenous solvency advocate in the 1ac and indicate which card is an indigenous author in CX</w:t>
      </w:r>
    </w:p>
    <w:p w14:paraId="474E9A6A" w14:textId="77777777" w:rsidR="00497B4F" w:rsidRDefault="00497B4F" w:rsidP="00497B4F">
      <w:pPr>
        <w:pStyle w:val="Heading4"/>
      </w:pPr>
      <w:r>
        <w:t xml:space="preserve">Violation: </w:t>
      </w:r>
    </w:p>
    <w:p w14:paraId="2D86BAC9" w14:textId="77777777" w:rsidR="00497B4F" w:rsidRDefault="00497B4F" w:rsidP="00497B4F">
      <w:pPr>
        <w:pStyle w:val="Heading4"/>
      </w:pPr>
      <w:r>
        <w:t>Standards:</w:t>
      </w:r>
    </w:p>
    <w:p w14:paraId="24B8888A" w14:textId="77777777" w:rsidR="00497B4F" w:rsidRDefault="00497B4F" w:rsidP="00497B4F">
      <w:pPr>
        <w:pStyle w:val="Heading4"/>
        <w:numPr>
          <w:ilvl w:val="0"/>
          <w:numId w:val="1"/>
        </w:numPr>
        <w:tabs>
          <w:tab w:val="num" w:pos="360"/>
        </w:tabs>
        <w:ind w:left="360"/>
      </w:pPr>
      <w:r>
        <w:t>In round violence</w:t>
      </w:r>
    </w:p>
    <w:p w14:paraId="565ACF9A" w14:textId="77777777" w:rsidR="00497B4F" w:rsidRPr="00604FDF" w:rsidRDefault="00497B4F" w:rsidP="00497B4F">
      <w:pPr>
        <w:pStyle w:val="Heading4"/>
      </w:pPr>
      <w:r>
        <w:t xml:space="preserve">Centering and citing indigenous authors </w:t>
      </w:r>
      <w:proofErr w:type="gramStart"/>
      <w:r>
        <w:t>is</w:t>
      </w:r>
      <w:proofErr w:type="gramEnd"/>
      <w:r>
        <w:t xml:space="preserve"> key to disrupt the culture of forgetting that devalues the culture and identity of indigenous people.</w:t>
      </w:r>
    </w:p>
    <w:p w14:paraId="74DB2CFF" w14:textId="77777777" w:rsidR="00497B4F" w:rsidRPr="00010532" w:rsidRDefault="00497B4F" w:rsidP="00497B4F">
      <w:r w:rsidRPr="002A4551">
        <w:rPr>
          <w:rStyle w:val="Style13ptBold"/>
        </w:rPr>
        <w:t>Torres 19</w:t>
      </w:r>
      <w:r w:rsidRPr="002A4551">
        <w:t xml:space="preserve"> [Born and raised on the unceded ancestral lands of the </w:t>
      </w:r>
      <w:proofErr w:type="spellStart"/>
      <w:r w:rsidRPr="002A4551">
        <w:t>Tongva</w:t>
      </w:r>
      <w:proofErr w:type="spellEnd"/>
      <w:r w:rsidRPr="002A4551">
        <w:t xml:space="preserve"> peoples, Dr. Samuel Torres comes to the National Native American Boarding School Healing to promote the reconnection and reclamation of indigenous ancestral wisdoms. As a bicultural human being, Dr. Torres is a descendant of the Mexica/Nahua people from the lands we now know as Mexico. In addition to actively learning and practicing Nahua language and traditions, he practices Danza Azteca and is a member of </w:t>
      </w:r>
      <w:proofErr w:type="spellStart"/>
      <w:r w:rsidRPr="002A4551">
        <w:t>Kalpulli</w:t>
      </w:r>
      <w:proofErr w:type="spellEnd"/>
      <w:r w:rsidRPr="002A4551">
        <w:t xml:space="preserve"> </w:t>
      </w:r>
      <w:proofErr w:type="spellStart"/>
      <w:r w:rsidRPr="002A4551">
        <w:t>Yaocenoxtli</w:t>
      </w:r>
      <w:proofErr w:type="spellEnd"/>
      <w:r w:rsidRPr="002A4551">
        <w:t xml:space="preserve">, “Beyond Colonizing </w:t>
      </w:r>
      <w:proofErr w:type="spellStart"/>
      <w:r w:rsidRPr="002A4551">
        <w:t>Epistemicides</w:t>
      </w:r>
      <w:proofErr w:type="spellEnd"/>
      <w:r w:rsidRPr="002A4551">
        <w:t>: Toward a Decolonizing Framework for Indigenous Education” https://digitalcommons.lmu.edu/cgi/viewcontent.cgi?article=1896&amp;context=etd</w:t>
      </w:r>
    </w:p>
    <w:p w14:paraId="175A1B9D" w14:textId="77777777" w:rsidR="00497B4F" w:rsidRPr="00497B4F" w:rsidRDefault="00497B4F" w:rsidP="00497B4F">
      <w:r w:rsidRPr="00497B4F">
        <w:t xml:space="preserve">Revealing the delicate vulnerability that Indigenous peoples persistently face, </w:t>
      </w:r>
      <w:proofErr w:type="spellStart"/>
      <w:r w:rsidRPr="00497B4F">
        <w:t>Darder</w:t>
      </w:r>
      <w:proofErr w:type="spellEnd"/>
      <w:r w:rsidRPr="00497B4F">
        <w:t xml:space="preserve"> (2019) has urgently asserted, “if we do not define our existence, there will be those who have no hesitation defining it for us” (p. 8). Historically, we have seen such a violent authorization of epistemic formations of exclusion linked to a politics of coloniality (Quijano, 2000), where the control of knowledge and voice is either legitimated or </w:t>
      </w:r>
      <w:proofErr w:type="spellStart"/>
      <w:r w:rsidRPr="00497B4F">
        <w:t>invisibilized</w:t>
      </w:r>
      <w:proofErr w:type="spellEnd"/>
      <w:r w:rsidRPr="00497B4F">
        <w:t>, as dictated by Western hegemony. This epistemological region that Santos (2007) has called the abyssal divide reinforces and cultivates a culture of forgetting (</w:t>
      </w:r>
      <w:proofErr w:type="spellStart"/>
      <w:r w:rsidRPr="00497B4F">
        <w:t>Darder</w:t>
      </w:r>
      <w:proofErr w:type="spellEnd"/>
      <w:r w:rsidRPr="00497B4F">
        <w:t>, 2014a) whereby the coercive expectation to uncritically adopt hegemonic values and reject our own culture and identity is forcefully imposed. The politics of the subaltern voice emerges then, a product of “the tenacious and tireless navigation through the forces of silence and isolation” (</w:t>
      </w:r>
      <w:proofErr w:type="spellStart"/>
      <w:r w:rsidRPr="00497B4F">
        <w:t>Darder</w:t>
      </w:r>
      <w:proofErr w:type="spellEnd"/>
      <w:r w:rsidRPr="00497B4F">
        <w:t xml:space="preserve">, 2019, p. 8), forged in courageous determination and empowered to counter the deliberate distortions of Eurocentric representations of historical, social, and political identities imposed upon </w:t>
      </w:r>
      <w:proofErr w:type="gramStart"/>
      <w:r w:rsidRPr="00497B4F">
        <w:t xml:space="preserve">Ind  </w:t>
      </w:r>
      <w:proofErr w:type="spellStart"/>
      <w:r w:rsidRPr="00497B4F">
        <w:t>igenous</w:t>
      </w:r>
      <w:proofErr w:type="spellEnd"/>
      <w:proofErr w:type="gramEnd"/>
      <w:r w:rsidRPr="00497B4F">
        <w:t xml:space="preserve"> and other subaltern populations. Furthermore, a decolonizing interpretive framework openly endeavors to expose how the colonial matrix of power (</w:t>
      </w:r>
      <w:proofErr w:type="spellStart"/>
      <w:r w:rsidRPr="00497B4F">
        <w:t>Tlostanova</w:t>
      </w:r>
      <w:proofErr w:type="spellEnd"/>
      <w:r w:rsidRPr="00497B4F">
        <w:t xml:space="preserve"> &amp; </w:t>
      </w:r>
      <w:proofErr w:type="spellStart"/>
      <w:r w:rsidRPr="00497B4F">
        <w:t>Mignolo</w:t>
      </w:r>
      <w:proofErr w:type="spellEnd"/>
      <w:r w:rsidRPr="00497B4F">
        <w:t>, 2009)—linking economic control, control of authority, control of the public sphere, and ideological control (of knowledge)—continues to wage its colonizing expectations long after the formal structures of the colonial politics of invasion have ceased. Engaging in such contestations not only works to disrupt the mandates of hegemonic control and power, but also opens the possibility for centering the politics of the subaltern voice within the “authority of lived experience” (hooks, 1994). Such decolonizing perspectives rooted in lived experiences and non-dominant epistemologies are central to engaging in the contention, deconstruction, and reformulation of hegemonic theories and practices within Indigenous schools and communities (</w:t>
      </w:r>
      <w:proofErr w:type="spellStart"/>
      <w:r w:rsidRPr="00497B4F">
        <w:t>Darder</w:t>
      </w:r>
      <w:proofErr w:type="spellEnd"/>
      <w:r w:rsidRPr="00497B4F">
        <w:t xml:space="preserve">, 2019). Hernandez (2019) has shown that the awakening of the subaltern voice is intimately tied to the unveiling of the colonizing roots of the phenomena in which we live and study in order to establish a continuity and seedbed for traditional knowledges to prevail and flourish. This entails engaging the role of dissident, deliberately willing to disobey and courageously confront the normalization of colonizing and </w:t>
      </w:r>
      <w:proofErr w:type="spellStart"/>
      <w:r w:rsidRPr="00497B4F">
        <w:t>epistemicidal</w:t>
      </w:r>
      <w:proofErr w:type="spellEnd"/>
      <w:r w:rsidRPr="00497B4F">
        <w:t xml:space="preserve"> discourses. The nature of this resistance work is well known to Indigenous peoples and is highlighted by what Gerald </w:t>
      </w:r>
      <w:proofErr w:type="spellStart"/>
      <w:r w:rsidRPr="00497B4F">
        <w:t>Vizenor</w:t>
      </w:r>
      <w:proofErr w:type="spellEnd"/>
      <w:r w:rsidRPr="00497B4F">
        <w:t xml:space="preserve"> (1998) called survivance—that state of being that is “more than survival, more than endurance, or mere response [to colonization]; the stories of survivance are an active presence . . . an active repudiation of dominance, tragedy, and </w:t>
      </w:r>
      <w:proofErr w:type="spellStart"/>
      <w:r w:rsidRPr="00497B4F">
        <w:t>victimry</w:t>
      </w:r>
      <w:proofErr w:type="spellEnd"/>
      <w:r w:rsidRPr="00497B4F">
        <w:t>” (p. 15).</w:t>
      </w:r>
    </w:p>
    <w:p w14:paraId="76E21BF1" w14:textId="77777777" w:rsidR="00497B4F" w:rsidRPr="00342939" w:rsidRDefault="00497B4F" w:rsidP="00497B4F">
      <w:pPr>
        <w:pStyle w:val="Heading4"/>
        <w:numPr>
          <w:ilvl w:val="0"/>
          <w:numId w:val="1"/>
        </w:numPr>
        <w:tabs>
          <w:tab w:val="num" w:pos="360"/>
        </w:tabs>
        <w:ind w:left="360"/>
      </w:pPr>
      <w:r>
        <w:t>Methods of resistance</w:t>
      </w:r>
    </w:p>
    <w:p w14:paraId="5B56D872" w14:textId="77777777" w:rsidR="00497B4F" w:rsidRDefault="00497B4F" w:rsidP="00497B4F">
      <w:pPr>
        <w:pStyle w:val="Heading4"/>
      </w:pPr>
      <w:r>
        <w:t>Narratives and epistemology are based on a grammar of exclusion that is inevitable without the inclusion of indigenous voices. Only through centering discussions of pedagogy and philosophy in educational spaces around indigenous authors can we disrupt Eurocentric representations and engage in anti-colonial resistance outside of the debate space</w:t>
      </w:r>
    </w:p>
    <w:p w14:paraId="2DBA7CD5" w14:textId="77777777" w:rsidR="00497B4F" w:rsidRDefault="00497B4F" w:rsidP="00497B4F"/>
    <w:p w14:paraId="6653D50A" w14:textId="77777777" w:rsidR="00497B4F" w:rsidRDefault="00497B4F" w:rsidP="00497B4F">
      <w:pPr>
        <w:pStyle w:val="Heading4"/>
      </w:pPr>
      <w:r>
        <w:t xml:space="preserve">Vote neg - </w:t>
      </w:r>
    </w:p>
    <w:p w14:paraId="3920BC6C" w14:textId="77777777" w:rsidR="00497B4F" w:rsidRDefault="00497B4F" w:rsidP="00497B4F">
      <w:pPr>
        <w:pStyle w:val="Heading4"/>
      </w:pPr>
      <w:r w:rsidRPr="000E0815">
        <w:t xml:space="preserve">Epistemology-Our practices of citation are uniquely </w:t>
      </w:r>
      <w:r>
        <w:t>key</w:t>
      </w:r>
      <w:r w:rsidRPr="000E0815">
        <w:t xml:space="preserve"> in debate. The emphasis on carded evidence means that who we cite circulates and effects who is read. </w:t>
      </w:r>
      <w:r>
        <w:t xml:space="preserve">Settler futurity </w:t>
      </w:r>
      <w:r w:rsidRPr="000E0815">
        <w:t xml:space="preserve">in our scholarly production must be stopped. </w:t>
      </w:r>
      <w:proofErr w:type="spellStart"/>
      <w:r>
        <w:t>Ows</w:t>
      </w:r>
      <w:proofErr w:type="spellEnd"/>
      <w:r>
        <w:t xml:space="preserve"> because </w:t>
      </w:r>
      <w:proofErr w:type="spellStart"/>
      <w:r>
        <w:t>its</w:t>
      </w:r>
      <w:proofErr w:type="spellEnd"/>
      <w:r w:rsidRPr="000E0815">
        <w:t xml:space="preserve"> a material impact on the education and voices that circulate in and beyond the community.</w:t>
      </w:r>
    </w:p>
    <w:p w14:paraId="37E94244" w14:textId="77777777" w:rsidR="00497B4F" w:rsidRPr="00094226" w:rsidRDefault="00497B4F" w:rsidP="00497B4F"/>
    <w:p w14:paraId="0AA00C0A" w14:textId="77777777" w:rsidR="00497B4F" w:rsidRDefault="00497B4F" w:rsidP="00497B4F">
      <w:pPr>
        <w:pStyle w:val="Heading4"/>
      </w:pPr>
      <w:r>
        <w:t>Cross app voters from the 1</w:t>
      </w:r>
      <w:r w:rsidRPr="00323EEA">
        <w:rPr>
          <w:vertAlign w:val="superscript"/>
        </w:rPr>
        <w:t>st</w:t>
      </w:r>
      <w:r>
        <w:t xml:space="preserve"> </w:t>
      </w:r>
      <w:proofErr w:type="spellStart"/>
      <w:r>
        <w:t>offz</w:t>
      </w:r>
      <w:proofErr w:type="spellEnd"/>
    </w:p>
    <w:p w14:paraId="38FA8D3C" w14:textId="77777777" w:rsidR="00497B4F" w:rsidRPr="003E316F" w:rsidRDefault="00497B4F" w:rsidP="00497B4F"/>
    <w:p w14:paraId="4A075EE3" w14:textId="77777777" w:rsidR="00497B4F" w:rsidRPr="00893EB6" w:rsidRDefault="00497B4F" w:rsidP="00497B4F"/>
    <w:p w14:paraId="17D00A60" w14:textId="77777777" w:rsidR="00497B4F" w:rsidRPr="0099233E" w:rsidRDefault="00497B4F" w:rsidP="00497B4F"/>
    <w:p w14:paraId="232ACB89" w14:textId="77777777" w:rsidR="00DB78F4" w:rsidRDefault="00DB78F4"/>
    <w:sectPr w:rsidR="00DB7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000671"/>
    <w:multiLevelType w:val="hybridMultilevel"/>
    <w:tmpl w:val="CB5E88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35474C"/>
    <w:multiLevelType w:val="hybridMultilevel"/>
    <w:tmpl w:val="D83289C6"/>
    <w:lvl w:ilvl="0" w:tplc="0226C9B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A71F91"/>
    <w:multiLevelType w:val="hybridMultilevel"/>
    <w:tmpl w:val="D6CE3B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874B8A"/>
    <w:multiLevelType w:val="hybridMultilevel"/>
    <w:tmpl w:val="97B8E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0005AF"/>
    <w:multiLevelType w:val="hybridMultilevel"/>
    <w:tmpl w:val="3B44EAEC"/>
    <w:lvl w:ilvl="0" w:tplc="F82415D6">
      <w:start w:val="1"/>
      <w:numFmt w:val="decimal"/>
      <w:lvlText w:val="%1)"/>
      <w:lvlJc w:val="left"/>
      <w:pPr>
        <w:ind w:left="720" w:hanging="360"/>
      </w:pPr>
      <w:rPr>
        <w:rFonts w:ascii="Calibri" w:eastAsiaTheme="minorHAnsi" w:hAnsi="Calibr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0"/>
  </w:num>
  <w:num w:numId="3">
    <w:abstractNumId w:val="14"/>
  </w:num>
  <w:num w:numId="4">
    <w:abstractNumId w:val="11"/>
  </w:num>
  <w:num w:numId="5">
    <w:abstractNumId w:val="1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5561A5"/>
    <w:rsid w:val="00497B4F"/>
    <w:rsid w:val="005561A5"/>
    <w:rsid w:val="005C0936"/>
    <w:rsid w:val="005C5BAA"/>
    <w:rsid w:val="00626A7F"/>
    <w:rsid w:val="00AE60E9"/>
    <w:rsid w:val="00DB78F4"/>
    <w:rsid w:val="00E028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2E062"/>
  <w15:chartTrackingRefBased/>
  <w15:docId w15:val="{8AE41412-790C-41A0-8107-567C5FEC8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7B4F"/>
    <w:rPr>
      <w:rFonts w:ascii="Calibri" w:eastAsiaTheme="minorHAnsi" w:hAnsi="Calibri"/>
      <w:lang w:eastAsia="en-US"/>
    </w:rPr>
  </w:style>
  <w:style w:type="paragraph" w:styleId="Heading1">
    <w:name w:val="heading 1"/>
    <w:aliases w:val="Pocket"/>
    <w:basedOn w:val="Normal"/>
    <w:next w:val="Normal"/>
    <w:link w:val="Heading1Char"/>
    <w:qFormat/>
    <w:rsid w:val="00497B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7B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97B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Ch,No Spacing211,No Spacing12,no read,No Spacing2111,No Spacing4,No Spacing11111,No Spacing5,No Spacing21,tags,No Spacing1111,tag,ta,Ch1,T, Ch,Ta"/>
    <w:basedOn w:val="Normal"/>
    <w:next w:val="Normal"/>
    <w:link w:val="Heading4Char"/>
    <w:uiPriority w:val="3"/>
    <w:unhideWhenUsed/>
    <w:qFormat/>
    <w:rsid w:val="00497B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97B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7B4F"/>
  </w:style>
  <w:style w:type="character" w:customStyle="1" w:styleId="Heading1Char">
    <w:name w:val="Heading 1 Char"/>
    <w:aliases w:val="Pocket Char"/>
    <w:basedOn w:val="DefaultParagraphFont"/>
    <w:link w:val="Heading1"/>
    <w:rsid w:val="00497B4F"/>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497B4F"/>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497B4F"/>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body Char,small text Char,heading 2 Char,Heading 2 Char2 Char Char,Heading 2 Char1 Char Char Char,Ch Char,No Spacing211 Char,No Spacing12 Char,no read Char,No Spacing2111 Char,No Spacing4 Char,T Char"/>
    <w:basedOn w:val="DefaultParagraphFont"/>
    <w:link w:val="Heading4"/>
    <w:uiPriority w:val="3"/>
    <w:rsid w:val="00497B4F"/>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s"/>
    <w:basedOn w:val="DefaultParagraphFont"/>
    <w:link w:val="textbold"/>
    <w:uiPriority w:val="7"/>
    <w:qFormat/>
    <w:rsid w:val="00497B4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97B4F"/>
    <w:rPr>
      <w:b/>
      <w:bCs/>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497B4F"/>
    <w:rPr>
      <w:b w:val="0"/>
      <w:sz w:val="22"/>
      <w:u w:val="singl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uiPriority w:val="99"/>
    <w:unhideWhenUsed/>
    <w:rsid w:val="00497B4F"/>
    <w:rPr>
      <w:color w:val="auto"/>
      <w:u w:val="none"/>
    </w:rPr>
  </w:style>
  <w:style w:type="paragraph" w:styleId="ListParagraph">
    <w:name w:val="List Paragraph"/>
    <w:aliases w:val="6 font"/>
    <w:basedOn w:val="Normal"/>
    <w:uiPriority w:val="34"/>
    <w:qFormat/>
    <w:rsid w:val="00497B4F"/>
    <w:pPr>
      <w:ind w:left="720"/>
      <w:contextualSpacing/>
    </w:pPr>
  </w:style>
  <w:style w:type="paragraph" w:customStyle="1" w:styleId="textbold">
    <w:name w:val="text bold"/>
    <w:basedOn w:val="Normal"/>
    <w:link w:val="Emphasis"/>
    <w:uiPriority w:val="7"/>
    <w:qFormat/>
    <w:rsid w:val="00497B4F"/>
    <w:pPr>
      <w:ind w:left="720"/>
      <w:jc w:val="both"/>
    </w:pPr>
    <w:rPr>
      <w:rFonts w:eastAsiaTheme="minorEastAsia"/>
      <w:b/>
      <w:iCs/>
      <w:u w:val="single"/>
      <w:lang w:eastAsia="zh-CN"/>
    </w:rPr>
  </w:style>
  <w:style w:type="character" w:styleId="FollowedHyperlink">
    <w:name w:val="FollowedHyperlink"/>
    <w:basedOn w:val="DefaultParagraphFont"/>
    <w:uiPriority w:val="99"/>
    <w:semiHidden/>
    <w:unhideWhenUsed/>
    <w:rsid w:val="00497B4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full/10.1111/anti.12659" TargetMode="External"/><Relationship Id="rId13" Type="http://schemas.openxmlformats.org/officeDocument/2006/relationships/hyperlink" Target="https://onlinelibrary.wiley.com/doi/full/10.1111/anti.12659"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nlinelibrary.wiley.com/doi/full/10.1111/anti.12659" TargetMode="External"/><Relationship Id="rId12" Type="http://schemas.openxmlformats.org/officeDocument/2006/relationships/hyperlink" Target="https://onlinelibrary.wiley.com/doi/full/10.1111/anti.1265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exeley.com/borderlands/pdf/10.21307/borderlands-2020-013" TargetMode="External"/><Relationship Id="rId1" Type="http://schemas.openxmlformats.org/officeDocument/2006/relationships/numbering" Target="numbering.xml"/><Relationship Id="rId6" Type="http://schemas.openxmlformats.org/officeDocument/2006/relationships/hyperlink" Target="https://doi.org/10.1111/anti.12659" TargetMode="External"/><Relationship Id="rId11" Type="http://schemas.openxmlformats.org/officeDocument/2006/relationships/hyperlink" Target="https://onlinelibrary.wiley.com/doi/full/10.1111/anti.12659" TargetMode="External"/><Relationship Id="rId5" Type="http://schemas.openxmlformats.org/officeDocument/2006/relationships/hyperlink" Target="https://academicguides.waldenu.edu/writingcenter/grammar/articles" TargetMode="External"/><Relationship Id="rId15" Type="http://schemas.openxmlformats.org/officeDocument/2006/relationships/hyperlink" Target="http://dx.doi.org/10.1080/2201473X.2016.1238160" TargetMode="External"/><Relationship Id="rId10" Type="http://schemas.openxmlformats.org/officeDocument/2006/relationships/hyperlink" Target="https://onlinelibrary.wiley.com/doi/full/10.1111/anti.12659" TargetMode="External"/><Relationship Id="rId4" Type="http://schemas.openxmlformats.org/officeDocument/2006/relationships/webSettings" Target="webSettings.xml"/><Relationship Id="rId9" Type="http://schemas.openxmlformats.org/officeDocument/2006/relationships/hyperlink" Target="https://onlinelibrary.wiley.com/doi/full/10.1111/anti.12659" TargetMode="External"/><Relationship Id="rId14" Type="http://schemas.openxmlformats.org/officeDocument/2006/relationships/hyperlink" Target="https://onlinelibrary.wiley.com/doi/full/10.1111/anti.1265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e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1</Pages>
  <Words>7458</Words>
  <Characters>42513</Characters>
  <Application>Microsoft Office Word</Application>
  <DocSecurity>0</DocSecurity>
  <Lines>354</Lines>
  <Paragraphs>99</Paragraphs>
  <ScaleCrop>false</ScaleCrop>
  <Company/>
  <LinksUpToDate>false</LinksUpToDate>
  <CharactersWithSpaces>49872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Xu</dc:creator>
  <cp:keywords/>
  <dc:description/>
  <cp:lastModifiedBy>Andy Xu</cp:lastModifiedBy>
  <cp:revision>7</cp:revision>
  <dcterms:created xsi:type="dcterms:W3CDTF">2021-11-06T00:02:00Z</dcterms:created>
  <dcterms:modified xsi:type="dcterms:W3CDTF">2021-11-06T00:03:00Z</dcterms:modified>
</cp:coreProperties>
</file>