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2ED82" w14:textId="77777777" w:rsidR="009C1A2E" w:rsidRDefault="009C1A2E" w:rsidP="009C1A2E">
      <w:pPr>
        <w:pStyle w:val="Heading4"/>
        <w:rPr>
          <w:rFonts w:ascii="Georgia" w:hAnsi="Georgia"/>
        </w:rPr>
      </w:pPr>
    </w:p>
    <w:p w14:paraId="24ACA1B1" w14:textId="77777777" w:rsidR="009C1A2E" w:rsidRPr="0060148B" w:rsidRDefault="009C1A2E" w:rsidP="009C1A2E">
      <w:pPr>
        <w:pStyle w:val="Heading2"/>
      </w:pPr>
      <w:r w:rsidRPr="0060148B">
        <w:t>Framing</w:t>
      </w:r>
    </w:p>
    <w:p w14:paraId="0DC3D786" w14:textId="77777777" w:rsidR="009C1A2E" w:rsidRPr="0060148B" w:rsidRDefault="009C1A2E" w:rsidP="009C1A2E">
      <w:pPr>
        <w:pStyle w:val="Heading4"/>
        <w:rPr>
          <w:sz w:val="16"/>
        </w:rPr>
      </w:pPr>
      <w:r w:rsidRPr="0060148B">
        <w:t xml:space="preserve">Subjectivity is the prerequisite to ethics – ethics is a call for subjects to take actions and we need to understand the subject for ethics to be coherent. Stable and sovereign understandings of the subject are false and fail to create ethics. Instead, the subject is dynamic - </w:t>
      </w:r>
    </w:p>
    <w:p w14:paraId="2D2FE973" w14:textId="77777777" w:rsidR="009C1A2E" w:rsidRPr="0060148B" w:rsidRDefault="009C1A2E" w:rsidP="009C1A2E">
      <w:pPr>
        <w:pStyle w:val="Heading4"/>
      </w:pPr>
      <w:r w:rsidRPr="0060148B">
        <w:t xml:space="preserve">Time fractures the subject. </w:t>
      </w:r>
      <w:r w:rsidRPr="0060148B">
        <w:rPr>
          <w:rFonts w:cs="Calibri"/>
        </w:rPr>
        <w:t>Thinking only affects a subject as a being in time and so is not a transcendent feature</w:t>
      </w:r>
      <w:r w:rsidRPr="0060148B">
        <w:t>. Transcendent subjecthood fails because differentiation through times causes instability</w:t>
      </w:r>
    </w:p>
    <w:p w14:paraId="221BBC58" w14:textId="77777777" w:rsidR="009C1A2E" w:rsidRPr="0060148B" w:rsidRDefault="009C1A2E" w:rsidP="009C1A2E">
      <w:pPr>
        <w:spacing w:line="240" w:lineRule="auto"/>
        <w:rPr>
          <w:rStyle w:val="Style13ptBold"/>
        </w:rPr>
      </w:pPr>
      <w:r w:rsidRPr="0060148B">
        <w:rPr>
          <w:rStyle w:val="Style13ptBold"/>
        </w:rPr>
        <w:t xml:space="preserve">Deleuze 68 </w:t>
      </w:r>
    </w:p>
    <w:p w14:paraId="1D152E19" w14:textId="77777777" w:rsidR="009C1A2E" w:rsidRPr="0060148B" w:rsidRDefault="009C1A2E" w:rsidP="009C1A2E">
      <w:pPr>
        <w:spacing w:line="240" w:lineRule="auto"/>
        <w:rPr>
          <w:color w:val="000000" w:themeColor="text1"/>
          <w:sz w:val="16"/>
          <w:szCs w:val="16"/>
        </w:rPr>
      </w:pPr>
      <w:r w:rsidRPr="0060148B">
        <w:rPr>
          <w:color w:val="000000" w:themeColor="text1"/>
          <w:sz w:val="16"/>
          <w:szCs w:val="16"/>
        </w:rPr>
        <w:t xml:space="preserve">[Deleuze, Gilles. Difference and </w:t>
      </w:r>
      <w:proofErr w:type="spellStart"/>
      <w:r w:rsidRPr="0060148B">
        <w:rPr>
          <w:color w:val="000000" w:themeColor="text1"/>
          <w:sz w:val="16"/>
          <w:szCs w:val="16"/>
        </w:rPr>
        <w:t>Repitition</w:t>
      </w:r>
      <w:proofErr w:type="spellEnd"/>
      <w:r w:rsidRPr="0060148B">
        <w:rPr>
          <w:color w:val="000000" w:themeColor="text1"/>
          <w:sz w:val="16"/>
          <w:szCs w:val="16"/>
        </w:rPr>
        <w:t>. Translated by Paul Patton. 1968.</w:t>
      </w:r>
      <w:r>
        <w:rPr>
          <w:color w:val="000000" w:themeColor="text1"/>
          <w:sz w:val="16"/>
          <w:szCs w:val="16"/>
        </w:rPr>
        <w:t xml:space="preserve"> </w:t>
      </w:r>
      <w:r w:rsidRPr="00BC5671">
        <w:rPr>
          <w:color w:val="000000" w:themeColor="text1"/>
          <w:sz w:val="16"/>
          <w:szCs w:val="16"/>
        </w:rPr>
        <w:t>Accessed 9/17/21</w:t>
      </w:r>
      <w:r>
        <w:rPr>
          <w:color w:val="000000" w:themeColor="text1"/>
          <w:sz w:val="16"/>
          <w:szCs w:val="16"/>
        </w:rPr>
        <w:t xml:space="preserve"> </w:t>
      </w:r>
      <w:hyperlink r:id="rId5" w:history="1">
        <w:r w:rsidRPr="00D0569B">
          <w:rPr>
            <w:rStyle w:val="Hyperlink"/>
            <w:sz w:val="16"/>
            <w:szCs w:val="16"/>
          </w:rPr>
          <w:t>https://www.jstor.org/stable/10.3366/j.ctt1g09x57</w:t>
        </w:r>
      </w:hyperlink>
      <w:r w:rsidRPr="0060148B">
        <w:rPr>
          <w:color w:val="000000" w:themeColor="text1"/>
          <w:sz w:val="16"/>
          <w:szCs w:val="16"/>
        </w:rPr>
        <w:t xml:space="preserve">] </w:t>
      </w:r>
    </w:p>
    <w:p w14:paraId="50963C6A" w14:textId="77777777" w:rsidR="009C1A2E" w:rsidRPr="00286049" w:rsidRDefault="009C1A2E" w:rsidP="00286049">
      <w:r w:rsidRPr="00286049">
        <w:t>Temporally speaking - in other words, from the point of view of the theory of time - nothing is more instructive than the difference between the Kantian and the Cartesian Cogito. It is as though Descartes's Cogito operated with two logical values: determination and undetermined existence. The determination (I think) implies an undetermined existence (I am, because 'in order to think one must exist') - and determines it precisely as the existence of a thinking subject: I think therefore I am, I am a thing which thinks. The entire Kantian critique [is] amounts to objecting against Descartes that it is impossible for determination to bear directly upon the undetermined. The determination ('I think') obviously implies something undetermined ('I am'), but nothing so far tells us how it is that this undetermined is determinable by the 'I think': 'in the consciousness of myself in mere thought I am the being itself although nothing in myself is thereby given for thought.'8 Kant therefore adds a third logical value: the determinable, or rather the form in which the undetermined is determinable (by the deter</w:t>
      </w:r>
      <w:r w:rsidRPr="00286049">
        <w:softHyphen/>
        <w:t xml:space="preserve"> </w:t>
      </w:r>
      <w:proofErr w:type="spellStart"/>
      <w:r w:rsidRPr="00286049">
        <w:t>mination</w:t>
      </w:r>
      <w:proofErr w:type="spellEnd"/>
      <w:r w:rsidRPr="00286049">
        <w:t xml:space="preserve">). This third value suffices to make logic a transcendental instance. It amounts to the discovery of Difference - no longer in the form of an empirical difference between two determinations, but in the form of a transcendental Difference between the Determination as such and what it determines; no[t] longer in the form of an external difference which separates, but in the form of an internal Difference which establishes an a priori relation between thought and being. Kant's answer is well known: the form under which undetermined existence is determinable by the 'I think' is that of time ...9 The consequences of this are extreme: my undetermined existence can be determined only within time as the existence of a phenomenon, of a passive, receptive phenomenal subject appearing within time. As a result, the spontaneity of which I am conscious in the 'I think' cannot be understood as the attribute of a substantial and spontaneous being, but only as the affection of a passive self which experiences its own thought - its own intelligence, that by virtue of which it can say I - being exercised in it and upon it but not by it. Here begins a long and inexhaustible story: I </w:t>
      </w:r>
      <w:proofErr w:type="gramStart"/>
      <w:r w:rsidRPr="00286049">
        <w:t>is</w:t>
      </w:r>
      <w:proofErr w:type="gramEnd"/>
      <w:r w:rsidRPr="00286049">
        <w:t xml:space="preserve"> </w:t>
      </w:r>
      <w:proofErr w:type="spellStart"/>
      <w:r w:rsidRPr="00286049">
        <w:t>an other</w:t>
      </w:r>
      <w:proofErr w:type="spellEnd"/>
      <w:r w:rsidRPr="00286049">
        <w:t xml:space="preserve">, or the paradox of inner sense. The activity of thought applies to a receptive being, to a passive subject which represents that activity to itself rather than enacts it, which experiences its effect rather than initiates it, and which lives it like an Other within itself. To 'I think' and 'I am' must be added the self - that is, the passive position (what Kant calls the receptivity of intuition); to the determination and the undetermined must be added the form of the determinable, namely time. Nor is 'add' entirely the right word here, since it is rather a matter of establishing the difference and </w:t>
      </w:r>
      <w:proofErr w:type="spellStart"/>
      <w:r w:rsidRPr="00286049">
        <w:t>interiorising</w:t>
      </w:r>
      <w:proofErr w:type="spellEnd"/>
      <w:r w:rsidRPr="00286049">
        <w:t xml:space="preserve"> it within being and thought. It is as though the I </w:t>
      </w:r>
      <w:proofErr w:type="gramStart"/>
      <w:r w:rsidRPr="00286049">
        <w:t>were</w:t>
      </w:r>
      <w:proofErr w:type="gramEnd"/>
      <w:r w:rsidRPr="00286049">
        <w:t xml:space="preserve"> fractured from one end to the other: fractured by the pure and empty form of time. In this form it is the correlate of the passive self which appears in time. Time signifies a fault or a fracture in the I and a passivity in the self, and the correlation between the passive self and the fractured I constitutes the discovery of the transcendental, the element of the Copernican Revolution. Descartes could draw his conclusion only by expelling time, by reducing the Cogito to an instant and entrusting time to the operation of continuous creation carried out by God. More generally, the supposed identity of the I </w:t>
      </w:r>
      <w:proofErr w:type="gramStart"/>
      <w:r w:rsidRPr="00286049">
        <w:t>has</w:t>
      </w:r>
      <w:proofErr w:type="gramEnd"/>
      <w:r w:rsidRPr="00286049">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286049">
        <w:t>tt</w:t>
      </w:r>
      <w:proofErr w:type="spellEnd"/>
      <w:r w:rsidRPr="00286049">
        <w:t xml:space="preserve">. If the greatest </w:t>
      </w:r>
      <w:proofErr w:type="spellStart"/>
      <w:r w:rsidRPr="00286049">
        <w:t>tmttattve</w:t>
      </w:r>
      <w:proofErr w:type="spellEnd"/>
      <w:r w:rsidRPr="00286049">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286049">
        <w:t>ontraction</w:t>
      </w:r>
      <w:proofErr w:type="spellEnd"/>
      <w:r w:rsidRPr="00286049">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286049">
        <w:t>Holderlin</w:t>
      </w:r>
      <w:proofErr w:type="spellEnd"/>
      <w:r w:rsidRPr="00286049">
        <w:t xml:space="preserve">, who discovers the emptiness of pure time and, in this emptiness, simultaneously the continued diversion of the divine, the prolonged fracture of the I and the constitutive passion of the self.10 </w:t>
      </w:r>
      <w:proofErr w:type="spellStart"/>
      <w:r w:rsidRPr="00286049">
        <w:t>Holderlin</w:t>
      </w:r>
      <w:proofErr w:type="spellEnd"/>
      <w:r w:rsidRPr="00286049">
        <w:t xml:space="preserve"> saw in this form of time both the essence of tragedy and the adventure of Oedipus, as though these were complementary figures of the same death instinct. Is it possible that Kantian philosophy should thus be the heir of Oedipus? </w:t>
      </w:r>
    </w:p>
    <w:p w14:paraId="2E98855A" w14:textId="77777777" w:rsidR="009C1A2E" w:rsidRPr="0060148B" w:rsidRDefault="009C1A2E" w:rsidP="009C1A2E"/>
    <w:p w14:paraId="2C40952E" w14:textId="77777777" w:rsidR="009C1A2E" w:rsidRPr="0060148B" w:rsidRDefault="009C1A2E" w:rsidP="009C1A2E">
      <w:pPr>
        <w:pStyle w:val="Heading4"/>
      </w:pPr>
      <w:r w:rsidRPr="0060148B">
        <w:t xml:space="preserve">Thus, the standard and rob is embracing </w:t>
      </w:r>
      <w:r w:rsidRPr="0060148B">
        <w:rPr>
          <w:u w:val="single"/>
        </w:rPr>
        <w:t>creative difference</w:t>
      </w:r>
      <w:r w:rsidRPr="0060148B">
        <w:t>. Reject potential consequences of the aff under the standard – we forefront intrinsic aspects of the action of the resolution.</w:t>
      </w:r>
    </w:p>
    <w:p w14:paraId="44A7C420" w14:textId="77777777" w:rsidR="009C1A2E" w:rsidRPr="0060148B" w:rsidRDefault="009C1A2E" w:rsidP="009C1A2E"/>
    <w:p w14:paraId="731BE53A" w14:textId="77777777" w:rsidR="009C1A2E" w:rsidRPr="005F368F" w:rsidRDefault="009C1A2E" w:rsidP="009C1A2E">
      <w:pPr>
        <w:pStyle w:val="Heading4"/>
        <w:rPr>
          <w:rFonts w:asciiTheme="minorHAnsi" w:hAnsiTheme="minorHAnsi" w:cstheme="minorHAnsi"/>
        </w:rPr>
      </w:pPr>
      <w:r w:rsidRPr="0060148B">
        <w:t xml:space="preserve">Creative difference outweighs under any framework – a. categorization destroys the possibility of ethics because we reduce agents to essential categories that allow us to deny the influence of ethics </w:t>
      </w:r>
      <w:proofErr w:type="gramStart"/>
      <w:r w:rsidRPr="0060148B">
        <w:t>e.g.</w:t>
      </w:r>
      <w:proofErr w:type="gramEnd"/>
      <w:r w:rsidRPr="0060148B">
        <w:t xml:space="preserve"> racists viewing certain races as non-deserving of ethical treatment b</w:t>
      </w:r>
      <w:r>
        <w:t xml:space="preserve">. </w:t>
      </w:r>
      <w:r>
        <w:rPr>
          <w:rFonts w:asciiTheme="minorHAnsi" w:hAnsiTheme="minorHAnsi" w:cstheme="minorHAnsi"/>
        </w:rPr>
        <w:t>R</w:t>
      </w:r>
      <w:r w:rsidRPr="005F368F">
        <w:rPr>
          <w:rFonts w:asciiTheme="minorHAnsi" w:hAnsiTheme="minorHAnsi" w:cstheme="minorHAnsi"/>
        </w:rPr>
        <w:t xml:space="preserve">estrictions of fluidity idealize </w:t>
      </w:r>
      <w:r w:rsidRPr="001F4E7B">
        <w:rPr>
          <w:rFonts w:asciiTheme="minorHAnsi" w:hAnsiTheme="minorHAnsi" w:cstheme="minorHAnsi"/>
          <w:u w:val="single"/>
        </w:rPr>
        <w:t>life</w:t>
      </w:r>
      <w:r w:rsidRPr="005F368F">
        <w:rPr>
          <w:rFonts w:asciiTheme="minorHAnsi" w:hAnsiTheme="minorHAnsi" w:cstheme="minorHAnsi"/>
        </w:rPr>
        <w:t xml:space="preserve"> to warrant a cleansing of </w:t>
      </w:r>
      <w:r w:rsidRPr="0070314F">
        <w:rPr>
          <w:rFonts w:asciiTheme="minorHAnsi" w:hAnsiTheme="minorHAnsi" w:cstheme="minorHAnsi"/>
          <w:u w:val="single"/>
        </w:rPr>
        <w:t>difference</w:t>
      </w:r>
      <w:r w:rsidRPr="005F368F">
        <w:rPr>
          <w:rFonts w:asciiTheme="minorHAnsi" w:hAnsiTheme="minorHAnsi" w:cstheme="minorHAnsi"/>
        </w:rPr>
        <w:t xml:space="preserve"> </w:t>
      </w:r>
      <w:r>
        <w:rPr>
          <w:rFonts w:asciiTheme="minorHAnsi" w:hAnsiTheme="minorHAnsi" w:cstheme="minorHAnsi"/>
        </w:rPr>
        <w:t xml:space="preserve">which is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collapses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1035C79A" w14:textId="77777777" w:rsidR="009C1A2E" w:rsidRPr="005F368F" w:rsidRDefault="009C1A2E" w:rsidP="009C1A2E">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xml:space="preserve">– Brad Evans, Lecturer in the School of Politics and International Studies at the University of Leeds and </w:t>
      </w:r>
      <w:proofErr w:type="spellStart"/>
      <w:r w:rsidRPr="005F368F">
        <w:rPr>
          <w:rFonts w:asciiTheme="minorHAnsi" w:hAnsiTheme="minorHAnsi" w:cstheme="minorHAnsi"/>
        </w:rPr>
        <w:t>Programme</w:t>
      </w:r>
      <w:proofErr w:type="spellEnd"/>
      <w:r w:rsidRPr="005F368F">
        <w:rPr>
          <w:rFonts w:asciiTheme="minorHAnsi" w:hAnsiTheme="minorHAnsi" w:cstheme="minorHAnsi"/>
        </w:rPr>
        <w:t xml:space="preserve"> Director for International Relations, “Foucault’s Legacy: Security, War, and Violence in the 21st Century,” Security Dialogue vol.41, no. 4, August 2010, pg. 422-424</w:t>
      </w:r>
      <w:r>
        <w:rPr>
          <w:rFonts w:asciiTheme="minorHAnsi" w:hAnsiTheme="minorHAnsi" w:cstheme="minorHAnsi"/>
        </w:rPr>
        <w:t xml:space="preserve"> Accessed 9/17/21 </w:t>
      </w:r>
      <w:r w:rsidRPr="008208AB">
        <w:rPr>
          <w:rFonts w:asciiTheme="minorHAnsi" w:hAnsiTheme="minorHAnsi" w:cstheme="minorHAnsi"/>
        </w:rPr>
        <w:t>https://citeseerx.ist.psu.edu/viewdoc/download?doi=10.1.1.886.8380&amp;rep=rep1&amp;type=pdf</w:t>
      </w:r>
    </w:p>
    <w:p w14:paraId="7A371737" w14:textId="77777777" w:rsidR="009C1A2E" w:rsidRPr="00286049" w:rsidRDefault="009C1A2E" w:rsidP="00286049">
      <w:r w:rsidRPr="00286049">
        <w:t xml:space="preserve">Imposing liberalism has often come at a price. That price has tended to be a continuous recourse to war. 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Liberalism today, they argue, is underwritten by the unreserved righteousness of its mission. Hence, while there may still be populations that exist beyond the liberal pale, it is now taken that they should be included. With ‘Liberal peace’ therefore predicated on the pacification/elimination of all forms of political difference in order that liberalism might meet its own moral and political objectives, The more peace is commanded, the more war is declared in order </w:t>
      </w:r>
      <w:proofErr w:type="gramStart"/>
      <w:r w:rsidRPr="00286049">
        <w:t>To</w:t>
      </w:r>
      <w:proofErr w:type="gramEnd"/>
      <w:r w:rsidRPr="00286049">
        <w:t xml:space="preserve"> achieve it: ‘In proclaiming peace . . . liberals are nonetheless committed also to making war.’ This is the ‘martial face of liberal power’ that, contrary to the familiar narrative, is ‘directly </w:t>
      </w:r>
      <w:proofErr w:type="spellStart"/>
      <w:r w:rsidRPr="00286049">
        <w:t>fuelled</w:t>
      </w:r>
      <w:proofErr w:type="spellEnd"/>
      <w:r w:rsidRPr="00286049">
        <w:t xml:space="preserve"> by the universal and pacific ambitions for which liberalism is to be admired’ (Dillon &amp; Reid, 2009: 2). Liberalism thus stands accused </w:t>
      </w:r>
      <w:proofErr w:type="spellStart"/>
      <w:r w:rsidRPr="00286049">
        <w:t>here</w:t>
      </w:r>
      <w:proofErr w:type="spellEnd"/>
      <w:r w:rsidRPr="00286049">
        <w:t xml:space="preserve"> of universalizing war in its pursuit of peace: </w:t>
      </w:r>
      <w:proofErr w:type="gramStart"/>
      <w:r w:rsidRPr="00286049">
        <w:t>However</w:t>
      </w:r>
      <w:proofErr w:type="gramEnd"/>
      <w:r w:rsidRPr="00286049">
        <w:t xml:space="preserve"> much liberalism abjures war, indeed finds the instrumental use of war, especially, a scandal, war has always been as instrumental </w:t>
      </w:r>
      <w:proofErr w:type="spellStart"/>
      <w:r w:rsidRPr="00286049">
        <w:t>to</w:t>
      </w:r>
      <w:proofErr w:type="spellEnd"/>
      <w:r w:rsidRPr="00286049">
        <w:t xml:space="preserve"> liberal as to geopolitical thinkers. In that very attempt to instrumentalize, indeed universalize, war in the pursuit of its own global project of emancipation, the practice of liberal rule itself becomes profoundly shaped by war.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286049">
        <w:t>cul</w:t>
      </w:r>
      <w:proofErr w:type="spellEnd"/>
      <w:r w:rsidRPr="00286049">
        <w:t xml:space="preserve">-­ </w:t>
      </w:r>
      <w:proofErr w:type="spellStart"/>
      <w:r w:rsidRPr="00286049">
        <w:t>tures</w:t>
      </w:r>
      <w:proofErr w:type="spellEnd"/>
      <w:r w:rsidRPr="00286049">
        <w:t xml:space="preserve">’ (Dillon &amp; Reid, 2009: 5). Endless war is underwritten here by a new set of problems. Unlike </w:t>
      </w:r>
      <w:proofErr w:type="spellStart"/>
      <w:r w:rsidRPr="00286049">
        <w:t>Clausewitzean</w:t>
      </w:r>
      <w:proofErr w:type="spellEnd"/>
      <w:r w:rsidRPr="00286049">
        <w:t xml:space="preserve"> confrontations, which at least provided the strategic comforts of clear demarcations (them/us, war/peace, citizen/soldier, and so on), These wars no longer benefit from the possibility of scoring outright victory, retreating, or achieving a lasting negotiated peace by means of political compromise. Indeed, deprived of the prospect of defining enmity in advance, war itself becomes just as complex, dynamic, adaptive and radically interconnected as the world of which it is part. That is why ‘any such war to end war becomes a war without end</w:t>
      </w:r>
      <w:proofErr w:type="gramStart"/>
      <w:r w:rsidRPr="00286049">
        <w:t>. . . .</w:t>
      </w:r>
      <w:proofErr w:type="gramEnd"/>
      <w:r w:rsidRPr="00286049">
        <w:t xml:space="preserve"> The project of removing war from the life of the species becomes a lethal and, in principle, continuous and unending 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 which is fought on and between the modalities of life itself</w:t>
      </w:r>
      <w:proofErr w:type="gramStart"/>
      <w:r w:rsidRPr="00286049">
        <w:t>. . . .</w:t>
      </w:r>
      <w:proofErr w:type="gramEnd"/>
      <w:r w:rsidRPr="00286049">
        <w:t xml:space="preserve"> 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286049">
        <w:t>depar</w:t>
      </w:r>
      <w:proofErr w:type="spellEnd"/>
      <w:r w:rsidRPr="00286049">
        <w:t xml:space="preserve">-­ </w:t>
      </w:r>
      <w:proofErr w:type="spellStart"/>
      <w:r w:rsidRPr="00286049">
        <w:t>ture</w:t>
      </w:r>
      <w:proofErr w:type="spellEnd"/>
      <w:r w:rsidRPr="00286049">
        <w:t xml:space="preserve">. Not only does it illustrate how Liberalism gains its mastery by posing fundamental questions of life and death – that is, who is to live and who can be killed – disrupting the narrative that ordinarily takes sovereignty to be the point of theoretical departure, civil war now appears to be driven by a globally ambitious biopolitical imperative (see below). Liberals have continuously made reference to humanity in order to justify their use of military force (Ignatieff, 2003). War, if there is to be one, must be for the unification of the species. This humanitarian caveat is by no means out of </w:t>
      </w:r>
      <w:proofErr w:type="spellStart"/>
      <w:r w:rsidRPr="00286049">
        <w:t>favour</w:t>
      </w:r>
      <w:proofErr w:type="spellEnd"/>
      <w:r w:rsidRPr="00286049">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286049">
        <w:t>vigour</w:t>
      </w:r>
      <w:proofErr w:type="spellEnd"/>
      <w:r w:rsidRPr="00286049">
        <w:t>.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w:t>
      </w:r>
      <w:proofErr w:type="gramStart"/>
      <w:r w:rsidRPr="00286049">
        <w:t>. . . .</w:t>
      </w:r>
      <w:proofErr w:type="gramEnd"/>
      <w:r w:rsidRPr="00286049">
        <w:t xml:space="preserve">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286049">
        <w:t>philo</w:t>
      </w:r>
      <w:proofErr w:type="spellEnd"/>
      <w:r w:rsidRPr="00286049">
        <w:t xml:space="preserve">-­ </w:t>
      </w:r>
      <w:proofErr w:type="spellStart"/>
      <w:r w:rsidRPr="00286049">
        <w:t>sophical</w:t>
      </w:r>
      <w:proofErr w:type="spellEnd"/>
      <w:r w:rsidRPr="00286049">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 People like quoting Clausewitz that warfare is the continuation of politics by other means</w:t>
      </w:r>
      <w:proofErr w:type="gramStart"/>
      <w:r w:rsidRPr="00286049">
        <w:t>. . . .</w:t>
      </w:r>
      <w:proofErr w:type="gramEnd"/>
      <w:r w:rsidRPr="00286049">
        <w:t xml:space="preserve">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w:t>
      </w:r>
      <w:proofErr w:type="gramStart"/>
      <w:r w:rsidRPr="00286049">
        <w:t>i.e.</w:t>
      </w:r>
      <w:proofErr w:type="gramEnd"/>
      <w:r w:rsidRPr="00286049">
        <w:t xml:space="preserve"> inside/outside, friend/enemy, citizen/soldier, war/peace, and so forth), he firmly locates the conflict among the world of peoples. With global war there-­ fore appearing to be an internal state of affairs, vanquishing enemies can no longer be sanctioned for the mere </w:t>
      </w:r>
      <w:proofErr w:type="spellStart"/>
      <w:r w:rsidRPr="00286049">
        <w:t>defence</w:t>
      </w:r>
      <w:proofErr w:type="spellEnd"/>
      <w:r w:rsidRPr="00286049">
        <w:t xml:space="preserv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w:t>
      </w:r>
      <w:proofErr w:type="gramStart"/>
      <w:r w:rsidRPr="00286049">
        <w:t>i.e.</w:t>
      </w:r>
      <w:proofErr w:type="gramEnd"/>
      <w:r w:rsidRPr="00286049">
        <w:t xml:space="preserve"> population regulation) become central to the war effort (RAND, 2008). Placing the managed recovery of maladjusted life into the heart of military strategies, it insists upon a joined-­up response in which sovereign/militaristic forms of ordering are matched by biopolitical/</w:t>
      </w:r>
      <w:proofErr w:type="spellStart"/>
      <w:r w:rsidRPr="00286049">
        <w:t>devel</w:t>
      </w:r>
      <w:proofErr w:type="spellEnd"/>
      <w:r w:rsidRPr="00286049">
        <w:t xml:space="preserve">-­ </w:t>
      </w:r>
      <w:proofErr w:type="spellStart"/>
      <w:r w:rsidRPr="00286049">
        <w:t>opmental</w:t>
      </w:r>
      <w:proofErr w:type="spellEnd"/>
      <w:r w:rsidRPr="00286049">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biopolitical imperative removes the inevitability of epiphenomenal tensions, nothing and nobody is necessarily dangerous simply because location dictates. With enmity instead depending upon the complex, adaptive, dynamic account of life itself, what becomes dangerous emerges from within the liberal imaginary of threat. Violence accordingly can only be sanctioned against those newly appointed enemies of humanity – a phrase that, immeasurably greater than any juridical category, necessarily affords enmity an internal quality inherent to the species complete, for the sake of planetary survival. Vital in other words to all human existence, </w:t>
      </w:r>
      <w:proofErr w:type="gramStart"/>
      <w:r w:rsidRPr="00286049">
        <w:t>Doing</w:t>
      </w:r>
      <w:proofErr w:type="gramEnd"/>
      <w:r w:rsidRPr="00286049">
        <w:t xml:space="preserve"> what is necessary out of global species necessity requires a new moral assay of life that, pitting the universal against the particular, willingly commits violence against any ontological commitment to political difference, even though universality itself is a shallow disguise for the practice of destroying political adversaries through the contingency of particular encounters. 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Racism thus appears here to be a thoroughly modern phenomenon (Deleuze &amp; </w:t>
      </w:r>
      <w:proofErr w:type="spellStart"/>
      <w:r w:rsidRPr="00286049">
        <w:t>Guattari</w:t>
      </w:r>
      <w:proofErr w:type="spellEnd"/>
      <w:r w:rsidRPr="00286049">
        <w:t xml:space="preserve">, 2002). 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286049">
        <w:t>Biopolitically</w:t>
      </w:r>
      <w:proofErr w:type="spellEnd"/>
      <w:r w:rsidRPr="00286049">
        <w:t xml:space="preserve"> speaking, then, since it is precisely through the internalization of threat – the constitution of The threat that is now from the dangerous ‘Others’ that exist within – that societies reproduce at the level of life the ontological commitment to secure the subject, since everybody is now possibly dangerous and nobody can be exempt, for political modernity to function 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 While killing does not need to be physically murderous, that is not to suggest that we should lose sight of the very real forms of political violence that do take place in the name of species improvement. As Deleuze (1999: 76) duly noted, when notions of security are invoked in order to preserve the destiny of a species, when the </w:t>
      </w:r>
      <w:proofErr w:type="spellStart"/>
      <w:r w:rsidRPr="00286049">
        <w:t>defence</w:t>
      </w:r>
      <w:proofErr w:type="spellEnd"/>
      <w:r w:rsidRPr="00286049">
        <w:t xml:space="preserve"> of society gives sanction to very real acts of violence that are justified in terms of species necessity, that is when the capacity to legitimate murderous political actions in all our names and for all our sakes becomes altogether more rational, calculated, utilitarian, hence altogether more frightening: When a diagram of power abandons the model of sovereignty in </w:t>
      </w:r>
      <w:proofErr w:type="spellStart"/>
      <w:r w:rsidRPr="00286049">
        <w:t>favour</w:t>
      </w:r>
      <w:proofErr w:type="spellEnd"/>
      <w:r w:rsidRPr="00286049">
        <w:t xml:space="preserve"> of a disciplinary model, when it becomes the ‘bio-­power’ or ‘bio-­politics’ of populations, controlling and administering life, it is indeed life that emerges as the new object of power.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proofErr w:type="gramStart"/>
      <w:r w:rsidRPr="00286049">
        <w:t>The</w:t>
      </w:r>
      <w:proofErr w:type="gramEnd"/>
      <w:r w:rsidRPr="00286049">
        <w:t xml:space="preserve"> most ‘essential characteristics’ of modern biopolitics is to constantly ‘redefine the threshold in life that distinguishes and separates what is inside from what is outside’, it is within those sites that ‘eliminate radically the people that are excluded’ that the biopolitical racial imperative is exposed in its most brutal form (Agamben, 1995: 171). The camp can therefore be seen to be the defining paradigm of the modern insomuch as it is a ‘space in which power confronts nothing other than pure biological life without any media-­ </w:t>
      </w:r>
      <w:proofErr w:type="spellStart"/>
      <w:r w:rsidRPr="00286049">
        <w:t>tion</w:t>
      </w:r>
      <w:proofErr w:type="spellEnd"/>
      <w:r w:rsidRPr="00286049">
        <w:t xml:space="preserve">’ (Agamben, 1995: 179). While lacking Agamben’s intellectual sophistry, such a </w:t>
      </w:r>
      <w:proofErr w:type="spellStart"/>
      <w:r w:rsidRPr="00286049">
        <w:t>Schmittean</w:t>
      </w:r>
      <w:proofErr w:type="spellEnd"/>
      <w:r w:rsidRPr="00286049">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w:t>
      </w:r>
      <w:proofErr w:type="spellStart"/>
      <w:r w:rsidRPr="00286049">
        <w:t>Devetak</w:t>
      </w:r>
      <w:proofErr w:type="spellEnd"/>
      <w:r w:rsidRPr="00286049">
        <w:t>, 2007; Kaldor, 2007). While some of the tactics deployed in the ‘Global War on Terror’ have undoubtedly lent credibility to these approaches, in terms of understanding violence they are limited. Violence is only rendered problematic here when it is associated with some act of unmitigated geopolitical excess (</w:t>
      </w:r>
      <w:proofErr w:type="gramStart"/>
      <w:r w:rsidRPr="00286049">
        <w:t>e.g.</w:t>
      </w:r>
      <w:proofErr w:type="gramEnd"/>
      <w:r w:rsidRPr="00286049">
        <w:t xml:space="preserve">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w:t>
      </w:r>
    </w:p>
    <w:p w14:paraId="2E8282A1" w14:textId="77777777" w:rsidR="009C1A2E" w:rsidRPr="0060148B" w:rsidRDefault="009C1A2E" w:rsidP="009C1A2E"/>
    <w:p w14:paraId="5FDA38D2" w14:textId="77777777" w:rsidR="009C1A2E" w:rsidRPr="0060148B" w:rsidRDefault="009C1A2E" w:rsidP="009C1A2E">
      <w:pPr>
        <w:pStyle w:val="Heading4"/>
      </w:pPr>
      <w:r w:rsidRPr="0060148B">
        <w:t xml:space="preserve">Prefer </w:t>
      </w:r>
      <w:r w:rsidRPr="0060148B">
        <w:rPr>
          <w:u w:val="single"/>
        </w:rPr>
        <w:t>additionally</w:t>
      </w:r>
      <w:r w:rsidRPr="0060148B">
        <w:t xml:space="preserve"> –</w:t>
      </w:r>
    </w:p>
    <w:p w14:paraId="51C2C46D" w14:textId="77777777" w:rsidR="009C1A2E" w:rsidRPr="0060148B" w:rsidRDefault="009C1A2E" w:rsidP="009C1A2E"/>
    <w:p w14:paraId="37F67844" w14:textId="77777777" w:rsidR="009C1A2E" w:rsidRPr="0060148B" w:rsidRDefault="009C1A2E" w:rsidP="009C1A2E">
      <w:pPr>
        <w:pStyle w:val="Heading4"/>
      </w:pPr>
      <w:r>
        <w:t xml:space="preserve"> </w:t>
      </w:r>
      <w:r w:rsidRPr="0060148B">
        <w:t xml:space="preserve">1. Pedagogy – we need to tip the scales towards a </w:t>
      </w:r>
      <w:r w:rsidRPr="0060148B">
        <w:rPr>
          <w:u w:val="single"/>
        </w:rPr>
        <w:t>nomadic repositioning</w:t>
      </w:r>
      <w:r w:rsidRPr="0060148B">
        <w:t xml:space="preserve"> to mobilize moments of relationality – thus the role of the judge is to be a disruptive educator. Through recognizing existence outside the dominant mode of thought, we further our own potential and movements that challenge dominant epistemologies.</w:t>
      </w:r>
    </w:p>
    <w:p w14:paraId="0570AD69" w14:textId="77777777" w:rsidR="009C1A2E" w:rsidRPr="0060148B" w:rsidRDefault="009C1A2E" w:rsidP="009C1A2E">
      <w:r w:rsidRPr="0060148B">
        <w:rPr>
          <w:rStyle w:val="Style13ptBold"/>
        </w:rPr>
        <w:t>Pires 14</w:t>
      </w:r>
      <w:r w:rsidRPr="0060148B">
        <w:t xml:space="preserve"> [Marta, 5-2014, Doctor of Education, Montclair State, "De-Territorializing the </w:t>
      </w:r>
      <w:proofErr w:type="gramStart"/>
      <w:r w:rsidRPr="0060148B">
        <w:t>Child :</w:t>
      </w:r>
      <w:proofErr w:type="gramEnd"/>
      <w:r w:rsidRPr="0060148B">
        <w:t xml:space="preserve"> Towards a Theory of Affect in Educational Philosophy and Research" (2014). Theses, Dissertations and Culminating Project</w:t>
      </w:r>
      <w:r w:rsidRPr="00BC5671">
        <w:t xml:space="preserve">s. 66. Accessed 9/17/21 </w:t>
      </w:r>
      <w:hyperlink r:id="rId6" w:history="1">
        <w:r w:rsidRPr="0060148B">
          <w:rPr>
            <w:rStyle w:val="Hyperlink"/>
          </w:rPr>
          <w:t>https://digitalcommons.montclair.edu/cgi/viewcontent.cgi?article=1065&amp;context=etd</w:t>
        </w:r>
      </w:hyperlink>
      <w:r w:rsidRPr="0060148B">
        <w:t>] Recut AX</w:t>
      </w:r>
    </w:p>
    <w:p w14:paraId="4EB94D6A" w14:textId="77777777" w:rsidR="009C1A2E" w:rsidRPr="00286049" w:rsidRDefault="009C1A2E" w:rsidP="00286049">
      <w:r w:rsidRPr="00286049">
        <w:t xml:space="preserve">As seen in plateau 3., understanding, or coding the child as the child of labor/work, and as lack, as lacking something – rationality, reason, intellectual ability, knowledge and information, discursive abilities, and experience – postulates that the child not only needs to be educated, but that the purpose of education is to fill, or fulfill that lack. This lack is predetermined by the adults that make decisions about children and, in what regards formal education, made official through policy, and circulated within the community of education professionals as the truth. It is then, to a bigger or lesser extent, implemented by schools and teachers, and as of late, scrutinized by the penalizing effects of standardized test results – not conforming will result in loss of funds and often loss of the tools necessary to fulfill the very goals the policy states as necessary for children to thrive socially and personally. In current United States, those in charge of making decisions about children are often influenced by corporate rhetoric and logic. Corporate needs, translated into corporate rhetoric, become the goals for formal, mostly public, education serving millions of children. The “truth” served to the community of education professionals about the lack that makes of children incomplete, incompetent beings, is thus the truth about corporate needs and the ways those can be addressed through formal education. If any compelling evidence of this was needed, President Obama’s words at the nation address in February 2013, during which he referred to children as “our most valuable resource” (http://www.c-span.org, 2013, p. 12), have provided it. And while I do believe in the importance of providing children with tools and resources for navigating their social and financial reality, I do not believe that this should be the primary or exclusive goal/purpose of formal education, nor do I believe that formal public education should be geared towards fulfilling the ideals and needs of private corporate interest. I believe, rather, that it should finally be geared towards serving the child – not the child as resource, but the child as life, as immanent being that participates of the world today and tomorrow, and exists simultaneously with its adult. This is the affective child, the child of life, and the child of potentiality. This child is not defined by what she cannot do, but valuable for what she can do, and is not equated with lack. The child that does not lack, does not need the education of the kind that is meant to fulfill that lack – that predetermined lack that overlooks that which it does not include in its “lacking list”. The affective child learns, engages in learning as a way to activate her power to become – whatever, whenever. Learning may or may not come from, or occur within, formal education, thus extending value to the minor and decreasing the possibilities for discriminatory practices to occur. Becoming becomes itself a way of living with profound acceptance of experiencing the world rather than holding information about it – learning that other human beings are only different if engaged with as such, that they are victims only if taken advantage of, and that nature and the world are resource only when we act upon them as such. For teachers as for researchers, profound acceptance means being open to being changed in the process of engaging with the world. For the teacher, engaging with the students means engaging with other bodies like her own; accepting to be changed by the interactions with those bodies; and understanding the power that her actions have in the potential </w:t>
      </w:r>
      <w:proofErr w:type="spellStart"/>
      <w:r w:rsidRPr="00286049">
        <w:t>becomings</w:t>
      </w:r>
      <w:proofErr w:type="spellEnd"/>
      <w:r w:rsidRPr="00286049">
        <w:t xml:space="preserve"> of those bodies. Additionally, this teacher is willing to challenge the identifiers that children’s bodies have been assigned by social convention and categories, so as to allow them to become, thus increasing not only her own power to effect change, but also that of the children as immanently engaged with the world. For the researcher, profound acceptance entails facing the research process as a nomadic journey into inquiry, and following the path of the nomadic research map as it folds and unfolds throughout that journey. Inflections and </w:t>
      </w:r>
      <w:proofErr w:type="spellStart"/>
      <w:r w:rsidRPr="00286049">
        <w:t>foldings</w:t>
      </w:r>
      <w:proofErr w:type="spellEnd"/>
      <w:r w:rsidRPr="00286049">
        <w:t xml:space="preserve"> in the map have the 171 </w:t>
      </w:r>
      <w:proofErr w:type="gramStart"/>
      <w:r w:rsidRPr="00286049">
        <w:t>potential</w:t>
      </w:r>
      <w:proofErr w:type="gramEnd"/>
      <w:r w:rsidRPr="00286049">
        <w:t xml:space="preserve"> to start a rhizome where a tree once stood unshakeable in its epistemic certainties. The rhizome pokes its way into existence through affect – a tiny prickling of discomfort, the affective poke; but the researcher has to be willing to accept it, to accept the possibility of displacement of her beliefs, and her apparently united self, and to embrace a profound fearlessness of change. In conclusion, understanding that “I” can become and live within the limitless confines of the play between territorialization and deterritorialization suggests an understanding of other manifestations of being as engaged in similar life – I live in the openness of the possibility/potentiality of being changed, and engage with the world knowing that my decisions can, and likely will, impact others, change them, and impact their becoming and further expanded </w:t>
      </w:r>
      <w:proofErr w:type="spellStart"/>
      <w:r w:rsidRPr="00286049">
        <w:t>becomings</w:t>
      </w:r>
      <w:proofErr w:type="spellEnd"/>
      <w:r w:rsidRPr="00286049">
        <w:t>. While responsibility over my own becoming appears diminished in light of the impact that context, circumstance, and others have over my condition, responsibility for others and the world increases. We become responsible for one another and for the world because we understand that that which happens to others and what they become impacts our own becoming possibilities. We understand that becoming occurs in the encounter and engagement with others by way of affects. It is in this way that recognizing affect as a valid and valuable mode of social and political perception and expression has the potential to increase social and political possibilities.</w:t>
      </w:r>
    </w:p>
    <w:p w14:paraId="35DBC528" w14:textId="77777777" w:rsidR="009C1A2E" w:rsidRPr="0060148B" w:rsidRDefault="009C1A2E" w:rsidP="009C1A2E">
      <w:pPr>
        <w:rPr>
          <w:rStyle w:val="Emphasis"/>
        </w:rPr>
      </w:pPr>
    </w:p>
    <w:p w14:paraId="4B276DB7" w14:textId="77777777" w:rsidR="009C1A2E" w:rsidRPr="0060148B" w:rsidRDefault="009C1A2E" w:rsidP="009C1A2E">
      <w:pPr>
        <w:pStyle w:val="Heading4"/>
        <w:rPr>
          <w:rFonts w:cs="Calibri"/>
          <w:color w:val="000000" w:themeColor="text1"/>
          <w:sz w:val="28"/>
          <w:szCs w:val="28"/>
        </w:rPr>
      </w:pPr>
      <w:r w:rsidRPr="0060148B">
        <w:t>2.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w:t>
      </w:r>
      <w:r w:rsidRPr="0060148B">
        <w:rPr>
          <w:rFonts w:cs="Calibri"/>
          <w:color w:val="000000" w:themeColor="text1"/>
          <w:sz w:val="28"/>
          <w:szCs w:val="28"/>
        </w:rPr>
        <w:t xml:space="preserve"> </w:t>
      </w:r>
    </w:p>
    <w:p w14:paraId="42A8EBAF" w14:textId="77777777" w:rsidR="009C1A2E" w:rsidRPr="0060148B" w:rsidRDefault="009C1A2E" w:rsidP="009C1A2E">
      <w:pPr>
        <w:pStyle w:val="Heading4"/>
        <w:rPr>
          <w:rFonts w:asciiTheme="majorHAnsi" w:hAnsiTheme="majorHAnsi" w:cstheme="majorHAnsi"/>
          <w:color w:val="000000" w:themeColor="text1"/>
          <w:sz w:val="12"/>
          <w:szCs w:val="12"/>
        </w:rPr>
      </w:pPr>
      <w:r w:rsidRPr="0060148B">
        <w:t>Schaefer 13</w:t>
      </w:r>
      <w:r w:rsidRPr="0060148B">
        <w:rPr>
          <w:sz w:val="12"/>
          <w:szCs w:val="12"/>
        </w:rPr>
        <w:t>. Schaefer, D. "The Promise of Affect: The Politics of the Event in Ahmed's The Promise of Happiness and Berlant's Cruel Optimism." Theory &amp; Event 16.2 (2013). Project MUSE. Web.</w:t>
      </w:r>
      <w:r w:rsidRPr="00255954">
        <w:t xml:space="preserve"> </w:t>
      </w:r>
      <w:proofErr w:type="gramStart"/>
      <w:r w:rsidRPr="00255954">
        <w:rPr>
          <w:sz w:val="12"/>
          <w:szCs w:val="12"/>
        </w:rPr>
        <w:t>https://muse.jhu.edu/article/509908</w:t>
      </w:r>
      <w:r w:rsidRPr="0060148B">
        <w:rPr>
          <w:sz w:val="12"/>
          <w:szCs w:val="12"/>
        </w:rPr>
        <w:t xml:space="preserve"> </w:t>
      </w:r>
      <w:r>
        <w:rPr>
          <w:sz w:val="12"/>
          <w:szCs w:val="12"/>
        </w:rPr>
        <w:t xml:space="preserve"> </w:t>
      </w:r>
      <w:r w:rsidRPr="00F018AE">
        <w:rPr>
          <w:sz w:val="12"/>
          <w:szCs w:val="12"/>
        </w:rPr>
        <w:t>Accessed</w:t>
      </w:r>
      <w:proofErr w:type="gramEnd"/>
      <w:r w:rsidRPr="00F018AE">
        <w:rPr>
          <w:sz w:val="12"/>
          <w:szCs w:val="12"/>
        </w:rPr>
        <w:t xml:space="preserve"> 9/17/21</w:t>
      </w:r>
      <w:r>
        <w:rPr>
          <w:sz w:val="12"/>
          <w:szCs w:val="12"/>
        </w:rPr>
        <w:t xml:space="preserve"> AX</w:t>
      </w:r>
    </w:p>
    <w:p w14:paraId="6566691F" w14:textId="77777777" w:rsidR="009C1A2E" w:rsidRPr="00286049" w:rsidRDefault="009C1A2E" w:rsidP="00286049">
      <w:r w:rsidRPr="00286049">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286049">
        <w:t>aparticular</w:t>
      </w:r>
      <w:proofErr w:type="spellEnd"/>
      <w:r w:rsidRPr="00286049">
        <w:t xml:space="preserve"> embodied iteration within this field. Texts are produced by bodies that are both enmeshed in their political worlds and trying to negotiate those worlds in their own distinct way. Everything we do is realism: Berlant's textual objects of study are mediations, attempts to work something out, exhibitions of tensed, embodied, affective realities.1 This is the promise of 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 at the same time thinking of how bodies inject their own materiality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286049">
        <w:t>Kosofsky</w:t>
      </w:r>
      <w:proofErr w:type="spellEnd"/>
      <w:r w:rsidRPr="00286049">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Affect theory in this vision is designed to explore the "crucial knowledges" of bodies outside a purely theoretical determination, outside the traditional domains of humanist scholarship—reason, cognition, and language (Sedgwick: 2003, 114). Affect, for Lauren Berlant, is thus understandable as "sensual matter that is elsewhere to sovereign consciousness but that has historical significance in domains of subjectivity" (Berlant: 2011, 53). Affect theory is about how systems of forces circulating within bodies—forces not necessarily subsumable or describable by language—interface with histories.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w:t>
      </w:r>
      <w:proofErr w:type="spellStart"/>
      <w:r w:rsidRPr="00286049">
        <w:t>Deleuzians</w:t>
      </w:r>
      <w:proofErr w:type="spellEnd"/>
      <w:r w:rsidRPr="00286049">
        <w:t xml:space="preserve"> such as Brian Massumi4 and William Connolly5 have been targeted by these critics for their attempts at absorbing scientific research into the </w:t>
      </w:r>
      <w:proofErr w:type="spellStart"/>
      <w:r w:rsidRPr="00286049">
        <w:t>Spinozistic</w:t>
      </w:r>
      <w:proofErr w:type="spellEnd"/>
      <w:r w:rsidRPr="00286049">
        <w:t xml:space="preserve"> discourse of affect. But Spinoza and Deleuze are second-tier characters in Ahmed and Berlant's work—which is perhaps why Ahmed situates herself in a lineage—stretching back to Sedgwick—that she calls "feminist cultural studies of affect"6 (Ahmed: 2010, 13). Where the </w:t>
      </w:r>
      <w:proofErr w:type="spellStart"/>
      <w:r w:rsidRPr="00286049">
        <w:t>Deleuzian</w:t>
      </w:r>
      <w:proofErr w:type="spellEnd"/>
      <w:r w:rsidRPr="00286049">
        <w:t xml:space="preserve"> strands focuses on affect as the raw material of becoming, as the play of substances, Ahmed and Berlant locate affect theory as a phenomenological, rather than ontological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Happiness is not autonomous, Ahmed argues, but a relationship of evaluation that creates the horizon of the self. For Ahmed, the "near sphere" of the self is constituted by a perimeter studded with "happy objects." This cluster of objects is what gives the field of mobile operations of the self its shape.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286049">
        <w:t>promittere</w:t>
      </w:r>
      <w:proofErr w:type="spellEnd"/>
      <w:r w:rsidRPr="00286049">
        <w:t xml:space="preserv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w:t>
      </w:r>
      <w:proofErr w:type="gramStart"/>
      <w:r w:rsidRPr="00286049">
        <w:t>book</w:t>
      </w:r>
      <w:proofErr w:type="gramEnd"/>
      <w:r w:rsidRPr="00286049">
        <w:t xml:space="preserve">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Cruel optimism, she explains at the book's outset, refers to a relation that emerges "when something you desire is actually an obstacle to your flourishing. It might involve food, or a kind of love; it might be a fantasy of the good life, or a political project" (Berlant: 2011, 1). Berlant explores a range of situations where these attachments emerge, as a response to trauma or out of the ongoing pressures of the ordinary,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tracing the connective tissue between bodies and situations is what lets Berlant speak to the political uses of affect. She suggests that affect theory is a "another phase in the history of ideology theory," that it "brings us back to the encounter of what is sensed with what is known and what has impact in a new but also recognizable way" (Berlant: 2011, 53). Affect—especially ordinary affect—is the missing link between discursive regimes and bodies, the arterial linkages through which power is disseminated. "The present" is not an assemblage of texts and knowledges, bloodless discursive inscriptions on the body, but a felt sense out of which political circumstances emerge. "We understand nothing about impasses of the political," she writes, "without having an account of the production of the present" (Berlant: 2011, 4). Cruel optimism as a byproduct of political situations colliding with bodies plays out in ongoing, </w:t>
      </w:r>
      <w:proofErr w:type="spellStart"/>
      <w:r w:rsidRPr="00286049">
        <w:t>semistable</w:t>
      </w:r>
      <w:proofErr w:type="spellEnd"/>
      <w:r w:rsidRPr="00286049">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w:t>
      </w:r>
      <w:proofErr w:type="spellStart"/>
      <w:r w:rsidRPr="00286049">
        <w:t>stuckness</w:t>
      </w:r>
      <w:proofErr w:type="spellEnd"/>
      <w:r w:rsidRPr="00286049">
        <w:t xml:space="preserve">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286049">
        <w:t>gonna</w:t>
      </w:r>
      <w:proofErr w:type="spellEnd"/>
      <w:r w:rsidRPr="00286049">
        <w:t xml:space="preserve"> come'" (Berlant: 2011, 2). Rather than a singularly identifiable feeling, optimism takes the phenomenological form of a "knotty tethering to objects, scenes, and modes of life that generate so much overwhelming yet sustaining negation" (Berlant: 2011, 52).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286049">
        <w:t>Bordowitz's</w:t>
      </w:r>
      <w:proofErr w:type="spellEnd"/>
      <w:r w:rsidRPr="00286049">
        <w:t xml:space="preserve"> documentary </w:t>
      </w:r>
      <w:proofErr w:type="spellStart"/>
      <w:r w:rsidRPr="00286049">
        <w:t>filmHabit</w:t>
      </w:r>
      <w:proofErr w:type="spellEnd"/>
      <w:r w:rsidRPr="00286049">
        <w:t xml:space="preserve"> (2001), about the body rituals that structure the daily lives of a gay man living with AIDS and his partner in New York City in the 1990s. </w:t>
      </w:r>
      <w:proofErr w:type="spellStart"/>
      <w:r w:rsidRPr="00286049">
        <w:t>Bordowitz's</w:t>
      </w:r>
      <w:proofErr w:type="spellEnd"/>
      <w:r w:rsidRPr="00286049">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cruel optimism, they brainstormed the following list: heroin, abusive relationships, candy, horcruxes. Each of these instances suggests a vital but destructive need, an ambivalent compulsion—an addiction, where the tectonic plates of the body's affects shift in friction with one another. Cruel optimism indexes these moments where a body desires and needs an arrangement of the world that is also frustrating or corrosive.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Politics produces fantasies, tethers that draw us forward to particular attachments in the form of images, narratives, bodily practices. But these fantasies also contain the elements of their own frustration or refusal.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w:t>
      </w:r>
      <w:proofErr w:type="spellStart"/>
      <w:r w:rsidRPr="00286049">
        <w:t>Žižek</w:t>
      </w:r>
      <w:proofErr w:type="spellEnd"/>
      <w:r w:rsidRPr="00286049">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286049">
        <w:t>affectsphere</w:t>
      </w:r>
      <w:proofErr w:type="spellEnd"/>
      <w:r w:rsidRPr="00286049">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286049">
        <w:t>Thus</w:t>
      </w:r>
      <w:proofErr w:type="gramEnd"/>
      <w:r w:rsidRPr="00286049">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286049">
        <w:t>ofpromise</w:t>
      </w:r>
      <w:proofErr w:type="spellEnd"/>
      <w:r w:rsidRPr="00286049">
        <w:t xml:space="preserve">. </w:t>
      </w:r>
      <w:proofErr w:type="gramStart"/>
      <w:r w:rsidRPr="00286049">
        <w:t>Thus</w:t>
      </w:r>
      <w:proofErr w:type="gramEnd"/>
      <w:r w:rsidRPr="00286049">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286049">
        <w:t>thematics</w:t>
      </w:r>
      <w:proofErr w:type="spellEnd"/>
      <w:r w:rsidRPr="00286049">
        <w:t xml:space="preserve"> of the promise that allows us to view affect as a state of deferral. But Ahmed comes closest to Berlant when she writes that "[</w:t>
      </w:r>
      <w:proofErr w:type="spellStart"/>
      <w:r w:rsidRPr="00286049">
        <w:t>i</w:t>
      </w:r>
      <w:proofErr w:type="spellEnd"/>
      <w:r w:rsidRPr="00286049">
        <w:t xml:space="preserve">]f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286049">
        <w:t>evental</w:t>
      </w:r>
      <w:proofErr w:type="spellEnd"/>
      <w:r w:rsidRPr="00286049">
        <w:t xml:space="preserve"> horizon constituted by uncertainty, rather than promise. Berlant seems more skeptical about the possibility of untethering ourselves from an orientation to future happiness. As in her response to </w:t>
      </w:r>
      <w:proofErr w:type="spellStart"/>
      <w:r w:rsidRPr="00286049">
        <w:t>Žižek</w:t>
      </w:r>
      <w:proofErr w:type="spellEnd"/>
      <w:r w:rsidRPr="00286049">
        <w:t xml:space="preserve">,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286049">
        <w:t>thematics</w:t>
      </w:r>
      <w:proofErr w:type="spellEnd"/>
      <w:r w:rsidRPr="00286049">
        <w:t xml:space="preserve"> of frustration and of addiction in the moving </w:t>
      </w:r>
      <w:proofErr w:type="spellStart"/>
      <w:r w:rsidRPr="00286049">
        <w:t>affectsphere</w:t>
      </w:r>
      <w:proofErr w:type="spellEnd"/>
      <w:r w:rsidRPr="00286049">
        <w:t xml:space="preserve"> of the political. What both Ahmed and Berlant demonstrate is that affect theory offers a crucial set of resources for thinking through the relationship between bodies and discourses. The enterprise of thinking politics, of mapping the enfolding of bodies by power, cannot move forward without affect.</w:t>
      </w:r>
    </w:p>
    <w:p w14:paraId="24DBAE38" w14:textId="77777777" w:rsidR="009C1A2E" w:rsidRPr="0060148B" w:rsidRDefault="009C1A2E" w:rsidP="009C1A2E">
      <w:pPr>
        <w:rPr>
          <w:sz w:val="16"/>
        </w:rPr>
      </w:pPr>
    </w:p>
    <w:p w14:paraId="1AB759A9" w14:textId="77777777" w:rsidR="009C1A2E" w:rsidRPr="0060148B" w:rsidRDefault="009C1A2E" w:rsidP="009C1A2E">
      <w:pPr>
        <w:pStyle w:val="Heading2"/>
      </w:pPr>
    </w:p>
    <w:p w14:paraId="06F76E88" w14:textId="77777777" w:rsidR="009C1A2E" w:rsidRPr="00CB24CB" w:rsidRDefault="009C1A2E" w:rsidP="009C1A2E">
      <w:pPr>
        <w:pStyle w:val="Heading2"/>
      </w:pPr>
      <w:r w:rsidRPr="00CB24CB">
        <w:t>Offense</w:t>
      </w:r>
    </w:p>
    <w:p w14:paraId="5D580B7B" w14:textId="77777777" w:rsidR="009C1A2E" w:rsidRDefault="009C1A2E" w:rsidP="009C1A2E">
      <w:pPr>
        <w:pStyle w:val="Heading4"/>
      </w:pPr>
      <w:proofErr w:type="gramStart"/>
      <w:r w:rsidRPr="00CB24CB">
        <w:t>Thus</w:t>
      </w:r>
      <w:proofErr w:type="gramEnd"/>
      <w:r w:rsidRPr="00CB24CB">
        <w:t xml:space="preserve"> the advocacy: I affirm resolved: A just government ought to recognize an unconditional right of workers to strike. I am willing to clarify or specify anything in CX to avoid frivolous T debates. PICs don’t negate because general principles tolerate exceptions</w:t>
      </w:r>
    </w:p>
    <w:p w14:paraId="1ACF4172" w14:textId="77777777" w:rsidR="009C1A2E" w:rsidRPr="00383354" w:rsidRDefault="009C1A2E" w:rsidP="009C1A2E"/>
    <w:p w14:paraId="1C0E83A4" w14:textId="77777777" w:rsidR="009C1A2E" w:rsidRPr="00CB24CB" w:rsidRDefault="009C1A2E" w:rsidP="009C1A2E">
      <w:pPr>
        <w:pStyle w:val="Heading4"/>
        <w:numPr>
          <w:ilvl w:val="0"/>
          <w:numId w:val="13"/>
        </w:numPr>
        <w:tabs>
          <w:tab w:val="num" w:pos="1080"/>
        </w:tabs>
        <w:ind w:left="1080"/>
      </w:pPr>
      <w:r w:rsidRPr="00CB24CB">
        <w:t xml:space="preserve">The recognition of the right to strike is a line of flight against capitalism and the employer. Strikes recognize the fluid nature of being and avoid the static nature of the worker. </w:t>
      </w:r>
    </w:p>
    <w:p w14:paraId="73DCDA28" w14:textId="77777777" w:rsidR="009C1A2E" w:rsidRPr="00CB24CB" w:rsidRDefault="009C1A2E" w:rsidP="009C1A2E">
      <w:r w:rsidRPr="00CB24CB">
        <w:rPr>
          <w:rStyle w:val="Style13ptBold"/>
        </w:rPr>
        <w:t>Lim 19</w:t>
      </w:r>
      <w:r w:rsidRPr="00CB24CB">
        <w:t xml:space="preserve"> [</w:t>
      </w:r>
      <w:proofErr w:type="spellStart"/>
      <w:r w:rsidRPr="00CB24CB">
        <w:t>Woojin</w:t>
      </w:r>
      <w:proofErr w:type="spellEnd"/>
      <w:r w:rsidRPr="00CB24CB">
        <w:t xml:space="preserve"> Lim Writer for the Harvard Crimson and Philosophy concentrator at Harvard, 12-11-2019“The Right to Strike” </w:t>
      </w:r>
      <w:hyperlink r:id="rId7" w:history="1">
        <w:r w:rsidRPr="00CB24CB">
          <w:rPr>
            <w:rStyle w:val="Hyperlink"/>
          </w:rPr>
          <w:t>https://www.thecrimson.com/article/2019/12/11/lim-right-to-strike/</w:t>
        </w:r>
      </w:hyperlink>
      <w:r w:rsidRPr="00CB24CB">
        <w:t>] AX</w:t>
      </w:r>
    </w:p>
    <w:p w14:paraId="7AAA177B" w14:textId="734424A7" w:rsidR="009C1A2E" w:rsidRPr="00286049" w:rsidRDefault="009C1A2E" w:rsidP="00286049">
      <w:r w:rsidRPr="00286049">
        <w:t xml:space="preserve">The right to strike is a </w:t>
      </w:r>
      <w:hyperlink r:id="rId8" w:history="1">
        <w:r w:rsidRPr="00286049">
          <w:rPr>
            <w:rStyle w:val="Hyperlink"/>
          </w:rPr>
          <w:t>right</w:t>
        </w:r>
      </w:hyperlink>
      <w:r w:rsidRPr="00286049">
        <w:t xml:space="preserve"> to resist oppression. 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 The concerted withdrawal of labor allows workers to promote and defend their unprotected economic and social interests from employers’ unilateral decisions, and provide employers with pressure and incentives to make reasonable concessions. Functionally, strikes provide workers with the bargaining power to drive fair and meaningful negotiations, offsetting the inherent inequalities of bargaining power in the employer-employee relationship. The right to strike is essential in preserving and winning rights. Any curtailment of this right involves the risk of weakening the very basis of collective bargaining. Strikes are not only a means of demanding and achieving an adequate provision of basic liberties but also are themselves intrinsic, self-determined expressions of freedom and human rights.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w:t>
      </w:r>
    </w:p>
    <w:p w14:paraId="183F13E8" w14:textId="46EB5ADC" w:rsidR="00281414" w:rsidRDefault="00281414" w:rsidP="009C1A2E">
      <w:pPr>
        <w:rPr>
          <w:sz w:val="16"/>
        </w:rPr>
      </w:pPr>
    </w:p>
    <w:p w14:paraId="6A53B9B3" w14:textId="52D53C7D" w:rsidR="009C1A2E" w:rsidRPr="00E41D0E" w:rsidRDefault="009C1A2E" w:rsidP="009C1A2E">
      <w:pPr>
        <w:pStyle w:val="Heading4"/>
        <w:numPr>
          <w:ilvl w:val="0"/>
          <w:numId w:val="13"/>
        </w:numPr>
        <w:tabs>
          <w:tab w:val="num" w:pos="1080"/>
        </w:tabs>
        <w:ind w:left="1080"/>
      </w:pPr>
      <w:r>
        <w:t xml:space="preserve">The right to strike is </w:t>
      </w:r>
      <w:r w:rsidR="001317CA">
        <w:t xml:space="preserve">a reimagining of politics - A means of political recognition and empowerment by disrupting the neoliberal order through exposing the difference between discursive commitments and material </w:t>
      </w:r>
      <w:r w:rsidR="00D232A9">
        <w:t>denial</w:t>
      </w:r>
    </w:p>
    <w:p w14:paraId="0E1121D1" w14:textId="7E47F2E0" w:rsidR="001317CA" w:rsidRDefault="001317CA" w:rsidP="00D01A42">
      <w:pPr>
        <w:rPr>
          <w:sz w:val="16"/>
        </w:rPr>
      </w:pPr>
      <w:r w:rsidRPr="001317CA">
        <w:rPr>
          <w:rStyle w:val="Style13ptBold"/>
        </w:rPr>
        <w:t>Means 11</w:t>
      </w:r>
      <w:r>
        <w:rPr>
          <w:rStyle w:val="Style13ptBold"/>
        </w:rPr>
        <w:t xml:space="preserve"> </w:t>
      </w:r>
      <w:r w:rsidRPr="001317CA">
        <w:rPr>
          <w:sz w:val="16"/>
        </w:rPr>
        <w:t xml:space="preserve">MEANS, A. (2011). </w:t>
      </w:r>
      <w:r>
        <w:rPr>
          <w:sz w:val="16"/>
        </w:rPr>
        <w:t>“</w:t>
      </w:r>
      <w:r w:rsidRPr="001317CA">
        <w:rPr>
          <w:sz w:val="16"/>
        </w:rPr>
        <w:t>Aesthetics, Affect, and Educational Politics. Educational Philosophy and Theory</w:t>
      </w:r>
      <w:r>
        <w:rPr>
          <w:sz w:val="16"/>
        </w:rPr>
        <w:t>”</w:t>
      </w:r>
      <w:r w:rsidRPr="001317CA">
        <w:rPr>
          <w:sz w:val="16"/>
        </w:rPr>
        <w:t>, 43(10), 1088–1102. doi:10.1111/j.1469-5812.</w:t>
      </w:r>
      <w:proofErr w:type="gramStart"/>
      <w:r w:rsidRPr="001317CA">
        <w:rPr>
          <w:sz w:val="16"/>
        </w:rPr>
        <w:t>2009.00615.x</w:t>
      </w:r>
      <w:proofErr w:type="gramEnd"/>
      <w:r w:rsidRPr="001317CA">
        <w:rPr>
          <w:sz w:val="16"/>
        </w:rPr>
        <w:t xml:space="preserve">  </w:t>
      </w:r>
    </w:p>
    <w:p w14:paraId="3DFD4F79" w14:textId="3AD81101" w:rsidR="00B34B59" w:rsidRPr="00286049" w:rsidRDefault="00B34B59" w:rsidP="00286049">
      <w:r w:rsidRPr="00286049">
        <w:t xml:space="preserve">I would like to suggest that these elements in Deleuze’s thought might form the basis for conceiving a notion of tactical affect. Such a concept might provide a frame for extending the theoretical and critical potential of </w:t>
      </w:r>
      <w:proofErr w:type="spellStart"/>
      <w:r w:rsidRPr="00286049">
        <w:t>Rancière’s</w:t>
      </w:r>
      <w:proofErr w:type="spellEnd"/>
      <w:r w:rsidRPr="00286049">
        <w:t xml:space="preserve"> aesthetic politics. First, such a frame foregrounds strategic/ethical decisions as self-reflexive, pragmatic, and actively political. Second, it advocates for caution. Social relations are to be carefully mapped, untangled, and opened up within their historical and contextual specificity. Third, it situates affect as a central organizing force in the movement, arrangement, and distribution of perception and </w:t>
      </w:r>
      <w:proofErr w:type="gramStart"/>
      <w:r w:rsidRPr="00286049">
        <w:t>with it</w:t>
      </w:r>
      <w:proofErr w:type="gramEnd"/>
      <w:r w:rsidRPr="00286049">
        <w:t xml:space="preserve"> modes of ethical practice and recognition. A notion of tactical affect, then, imagines (dis)sensual politics as a complex pragmatic and strategic/ethical process oriented toward disturbing and reconfiguring habitual postures and frames of perception so as to circulate and multiply potentials for material justice and the ethical recognition of subjects of equality. As such, it takes as axiomatic the necessity of promoting affective relations which might work to reveal the disjuncture between given orders of perception and the material and social inequalities which they conceal. Given the depoliticizing perceptual order of the neoliberal consensus and the inequalities which it makes possible, such tactical and affective considerations appear particularly urgent as we attempt to imagine new modes of dissent and democratic community. The hunger strike in Little Village represented a strategic/ethical decision on the part of the community to affect particular modes of response which could enable political recognition and empowerment. According to activist and scholar David Stovall, ‘the hunger strike was chosen due to its ability to demonstrate the seriousness of the community. It was not a decision couched in desperation. Instead, it was an intensely</w:t>
      </w:r>
      <w:r w:rsidR="00D01A42" w:rsidRPr="00286049">
        <w:t xml:space="preserve"> planned strategy’ (Stovall, 2005). Given the particular assemblage in which they were working, the community was able to tactically disrupt the neoliberal order of perception, by affectively revealing, through the denial of the body, the gross disjuncture between discursive commitments to educational justice and its concrete denial within the body politic. While the distribution of perception within Chicago remains firmly entrenched within a neoliberal order, a space has been opened in Little Village. The hunger strike resulted in the creation of a new high school where the memory of the community’s struggle is integrated into both the school’s design and into the principles of social justice which play a central role in the school’s curriculum and </w:t>
      </w:r>
      <w:proofErr w:type="spellStart"/>
      <w:proofErr w:type="gramStart"/>
      <w:r w:rsidR="00D01A42" w:rsidRPr="00286049">
        <w:t>vision.This</w:t>
      </w:r>
      <w:proofErr w:type="spellEnd"/>
      <w:proofErr w:type="gramEnd"/>
      <w:r w:rsidR="00D01A42" w:rsidRPr="00286049">
        <w:t xml:space="preserve"> space, both physical and social, might be said to open a semi-autonomous zone outside the empty consensual orders of the market. A space necessarily recognized as shifting, in flux, and becoming, but recognizable nonetheless as a powerful example of successful democratic resistance</w:t>
      </w:r>
      <w:r w:rsidR="003D47E5" w:rsidRPr="00286049">
        <w:t xml:space="preserve"> </w:t>
      </w:r>
      <w:r w:rsidR="00D01A42" w:rsidRPr="00286049">
        <w:t>as well as an ongoing challenge to the neoliberal police order.</w:t>
      </w:r>
    </w:p>
    <w:p w14:paraId="0F854321" w14:textId="77777777" w:rsidR="009C1A2E" w:rsidRDefault="009C1A2E" w:rsidP="009C1A2E">
      <w:pPr>
        <w:pStyle w:val="Heading4"/>
        <w:numPr>
          <w:ilvl w:val="0"/>
          <w:numId w:val="13"/>
        </w:numPr>
        <w:tabs>
          <w:tab w:val="num" w:pos="1080"/>
        </w:tabs>
        <w:ind w:left="1080"/>
      </w:pPr>
      <w:r>
        <w:t>Only by reframing the question to the potentiality of the strike as a space of knowledge production can we hope to destabilize systems of power and imperialism.</w:t>
      </w:r>
    </w:p>
    <w:p w14:paraId="066D0E87" w14:textId="77777777" w:rsidR="009C1A2E" w:rsidRDefault="009C1A2E" w:rsidP="009C1A2E">
      <w:proofErr w:type="spellStart"/>
      <w:r w:rsidRPr="009A6C88">
        <w:rPr>
          <w:rStyle w:val="Style13ptBold"/>
        </w:rPr>
        <w:t>Azoulay</w:t>
      </w:r>
      <w:proofErr w:type="spellEnd"/>
      <w:r w:rsidRPr="009A6C88">
        <w:rPr>
          <w:rStyle w:val="Style13ptBold"/>
        </w:rPr>
        <w:t xml:space="preserve"> 19</w:t>
      </w:r>
      <w:r>
        <w:t xml:space="preserve"> (Ariella Aisha </w:t>
      </w:r>
      <w:proofErr w:type="spellStart"/>
      <w:r>
        <w:t>Azoulay</w:t>
      </w:r>
      <w:proofErr w:type="spellEnd"/>
      <w:r>
        <w:t xml:space="preserve">, Imagine Going on Strike: Museum Workers and Historians, November 2019, Issue #104, </w:t>
      </w:r>
      <w:hyperlink r:id="rId9" w:history="1">
        <w:r w:rsidRPr="00A9478D">
          <w:rPr>
            <w:rStyle w:val="Hyperlink"/>
          </w:rPr>
          <w:t>https://www.e-flux.com/journal/104/299944/imagine-going-on-strike-museum-workers-and-historians/</w:t>
        </w:r>
      </w:hyperlink>
      <w:r>
        <w:t>) Recut AX</w:t>
      </w:r>
    </w:p>
    <w:p w14:paraId="20D2F3BD" w14:textId="77777777" w:rsidR="009C1A2E" w:rsidRPr="00286049" w:rsidRDefault="009C1A2E" w:rsidP="00286049">
      <w:r w:rsidRPr="00286049">
        <w:t xml:space="preserve">In contrast to liberal and social democratic arguments, Alex </w:t>
      </w:r>
      <w:proofErr w:type="spellStart"/>
      <w:r w:rsidRPr="00286049">
        <w:t>Gourevitch</w:t>
      </w:r>
      <w:proofErr w:type="spellEnd"/>
      <w:r w:rsidRPr="00286049">
        <w:t xml:space="preserve"> proposes a radical view of the right to strike. The right to strike, he claims, is derived from the right to resist oppression. In the case of strikes, he argues, oppression “is partly a product of the legal protection of basic economic liberties, which explains why the right to strike has priority over these liberties.” However, conceiving of a strike as the last but not the least right of the oppressed against their oppressors doesn’t exhaust the potential of the right to strike. Alongside this radical conception of strike, and by no means as its replacement, I propose to consider the strike not in terms of the right to protest against oppression, but rather as an opportunity to care for the shared world, including through questioning one’s privileges, withdrawing from them, and using them. For that purpose, one’s professional work in each and every domain—even in domains as varied as art, architecture, or medicine—cannot be conceived for itself and unfolded as a progressive history, nor as a distinct productive activity to be assessed by its outcomes, but rather as a worldly activity, a mode of engaging with the world that seeks to impact it while being ready to be impacted in return. In other words, if one’s work is conceived as a form of being-in-the-world, work stoppage cannot be conceived only in terms of the goals of the protest. One should consider the strike a modality of being in the world that takes place precisely by way of renunciation and avoidance, when one’s work is perceived as harming the shared world and the condition of sharing it. In a world conditioned by imperial power, a collective strike is an opportunity to unlearn imperialism with and among others even though it has been naturalized into one’s professional life. Going on strike is to claim one’s right not to engage with destructive practices, not to be an oppressor and perpetrator, not to act according to norms and protocols whose goals were defined to reproduce imperial and racial capitalist structures. To strike in this context is to consider one’s expertise-related privileges, which are at the same time part of one’s skills, and use them to generate a collective disruption of existing systems of knowledge and action that are predicated on the triple imperial principle. Imagine artists, photographers, curators, art scholars, newspaper editors, museumgoers, or art connoisseurs going on strike and refusing to pursue their work because the field of art sustains the imperial condition and participates in its reproduction. An analogy may be helpful here. Think about the group of programmers who went on strike and refused to build the technical platform for US immigration services. Being aware that IBM workers have been implicated in assisting the Nazi regime, they opt to avoid finding themselves, simply by doing their job, complicit with similar mechanisms that inflict harm and destroy the shared world. Imagine a thousand museumgoers who on Indigenous People’s Day go on strike and withhold the recognition that they are expected to give the museum exhibits; imagine them screaming that these exhibits are proof of imperial crimes, of genocides, human trafficking, and trade in organs, that these are denigrating statements or racist slurs. This doesn’t require an analogy or imagination—this is the strike museumgoers are performing, organized under the loose activist affinity of Decolonize This Place. Imagine the same, but performed not only by museumgoers but also by museum experts. Imagine. It is not unheard of. On the contrary, professionals in the world of art have been on strike and use their working power to put pressure on the employing institutions or exercise it as “productive withdrawals,” to use </w:t>
      </w:r>
      <w:proofErr w:type="spellStart"/>
      <w:r w:rsidRPr="00286049">
        <w:t>Kuba</w:t>
      </w:r>
      <w:proofErr w:type="spellEnd"/>
      <w:r w:rsidRPr="00286049">
        <w:t xml:space="preserve"> </w:t>
      </w:r>
      <w:proofErr w:type="spellStart"/>
      <w:r w:rsidRPr="00286049">
        <w:t>Szreder’s</w:t>
      </w:r>
      <w:proofErr w:type="spellEnd"/>
      <w:r w:rsidRPr="00286049">
        <w:t xml:space="preserve"> term. We know little about strikes. We often do know that they did take place, that some of them, mainly those that involved salary demands and working conditions, led to some reforms, and that hardly any of them had an effect on the imperial condition under which the world of art operates. Trying, however, to assemble the pieces, to connect processes of impoverishment, dispossession, exploitation, and the enslavement of people with the destruction of material worlds, looting and denigration of world-building qualities, one finds that the history of anti-imperial strikes within the art world has already been potentialized. Numerous strikes in colonized Africa against tax collectors or companies that hunted workers should be recognized as strikes against the institutionalization of the abyss between people and objects, against the imperial powers that forced people to turn their world-building skills into cheap or slave labor, and their sacred, spiritual, and ecological objects into commodities. Imagine a strike not only against this or that museum but against the very logic of the capital embodied in museums in its ultimate overt deception. Imagine a strike not as an attempt to improve one’s salary alone but rather as a strike against the very raison d’être of these institutions. Imagine a strike not out of despair, but as a moment of grace in which a potential history is all of a sudden perceptible, a potential history of a shared world that is not organized by imperial and racial capitalist principles. Imagine the looted objects as the palimpsests in which these potentialities are inscribed. Imagine experts in the world of art admitting that the entire project of artistic salvation to which they pledged allegiance is insane and that it could not have existed without exercising various forms of violence, attributing spectacular prices to pieces that should not have been acquired in the first place. Imagine that all those experts recognize that the knowledge and skills to create objects the museum violently rendered rare and valuable are not extinct. For these objects to preserve their market value, those people who inherited the knowledge and skills to continue to create them had to be denied the time and conditions to engage in building their world. Imagine museum directors and chief curators taken by a belated awakening—similar to the one that is sometimes experienced by soldiers—on the meaning of the violence they exercise under the guise of the benign and admitting the extent to which their profession is constitutive of differential violence. Imagine them no longer recognizing the exceptional value of looted objects, thus leading to the depreciation of their value in the market and the collapse of the accumulated capital. Imagine these experts going on strike until they are allowed to open the doors of their institutions to asylum seekers from the places from which their institutions hold objects, inviting them to produce objects similar to the looted ones, and letting the “authentic” </w:t>
      </w:r>
      <w:proofErr w:type="gramStart"/>
      <w:r w:rsidRPr="00286049">
        <w:t>ones</w:t>
      </w:r>
      <w:proofErr w:type="gramEnd"/>
      <w:r w:rsidRPr="00286049">
        <w:t xml:space="preserve"> fade among them. Dare to imagine museum workers going on strike until they are allowed to invite an entire community of “undocumented people,” not to attend the opening of exhibitions of objects extracted from their communities, but to stay for a period of several years to help the museum make sense of its collections of objects from their cultures. Imagine the museum workers letting them lead the conversations around what should be done with the looted objects and the destroyed worlds from which they were extracted. Imagine museum workers invested in interpreting the infographics showing asylum seekers from the same countries as the museal objects’ provenance and understanding asylum-seeking as a </w:t>
      </w:r>
      <w:proofErr w:type="spellStart"/>
      <w:r w:rsidRPr="00286049">
        <w:t>counterexpedition</w:t>
      </w:r>
      <w:proofErr w:type="spellEnd"/>
      <w:r w:rsidRPr="00286049">
        <w:t xml:space="preserve"> by people in search of their objects and destroyed worlds. Imagine them admitting that they were trained to believe themselves to have been acting on behalf of the public, but that in fact that public was a very specific one, exclusive and hierarchical, and their commitment actually catered to the interests of imperial actors, including museum directors, boards of trustees, gallery owners, collectors, dealers, statesmen, and corporate stakeholders. All these interested actors tied their hands and prevented them from engaging with their museum’s debts (its real debt, not the debt incurred due to budgetary deficit) to those people whose worlds were destroyed so that the museum and its stakeholders could be enriched. A proof of the museal and art experts’ service to the imperial actors, if a proof is still needed, can be found in the piles of papers through which the traffic of looted objects has been cleansed so that precious artifacts could be stored in the museum, and particularly in the papers through which donations have been described, stipulating that such objects can be resold only to other museums should the museum decide to deaccession them. Imagine a strike like this.</w:t>
      </w:r>
    </w:p>
    <w:p w14:paraId="57DD50F5" w14:textId="77777777" w:rsidR="009C1A2E" w:rsidRPr="0060148B" w:rsidRDefault="009C1A2E" w:rsidP="009C1A2E">
      <w:pPr>
        <w:pStyle w:val="Heading2"/>
      </w:pPr>
      <w:r w:rsidRPr="0060148B">
        <w:t>Method</w:t>
      </w:r>
    </w:p>
    <w:p w14:paraId="6077A2CA" w14:textId="77777777" w:rsidR="009C1A2E" w:rsidRPr="0060148B" w:rsidRDefault="009C1A2E" w:rsidP="009C1A2E">
      <w:pPr>
        <w:pStyle w:val="Heading4"/>
        <w:numPr>
          <w:ilvl w:val="0"/>
          <w:numId w:val="12"/>
        </w:numPr>
        <w:tabs>
          <w:tab w:val="num" w:pos="720"/>
        </w:tabs>
      </w:pPr>
      <w:r w:rsidRPr="0060148B">
        <w:t xml:space="preserve">Death is </w:t>
      </w:r>
      <w:r w:rsidRPr="0060148B">
        <w:rPr>
          <w:u w:val="single"/>
        </w:rPr>
        <w:t>inevitable</w:t>
      </w:r>
      <w:r w:rsidRPr="0060148B">
        <w:t xml:space="preserve"> – decomposition is a new composition - your body decomposes and its parts enter new relations- we should not be afraid to enter </w:t>
      </w:r>
      <w:r w:rsidRPr="0060148B">
        <w:rPr>
          <w:u w:val="single"/>
        </w:rPr>
        <w:t>new worlds</w:t>
      </w:r>
      <w:r w:rsidRPr="0060148B">
        <w:t xml:space="preserve"> of affective relations.</w:t>
      </w:r>
    </w:p>
    <w:p w14:paraId="68AD0CC7" w14:textId="77777777" w:rsidR="009C1A2E" w:rsidRPr="0060148B" w:rsidRDefault="009C1A2E" w:rsidP="009C1A2E">
      <w:pPr>
        <w:rPr>
          <w:rStyle w:val="Style13ptBold"/>
          <w:b w:val="0"/>
        </w:rPr>
      </w:pPr>
      <w:r w:rsidRPr="0060148B">
        <w:rPr>
          <w:rStyle w:val="Style13ptBold"/>
        </w:rPr>
        <w:t xml:space="preserve">Baugh 05 </w:t>
      </w:r>
    </w:p>
    <w:p w14:paraId="51D00FA0" w14:textId="77777777" w:rsidR="009C1A2E" w:rsidRPr="0060148B" w:rsidRDefault="009C1A2E" w:rsidP="009C1A2E">
      <w:pPr>
        <w:rPr>
          <w:sz w:val="16"/>
          <w:szCs w:val="16"/>
        </w:rPr>
      </w:pPr>
      <w:r w:rsidRPr="0060148B">
        <w:rPr>
          <w:sz w:val="16"/>
          <w:szCs w:val="16"/>
        </w:rPr>
        <w:t>[Bruce, Professor of Philosophy at Thompson Rivers University. He is the author of French Hegel: From Surrealism to Postmodernism (2003), as well as several articles on Deleuze. 2005. “Death”. Published in “The Deleuze Dictionary”.</w:t>
      </w:r>
      <w:r>
        <w:rPr>
          <w:sz w:val="16"/>
          <w:szCs w:val="16"/>
        </w:rPr>
        <w:t xml:space="preserve"> Accessed 9/17/21 </w:t>
      </w:r>
      <w:r w:rsidRPr="00407525">
        <w:rPr>
          <w:sz w:val="16"/>
          <w:szCs w:val="16"/>
        </w:rPr>
        <w:t>https://chilonas.files.wordpress.com/2018/11/thedeleuzedictionary.pdf</w:t>
      </w:r>
      <w:r w:rsidRPr="0060148B">
        <w:rPr>
          <w:sz w:val="16"/>
          <w:szCs w:val="16"/>
        </w:rPr>
        <w:t xml:space="preserve">] </w:t>
      </w:r>
      <w:r>
        <w:rPr>
          <w:sz w:val="16"/>
          <w:szCs w:val="16"/>
        </w:rPr>
        <w:t>Recut AX</w:t>
      </w:r>
    </w:p>
    <w:p w14:paraId="35F44517" w14:textId="77777777" w:rsidR="009C1A2E" w:rsidRPr="00286049" w:rsidRDefault="009C1A2E" w:rsidP="00286049">
      <w:r w:rsidRPr="00286049">
        <w:t xml:space="preserve">Death is many things: a state of affairs, when a body’s parts, through external causes, enter into a relation that is incompatible with that body’s continued existence; an impersonal event of dying, expressed through an </w:t>
      </w:r>
      <w:proofErr w:type="spellStart"/>
      <w:r w:rsidRPr="00286049">
        <w:t>inﬁ</w:t>
      </w:r>
      <w:proofErr w:type="spellEnd"/>
      <w:r w:rsidRPr="00286049">
        <w:t xml:space="preserve"> </w:t>
      </w:r>
      <w:proofErr w:type="spellStart"/>
      <w:r w:rsidRPr="00286049">
        <w:t>nitive</w:t>
      </w:r>
      <w:proofErr w:type="spellEnd"/>
      <w:r w:rsidRPr="00286049">
        <w:t xml:space="preserve"> verb (</w:t>
      </w:r>
      <w:proofErr w:type="spellStart"/>
      <w:r w:rsidRPr="00286049">
        <w:t>mourir</w:t>
      </w:r>
      <w:proofErr w:type="spellEnd"/>
      <w:r w:rsidRPr="00286049">
        <w:t xml:space="preserve">, to die); the experience of zero ‘intensity’ that is implicit in a body’s feeling or experience of an increase or decrease in its force of existence; a ‘model’ of immobility and of energy that is not </w:t>
      </w:r>
      <w:proofErr w:type="spellStart"/>
      <w:r w:rsidRPr="00286049">
        <w:t>organised</w:t>
      </w:r>
      <w:proofErr w:type="spellEnd"/>
      <w:r w:rsidRPr="00286049">
        <w:t xml:space="preserve"> and put to work; and ﬁ </w:t>
      </w:r>
      <w:proofErr w:type="spellStart"/>
      <w:r w:rsidRPr="00286049">
        <w:t>nally</w:t>
      </w:r>
      <w:proofErr w:type="spellEnd"/>
      <w:r w:rsidRPr="00286049">
        <w:t xml:space="preserve">, the ‘death instinct’, capitalism’s destruction of surplus value through war, unemployment, famine and disease. A body exists when its parts compose a relation that expresses the singular force of existence or ‘essence’ of that body, and ceases to be when its parts are determined by outside causes to enter into a relation that is incompatible with its own. Death in this sense always comes from outside and as such is both fortuitous and inevitable: it is the necessary and determined result of a body’s chance encounters with other bodies, governed by purely mechanical laws of cause and effect. Since </w:t>
      </w:r>
      <w:proofErr w:type="spellStart"/>
      <w:r w:rsidRPr="00286049">
        <w:t>every body</w:t>
      </w:r>
      <w:proofErr w:type="spellEnd"/>
      <w:r w:rsidRPr="00286049">
        <w:t xml:space="preserve"> interacts with other bodies, it is inevitable that at some point it will encounter bodies that ‘decompose’ the vital relation of its parts, and cause those parts to enter into new relations, characteristic of other bodies. Death, as the decomposition of a body’s characteristic relation, forms the basis of the personal and present death of the Self or </w:t>
      </w:r>
      <w:proofErr w:type="spellStart"/>
      <w:proofErr w:type="gramStart"/>
      <w:r w:rsidRPr="00286049">
        <w:t>ego.To</w:t>
      </w:r>
      <w:proofErr w:type="spellEnd"/>
      <w:proofErr w:type="gramEnd"/>
      <w:r w:rsidRPr="00286049">
        <w:t xml:space="preserve"> this death, as founded in the personal self and the body, Deleuze contrasts the ‘event’ of dying, which is impersonal and incorporeal, expressed in the </w:t>
      </w:r>
      <w:proofErr w:type="spellStart"/>
      <w:r w:rsidRPr="00286049">
        <w:t>inﬁ</w:t>
      </w:r>
      <w:proofErr w:type="spellEnd"/>
      <w:r w:rsidRPr="00286049">
        <w:t xml:space="preserve"> </w:t>
      </w:r>
      <w:proofErr w:type="spellStart"/>
      <w:r w:rsidRPr="00286049">
        <w:t>nitive</w:t>
      </w:r>
      <w:proofErr w:type="spellEnd"/>
      <w:r w:rsidRPr="00286049">
        <w:t xml:space="preserve"> verb ‘to die’ and in the predicate mortal. Dying is not a process that takes place in things, nor is ‘mortal’ a quality that inheres in things or subjects. Rather, the verb and the predicate express meanings that extend over the past and future, but which are never physically present in bodies and things, even though the death of a body effectuates or </w:t>
      </w:r>
      <w:proofErr w:type="spellStart"/>
      <w:r w:rsidRPr="00286049">
        <w:t>actualises</w:t>
      </w:r>
      <w:proofErr w:type="spellEnd"/>
      <w:r w:rsidRPr="00286049">
        <w:t xml:space="preserve"> this dying. In impersonal dying, ‘one’ </w:t>
      </w:r>
      <w:proofErr w:type="gramStart"/>
      <w:r w:rsidRPr="00286049">
        <w:t>dies</w:t>
      </w:r>
      <w:proofErr w:type="gramEnd"/>
      <w:r w:rsidRPr="00286049">
        <w:t xml:space="preserve">, but one never ceases or ﬁ </w:t>
      </w:r>
      <w:proofErr w:type="spellStart"/>
      <w:r w:rsidRPr="00286049">
        <w:t>nishes</w:t>
      </w:r>
      <w:proofErr w:type="spellEnd"/>
      <w:r w:rsidRPr="00286049">
        <w:t xml:space="preserve"> dying. The death of the Self or ‘I’ is when it ceases to die and is actually dead: when its vital relations are decomposed, and its essence or power of existence is reduced to zero intensity. Yet, at this very instant, impersonal dying makes death lose itself in itself, as the decomposition of one living body is simultaneously the composition of a new singular life, </w:t>
      </w:r>
      <w:proofErr w:type="gramStart"/>
      <w:r w:rsidRPr="00286049">
        <w:t>the  subsumption</w:t>
      </w:r>
      <w:proofErr w:type="gramEnd"/>
      <w:r w:rsidRPr="00286049">
        <w:t xml:space="preserve"> of the dead body’s parts under a new relation. During its existence, bodies experience increases or diminutions of their power or force of existing. Other bodies can combine with a body either in a way that agrees with the body’s constitutive relation, that results in an increase in the body’s power felt as joy, or in a way that is incompatible with that relation, resulting in a diminution of power felt as sadness. Power is physical energy, a degree of intensity, so that every increase or decrease in power is an increase or decrease in intensity. When the body dies, and the Self or the ego with it, they are returned to the zero intensity from which existence emerges. Every transition from a greater to a lesser intensity, or from a lesser to a greater, involves and envelops the zero intensity with respect to which it experiences its power as increasing or decreasing. Death is thus felt in every feeling, experienced ‘in life and for </w:t>
      </w:r>
      <w:proofErr w:type="spellStart"/>
      <w:r w:rsidRPr="00286049">
        <w:t>life</w:t>
      </w:r>
      <w:proofErr w:type="gramStart"/>
      <w:r w:rsidRPr="00286049">
        <w:t>’.It</w:t>
      </w:r>
      <w:proofErr w:type="spellEnd"/>
      <w:proofErr w:type="gramEnd"/>
      <w:r w:rsidRPr="00286049">
        <w:t xml:space="preserve"> is in that sense that the life instincts and appetites arise from the emptiness or zero intensity of death. The ‘model’ of zero intensity is thus the Body without Organs (</w:t>
      </w:r>
      <w:proofErr w:type="spellStart"/>
      <w:r w:rsidRPr="00286049">
        <w:t>BwO</w:t>
      </w:r>
      <w:proofErr w:type="spellEnd"/>
      <w:r w:rsidRPr="00286049">
        <w:t xml:space="preserve">), the body that is not </w:t>
      </w:r>
      <w:proofErr w:type="spellStart"/>
      <w:r w:rsidRPr="00286049">
        <w:t>organised</w:t>
      </w:r>
      <w:proofErr w:type="spellEnd"/>
      <w:r w:rsidRPr="00286049">
        <w:t xml:space="preserve"> into organs with </w:t>
      </w:r>
      <w:proofErr w:type="spellStart"/>
      <w:r w:rsidRPr="00286049">
        <w:t>speciﬁ</w:t>
      </w:r>
      <w:proofErr w:type="spellEnd"/>
      <w:r w:rsidRPr="00286049">
        <w:t xml:space="preserve"> c functions performing </w:t>
      </w:r>
      <w:proofErr w:type="spellStart"/>
      <w:r w:rsidRPr="00286049">
        <w:t>speciﬁ</w:t>
      </w:r>
      <w:proofErr w:type="spellEnd"/>
      <w:r w:rsidRPr="00286049">
        <w:t xml:space="preserve"> c tasks, the energy of which is not put to work, but is available for investment, what Deleuze calls death in its speculative form (taking ‘speculative’ in the sense of ﬁ </w:t>
      </w:r>
      <w:proofErr w:type="spellStart"/>
      <w:r w:rsidRPr="00286049">
        <w:t>nancial</w:t>
      </w:r>
      <w:proofErr w:type="spellEnd"/>
      <w:r w:rsidRPr="00286049">
        <w:t xml:space="preserve"> speculation). Since the </w:t>
      </w:r>
      <w:proofErr w:type="spellStart"/>
      <w:r w:rsidRPr="00286049">
        <w:t>BwO</w:t>
      </w:r>
      <w:proofErr w:type="spellEnd"/>
      <w:r w:rsidRPr="00286049">
        <w:t xml:space="preserve"> does not perform any </w:t>
      </w:r>
      <w:proofErr w:type="spellStart"/>
      <w:r w:rsidRPr="00286049">
        <w:t>labour</w:t>
      </w:r>
      <w:proofErr w:type="spellEnd"/>
      <w:r w:rsidRPr="00286049">
        <w:t xml:space="preserve">, it is immobile and catatonic. In The Logic of Sense, the catatonic </w:t>
      </w:r>
      <w:proofErr w:type="spellStart"/>
      <w:r w:rsidRPr="00286049">
        <w:t>BwO</w:t>
      </w:r>
      <w:proofErr w:type="spellEnd"/>
      <w:r w:rsidRPr="00286049">
        <w:t xml:space="preserve"> arises from within the depths of the instincts, as a death instinct, an emptiness disguised by every appetite. In Anti- Oedipus, Deleuze retains his deﬁ </w:t>
      </w:r>
      <w:proofErr w:type="spellStart"/>
      <w:r w:rsidRPr="00286049">
        <w:t>nition</w:t>
      </w:r>
      <w:proofErr w:type="spellEnd"/>
      <w:r w:rsidRPr="00286049">
        <w:t xml:space="preserve"> of the death instinct as </w:t>
      </w:r>
      <w:proofErr w:type="spellStart"/>
      <w:r w:rsidRPr="00286049">
        <w:t>desexualised</w:t>
      </w:r>
      <w:proofErr w:type="spellEnd"/>
      <w:r w:rsidRPr="00286049">
        <w:t xml:space="preserve"> energy available for investment, and as the source of the destructiveness of drives and instincts, but argues that rather than a principle, the death instinct is a product of the socially determined relations of production in the capitalist system. Death becomes an instinct, a diffused and immanent function of the capitalist system – </w:t>
      </w:r>
      <w:proofErr w:type="spellStart"/>
      <w:r w:rsidRPr="00286049">
        <w:t>speciﬁ</w:t>
      </w:r>
      <w:proofErr w:type="spellEnd"/>
      <w:r w:rsidRPr="00286049">
        <w:t xml:space="preserve"> </w:t>
      </w:r>
      <w:proofErr w:type="spellStart"/>
      <w:r w:rsidRPr="00286049">
        <w:t>cally</w:t>
      </w:r>
      <w:proofErr w:type="spellEnd"/>
      <w:r w:rsidRPr="00286049">
        <w:t>, capitalism’s absorption of the surplus value it produces through anti- production or the production of lack, such as war, unemployment, and the selection of certain populations for starvation and disease. The death instinct is thus historical and political, not natural.</w:t>
      </w:r>
    </w:p>
    <w:p w14:paraId="617B463C" w14:textId="588A429A" w:rsidR="009C1A2E" w:rsidRPr="009C1A2E" w:rsidRDefault="009C1A2E" w:rsidP="009C1A2E">
      <w:pPr>
        <w:pStyle w:val="Heading4"/>
        <w:numPr>
          <w:ilvl w:val="0"/>
          <w:numId w:val="12"/>
        </w:numPr>
      </w:pPr>
      <w:r>
        <w:t>T</w:t>
      </w:r>
      <w:r w:rsidRPr="009C1A2E">
        <w:t xml:space="preserve">he state currently commits acts that </w:t>
      </w:r>
      <w:proofErr w:type="spellStart"/>
      <w:r w:rsidRPr="009C1A2E">
        <w:t>overcode</w:t>
      </w:r>
      <w:proofErr w:type="spellEnd"/>
      <w:r w:rsidRPr="009C1A2E">
        <w:t xml:space="preserve"> subjects, but that does not mean the state inherently bad. It is a process rather than a thing that changes over time and it is our job to mold it to foster active desire and the process of </w:t>
      </w:r>
      <w:proofErr w:type="gramStart"/>
      <w:r w:rsidRPr="009C1A2E">
        <w:t>becoming .</w:t>
      </w:r>
      <w:proofErr w:type="gramEnd"/>
      <w:r w:rsidRPr="009C1A2E">
        <w:t xml:space="preserve"> </w:t>
      </w:r>
    </w:p>
    <w:p w14:paraId="514253A6" w14:textId="77777777" w:rsidR="009C1A2E" w:rsidRPr="00BA015C" w:rsidRDefault="009C1A2E" w:rsidP="009C1A2E">
      <w:pPr>
        <w:rPr>
          <w:rFonts w:ascii="Georgia" w:hAnsi="Georgia"/>
        </w:rPr>
      </w:pPr>
      <w:r w:rsidRPr="00BA015C">
        <w:rPr>
          <w:rStyle w:val="Heading4Char"/>
          <w:rFonts w:ascii="Georgia" w:hAnsi="Georgia"/>
        </w:rPr>
        <w:t>Robinson 09</w:t>
      </w:r>
      <w:r w:rsidRPr="00BA015C">
        <w:rPr>
          <w:rFonts w:ascii="Georgia" w:hAnsi="Georgia"/>
        </w:rPr>
        <w:t xml:space="preserve"> [Andrew. Andrew Robinson is a political theorist and activist based in the UK. His book Power, Resistance and Conflict in the Contemporary World: Social Movements, Networks and Hierarchies (co-authored with </w:t>
      </w:r>
      <w:proofErr w:type="spellStart"/>
      <w:r w:rsidRPr="00BA015C">
        <w:rPr>
          <w:rFonts w:ascii="Georgia" w:hAnsi="Georgia"/>
        </w:rPr>
        <w:t>Athina</w:t>
      </w:r>
      <w:proofErr w:type="spellEnd"/>
      <w:r w:rsidRPr="00BA015C">
        <w:rPr>
          <w:rFonts w:ascii="Georgia" w:hAnsi="Georgia"/>
        </w:rPr>
        <w:t xml:space="preserve"> </w:t>
      </w:r>
      <w:proofErr w:type="spellStart"/>
      <w:r w:rsidRPr="00BA015C">
        <w:rPr>
          <w:rFonts w:ascii="Georgia" w:hAnsi="Georgia"/>
        </w:rPr>
        <w:t>Karatzogianni</w:t>
      </w:r>
      <w:proofErr w:type="spellEnd"/>
      <w:r w:rsidRPr="00BA015C">
        <w:rPr>
          <w:rFonts w:ascii="Georgia" w:hAnsi="Georgia"/>
        </w:rPr>
        <w:t>) was published in Sep 2009 by Routledge. “In Theory Why Deleuze (still) matters: States, war-machines and radical transformation”. Ceasefire. September 10th] AA</w:t>
      </w:r>
    </w:p>
    <w:p w14:paraId="1584832A" w14:textId="11A061CF" w:rsidR="009C1A2E" w:rsidRPr="00286049" w:rsidRDefault="009C1A2E" w:rsidP="00286049">
      <w:r w:rsidRPr="00286049">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w:t>
      </w:r>
      <w:proofErr w:type="spellStart"/>
      <w:r w:rsidRPr="00286049">
        <w:t>Deleuzian</w:t>
      </w:r>
      <w:proofErr w:type="spellEnd"/>
      <w:r w:rsidRPr="00286049">
        <w:t xml:space="preserve">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w:t>
      </w:r>
      <w:proofErr w:type="spellStart"/>
      <w:r w:rsidRPr="00286049">
        <w:t>Deleuzian</w:t>
      </w:r>
      <w:proofErr w:type="spellEnd"/>
      <w:r w:rsidRPr="00286049">
        <w:t xml:space="preserve"> theory has limited resonance with the general gist of Deleuze and </w:t>
      </w:r>
      <w:proofErr w:type="spellStart"/>
      <w:r w:rsidRPr="00286049">
        <w:t>Guattari’s</w:t>
      </w:r>
      <w:proofErr w:type="spellEnd"/>
      <w:r w:rsidRPr="00286049">
        <w:t xml:space="preserve">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concepts is to make </w:t>
      </w:r>
      <w:proofErr w:type="spellStart"/>
      <w:r w:rsidRPr="00286049">
        <w:t>Deleuzian</w:t>
      </w:r>
      <w:proofErr w:type="spellEnd"/>
      <w:r w:rsidRPr="00286049">
        <w:t xml:space="preserve"> theory difficult to explain or express in its entirety.\¶ In this article, I have chosen to concentrate on the conceptual pairing of states and war-machines as a way of understanding the differences between autonomous social networks and hierarchical, repressive formations. Deleuze and </w:t>
      </w:r>
      <w:proofErr w:type="spellStart"/>
      <w:r w:rsidRPr="00286049">
        <w:t>Guattari</w:t>
      </w:r>
      <w:proofErr w:type="spellEnd"/>
      <w:r w:rsidRPr="00286049">
        <w:t xml:space="preserve"> view the ‘state’ as a particular kind of institutional regime derived from a set of social relations which can be traced to a way of seeing focused on the construction of fixities and representation. There is thus a basic form of the state (a “state-form”) in spite of the differences among specific states. Since Deleuze and </w:t>
      </w:r>
      <w:proofErr w:type="spellStart"/>
      <w:r w:rsidRPr="00286049">
        <w:t>Guattari’s</w:t>
      </w:r>
      <w:proofErr w:type="spellEnd"/>
      <w:r w:rsidRPr="00286049">
        <w:t xml:space="preserve"> theory is primarily relational and processual, the state exists primarily as a process rather than a thing. The state-form is defined by the processes or practices of ‘</w:t>
      </w:r>
      <w:proofErr w:type="spellStart"/>
      <w:r w:rsidRPr="00286049">
        <w:t>overcoding</w:t>
      </w:r>
      <w:proofErr w:type="spellEnd"/>
      <w:r w:rsidRPr="00286049">
        <w:t>’,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proofErr w:type="spellStart"/>
      <w:r w:rsidRPr="00286049">
        <w:t>Overcoding</w:t>
      </w:r>
      <w:proofErr w:type="spellEnd"/>
      <w:r w:rsidRPr="00286049">
        <w:t xml:space="preserve">’ consists in the imposition of the regime of meanings arising from this fixing of representations on the various processes through which social life and desire operate.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proofErr w:type="spellStart"/>
      <w:r w:rsidRPr="00286049">
        <w:t>Overcoding</w:t>
      </w:r>
      <w:proofErr w:type="spellEnd"/>
      <w:r w:rsidRPr="00286049">
        <w:t xml:space="preserve"> also, however, entails the destruction of anything which cannot be represented or </w:t>
      </w:r>
      <w:proofErr w:type="gramStart"/>
      <w:r w:rsidRPr="00286049">
        <w:t>encoded.¶</w:t>
      </w:r>
      <w:proofErr w:type="gramEnd"/>
      <w:r w:rsidRPr="00286049">
        <w:t xml:space="preserve"> ‘Machinic enslavement’ occurs when assembled groups of social relations and desires, known in </w:t>
      </w:r>
      <w:proofErr w:type="spellStart"/>
      <w:r w:rsidRPr="00286049">
        <w:t>Deleuzian</w:t>
      </w:r>
      <w:proofErr w:type="spellEnd"/>
      <w:r w:rsidRPr="00286049">
        <w:t xml:space="preserve"> theory as ‘machines’, are rendered subordinate to the regulatory function of the despotic signifier and hence incorporated in an overarching totality. This process identifies Deleuze and </w:t>
      </w:r>
      <w:proofErr w:type="spellStart"/>
      <w:r w:rsidRPr="00286049">
        <w:t>Guattari’s</w:t>
      </w:r>
      <w:proofErr w:type="spellEnd"/>
      <w:r w:rsidRPr="00286049">
        <w:t xml:space="preserve"> view of the state-form with Mumford’s idea of the megamachine,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It tends to destroy or reduce the intensity of horizontal connections, instead increasing the intensity of vertical subordination.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w:t>
      </w:r>
      <w:proofErr w:type="spellStart"/>
      <w:r w:rsidRPr="00286049">
        <w:t>recognised</w:t>
      </w:r>
      <w:proofErr w:type="spellEnd"/>
      <w:r w:rsidRPr="00286049">
        <w:t xml:space="preserve">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w:t>
      </w:r>
      <w:proofErr w:type="spellStart"/>
      <w:r w:rsidRPr="00286049">
        <w:t>institutionalisation</w:t>
      </w:r>
      <w:proofErr w:type="spellEnd"/>
      <w:r w:rsidRPr="00286049">
        <w:t xml:space="preserve"> of unwanted minorities (</w:t>
      </w:r>
      <w:proofErr w:type="gramStart"/>
      <w:r w:rsidRPr="00286049">
        <w:t>e.g.</w:t>
      </w:r>
      <w:proofErr w:type="gramEnd"/>
      <w:r w:rsidRPr="00286049">
        <w:t xml:space="preserve"> ‘sectioning’ people who are psychologically different), or the restriction of services to members of an in-group (excluding ‘disruptive’ children, denying council housing to migrants). This process reaches its culmination in totalitarian states. It is important to </w:t>
      </w:r>
      <w:proofErr w:type="spellStart"/>
      <w:r w:rsidRPr="00286049">
        <w:t>realise</w:t>
      </w:r>
      <w:proofErr w:type="spellEnd"/>
      <w:r w:rsidRPr="00286049">
        <w:t xml:space="preserve"> that in both cases, the state is expressing the logic of the state-form, finding ways to encode and represent differences; but that the effects of the two strategies on the freedom and social power of </w:t>
      </w:r>
      <w:proofErr w:type="spellStart"/>
      <w:r w:rsidRPr="00286049">
        <w:t>marginalised</w:t>
      </w:r>
      <w:proofErr w:type="spellEnd"/>
      <w:r w:rsidRPr="00286049">
        <w:t xml:space="preserve"> groups are very </w:t>
      </w:r>
      <w:proofErr w:type="gramStart"/>
      <w:r w:rsidRPr="00286049">
        <w:t>different.¶</w:t>
      </w:r>
      <w:proofErr w:type="gramEnd"/>
      <w:r w:rsidRPr="00286049">
        <w:t xml:space="preserve"> The state is also viewed as a force of ‘</w:t>
      </w:r>
      <w:proofErr w:type="spellStart"/>
      <w:r w:rsidRPr="00286049">
        <w:t>antiproduction</w:t>
      </w:r>
      <w:proofErr w:type="spellEnd"/>
      <w:r w:rsidRPr="00286049">
        <w:t xml:space="preserve">’. This term is defined against the ‘productive’ or creative power Deleuze and </w:t>
      </w:r>
      <w:proofErr w:type="spellStart"/>
      <w:r w:rsidRPr="00286049">
        <w:t>Guattari</w:t>
      </w:r>
      <w:proofErr w:type="spellEnd"/>
      <w:r w:rsidRPr="00286049">
        <w:t xml:space="preserve"> believe resides in processes of desiring-production (the process through which desires are formed and connected to objects or others) and social production (the process of constructing social ‘assemblages’ or networks). Desiring-production tends to proliferate differences, because desire operates through fluxes and breaks, overflowing particular boundaries. The state as machine of </w:t>
      </w:r>
      <w:proofErr w:type="spellStart"/>
      <w:r w:rsidRPr="00286049">
        <w:t>antiproduction</w:t>
      </w:r>
      <w:proofErr w:type="spellEnd"/>
      <w:r w:rsidRPr="00286049">
        <w:t xml:space="preserve"> operates to restrict, prevent or channel these flows of creative energy so as to preserve fixed social forms and restrict the extent of difference which is able to exist, or the connections it is able to form. Hence, states try to restrict and break down the coming-together of social networks by prohibiting or making difficult the formation of hierarchical assemblages;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The state wishes to have a monopoly on how people interrelate, and so acts to prevent people from associating horizontally. Another example of </w:t>
      </w:r>
      <w:proofErr w:type="spellStart"/>
      <w:r w:rsidRPr="00286049">
        <w:t>antiproduction</w:t>
      </w:r>
      <w:proofErr w:type="spellEnd"/>
      <w:r w:rsidRPr="00286049">
        <w:t xml:space="preserve"> is the way that participation in imposed activities such as the requirement to work and the unpaid reproductive </w:t>
      </w:r>
      <w:proofErr w:type="spellStart"/>
      <w:r w:rsidRPr="00286049">
        <w:t>labour</w:t>
      </w:r>
      <w:proofErr w:type="spellEnd"/>
      <w:r w:rsidRPr="00286049">
        <w:t xml:space="preserve"> involved in families, leaves little time for other kinds of relationships – people don’t have time to form other assemblages either with other 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14:paraId="17A8A240" w14:textId="77777777" w:rsidR="009C1A2E" w:rsidRPr="0060148B" w:rsidRDefault="009C1A2E" w:rsidP="009C1A2E"/>
    <w:p w14:paraId="3B65295F" w14:textId="77777777" w:rsidR="009C1A2E" w:rsidRPr="0060148B" w:rsidRDefault="009C1A2E" w:rsidP="009C1A2E">
      <w:pPr>
        <w:pStyle w:val="Heading2"/>
      </w:pPr>
      <w:r w:rsidRPr="0060148B">
        <w:t>Underview</w:t>
      </w:r>
    </w:p>
    <w:p w14:paraId="32F0FD3A" w14:textId="77777777" w:rsidR="009C1A2E" w:rsidRPr="0060148B" w:rsidRDefault="009C1A2E" w:rsidP="009C1A2E">
      <w:pPr>
        <w:pStyle w:val="ListParagraph"/>
        <w:numPr>
          <w:ilvl w:val="0"/>
          <w:numId w:val="11"/>
        </w:numPr>
        <w:rPr>
          <w:sz w:val="26"/>
          <w:szCs w:val="26"/>
        </w:rPr>
      </w:pPr>
      <w:r w:rsidRPr="0060148B">
        <w:rPr>
          <w:sz w:val="26"/>
          <w:szCs w:val="26"/>
        </w:rPr>
        <w:t>1ar theory– the aff gets it, or else the neg can be infinitely abusive which outweighs on magnitude. 1ar theory comes first since a) 13-7 timeskew means I will always lose on theory b) I don’t have time to cover their shell and also read my own in the short 1ar</w:t>
      </w:r>
    </w:p>
    <w:p w14:paraId="622F5A22" w14:textId="77777777" w:rsidR="009C1A2E" w:rsidRPr="0060148B" w:rsidRDefault="009C1A2E" w:rsidP="009C1A2E">
      <w:pPr>
        <w:pStyle w:val="ListParagraph"/>
        <w:numPr>
          <w:ilvl w:val="0"/>
          <w:numId w:val="11"/>
        </w:numPr>
        <w:rPr>
          <w:sz w:val="26"/>
          <w:szCs w:val="26"/>
        </w:rPr>
      </w:pPr>
      <w:r w:rsidRPr="0060148B">
        <w:rPr>
          <w:sz w:val="26"/>
          <w:szCs w:val="26"/>
        </w:rPr>
        <w:t xml:space="preserve">Presumption and permissibility affirm: [1] It’s harder to affirm, a. neg reactivity means I speak in the dark, b. the 2nr is 6 minutes and the 2ar is way too short to compensate for it, [2] Presume statements true until proven false a) if I told you my name is Andy, you’d believe me b) Freezes action – can’t operate in a world where we can’t trust anything </w:t>
      </w:r>
    </w:p>
    <w:p w14:paraId="4DA1AFCE" w14:textId="77777777" w:rsidR="009C1A2E" w:rsidRPr="0060148B" w:rsidRDefault="009C1A2E" w:rsidP="009C1A2E">
      <w:pPr>
        <w:pStyle w:val="ListParagraph"/>
        <w:numPr>
          <w:ilvl w:val="0"/>
          <w:numId w:val="11"/>
        </w:numPr>
        <w:rPr>
          <w:sz w:val="26"/>
          <w:szCs w:val="26"/>
        </w:rPr>
      </w:pPr>
      <w:r w:rsidRPr="0060148B">
        <w:rPr>
          <w:sz w:val="26"/>
          <w:szCs w:val="26"/>
        </w:rPr>
        <w:t xml:space="preserve">Consequentialism and util fail </w:t>
      </w:r>
      <w:proofErr w:type="gramStart"/>
      <w:r w:rsidRPr="0060148B">
        <w:rPr>
          <w:sz w:val="26"/>
          <w:szCs w:val="26"/>
        </w:rPr>
        <w:t>a)pain</w:t>
      </w:r>
      <w:proofErr w:type="gramEnd"/>
      <w:r w:rsidRPr="0060148B">
        <w:rPr>
          <w:sz w:val="26"/>
          <w:szCs w:val="26"/>
        </w:rPr>
        <w:t xml:space="preserve"> and pleasure are subjective – masochists think pain is pleasurable – means that you can’t weight under util and their ethic excludes people like them b) Infinite universe means that there is an infinite amount of pleasure and pain – any change on earth is still infinity c) Butterfly effect - no way to know when we cut off looking at consequences</w:t>
      </w:r>
    </w:p>
    <w:p w14:paraId="5A27C166" w14:textId="77777777" w:rsidR="009C1A2E" w:rsidRPr="0060148B" w:rsidRDefault="009C1A2E" w:rsidP="009C1A2E">
      <w:pPr>
        <w:pStyle w:val="ListParagraph"/>
        <w:numPr>
          <w:ilvl w:val="0"/>
          <w:numId w:val="11"/>
        </w:numPr>
        <w:rPr>
          <w:sz w:val="26"/>
          <w:szCs w:val="26"/>
        </w:rPr>
      </w:pPr>
      <w:r w:rsidRPr="0060148B">
        <w:rPr>
          <w:sz w:val="26"/>
          <w:szCs w:val="26"/>
        </w:rPr>
        <w:t xml:space="preserve">I get an RVI on NC theory a) reciprocity-you can read arguments such as T that are exclusively neg so I need other theory arguments to balance b) you can infinitely </w:t>
      </w:r>
      <w:proofErr w:type="spellStart"/>
      <w:r w:rsidRPr="0060148B">
        <w:rPr>
          <w:sz w:val="26"/>
          <w:szCs w:val="26"/>
        </w:rPr>
        <w:t>uplayer</w:t>
      </w:r>
      <w:proofErr w:type="spellEnd"/>
      <w:r w:rsidRPr="0060148B">
        <w:rPr>
          <w:sz w:val="26"/>
          <w:szCs w:val="26"/>
        </w:rPr>
        <w:t xml:space="preserve"> on the highest layer</w:t>
      </w:r>
    </w:p>
    <w:p w14:paraId="423347FC" w14:textId="77777777" w:rsidR="009C1A2E" w:rsidRPr="0060148B" w:rsidRDefault="009C1A2E" w:rsidP="009C1A2E">
      <w:pPr>
        <w:pStyle w:val="ListParagraph"/>
        <w:numPr>
          <w:ilvl w:val="0"/>
          <w:numId w:val="11"/>
        </w:numPr>
        <w:rPr>
          <w:sz w:val="26"/>
          <w:szCs w:val="26"/>
        </w:rPr>
      </w:pPr>
      <w:r w:rsidRPr="0060148B">
        <w:rPr>
          <w:sz w:val="26"/>
          <w:szCs w:val="26"/>
        </w:rPr>
        <w:t>If the neg wants to run theory or topicality, they must first check in cx because it deters debaters from using theory as a way to win. Most debates end up collapsing on theory and prevents debaters from getting any topic education. Forcing the neg to disclose any interps before the speech will prevent the debate from collapsing on frivolous theory.</w:t>
      </w:r>
    </w:p>
    <w:p w14:paraId="445D77E5" w14:textId="77777777" w:rsidR="009C1A2E" w:rsidRPr="0060148B" w:rsidRDefault="009C1A2E" w:rsidP="009C1A2E">
      <w:pPr>
        <w:pStyle w:val="Heading2"/>
        <w:jc w:val="left"/>
      </w:pPr>
      <w:r w:rsidRPr="0060148B">
        <w:t xml:space="preserve"> </w:t>
      </w:r>
    </w:p>
    <w:p w14:paraId="28B4813F" w14:textId="2C64F482" w:rsidR="00DB78F4" w:rsidRDefault="00DB78F4"/>
    <w:sectPr w:rsidR="00DB7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C14F07"/>
    <w:multiLevelType w:val="hybridMultilevel"/>
    <w:tmpl w:val="E3F858D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DD331A"/>
    <w:multiLevelType w:val="hybridMultilevel"/>
    <w:tmpl w:val="A75AB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A9218A"/>
    <w:multiLevelType w:val="hybridMultilevel"/>
    <w:tmpl w:val="6B588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478E8"/>
    <w:rsid w:val="001317CA"/>
    <w:rsid w:val="00215221"/>
    <w:rsid w:val="00281414"/>
    <w:rsid w:val="00286049"/>
    <w:rsid w:val="003D47E5"/>
    <w:rsid w:val="004443AD"/>
    <w:rsid w:val="006478E8"/>
    <w:rsid w:val="007E635D"/>
    <w:rsid w:val="00812EAC"/>
    <w:rsid w:val="0093370D"/>
    <w:rsid w:val="00953E31"/>
    <w:rsid w:val="009C1A2E"/>
    <w:rsid w:val="00B34B59"/>
    <w:rsid w:val="00CC5550"/>
    <w:rsid w:val="00D01A42"/>
    <w:rsid w:val="00D232A9"/>
    <w:rsid w:val="00DB78F4"/>
    <w:rsid w:val="00E9448A"/>
    <w:rsid w:val="00EF29BD"/>
    <w:rsid w:val="00FE1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A443"/>
  <w15:chartTrackingRefBased/>
  <w15:docId w15:val="{748AAE46-284A-4484-96E6-CA356B5C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6049"/>
    <w:rPr>
      <w:rFonts w:ascii="Calibri" w:eastAsiaTheme="minorHAnsi" w:hAnsi="Calibri"/>
      <w:lang w:eastAsia="en-US"/>
    </w:rPr>
  </w:style>
  <w:style w:type="paragraph" w:styleId="Heading1">
    <w:name w:val="heading 1"/>
    <w:aliases w:val="Pocket"/>
    <w:basedOn w:val="Normal"/>
    <w:next w:val="Normal"/>
    <w:link w:val="Heading1Char"/>
    <w:qFormat/>
    <w:rsid w:val="002860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860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860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2860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6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049"/>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286049"/>
    <w:rPr>
      <w:rFonts w:ascii="Calibri" w:eastAsiaTheme="majorEastAsia" w:hAnsi="Calibri" w:cstheme="majorBidi"/>
      <w:b/>
      <w:iCs/>
      <w:sz w:val="26"/>
      <w:lang w:eastAsia="en-US"/>
    </w:rPr>
  </w:style>
  <w:style w:type="character" w:customStyle="1" w:styleId="Heading2Char">
    <w:name w:val="Heading 2 Char"/>
    <w:aliases w:val="Hat Char"/>
    <w:basedOn w:val="DefaultParagraphFont"/>
    <w:link w:val="Heading2"/>
    <w:uiPriority w:val="1"/>
    <w:rsid w:val="00286049"/>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86049"/>
    <w:rPr>
      <w:rFonts w:ascii="Calibri" w:eastAsiaTheme="majorEastAsia" w:hAnsi="Calibri" w:cstheme="majorBidi"/>
      <w:b/>
      <w:sz w:val="32"/>
      <w:szCs w:val="24"/>
      <w:u w:val="single"/>
      <w:lang w:eastAsia="en-US"/>
    </w:rPr>
  </w:style>
  <w:style w:type="character" w:customStyle="1" w:styleId="Heading1Char">
    <w:name w:val="Heading 1 Char"/>
    <w:aliases w:val="Pocket Char"/>
    <w:basedOn w:val="DefaultParagraphFont"/>
    <w:link w:val="Heading1"/>
    <w:rsid w:val="00286049"/>
    <w:rPr>
      <w:rFonts w:ascii="Calibri" w:eastAsiaTheme="majorEastAsia" w:hAnsi="Calibri" w:cstheme="majorBidi"/>
      <w:b/>
      <w:sz w:val="52"/>
      <w:szCs w:val="32"/>
      <w:lang w:eastAsia="en-US"/>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28604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86049"/>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286049"/>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1,Pocket Char1,F2 - Heading 1 Char1"/>
    <w:basedOn w:val="DefaultParagraphFont"/>
    <w:uiPriority w:val="99"/>
    <w:unhideWhenUsed/>
    <w:rsid w:val="00286049"/>
    <w:rPr>
      <w:color w:val="auto"/>
      <w:u w:val="none"/>
    </w:rPr>
  </w:style>
  <w:style w:type="character" w:styleId="FollowedHyperlink">
    <w:name w:val="FollowedHyperlink"/>
    <w:basedOn w:val="DefaultParagraphFont"/>
    <w:uiPriority w:val="99"/>
    <w:semiHidden/>
    <w:unhideWhenUsed/>
    <w:rsid w:val="00286049"/>
    <w:rPr>
      <w:color w:val="auto"/>
      <w:u w:val="none"/>
    </w:rPr>
  </w:style>
  <w:style w:type="paragraph" w:customStyle="1" w:styleId="Emphasis1">
    <w:name w:val="Emphasis1"/>
    <w:basedOn w:val="Normal"/>
    <w:link w:val="Emphasis"/>
    <w:uiPriority w:val="7"/>
    <w:qFormat/>
    <w:rsid w:val="009C1A2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34"/>
    <w:qFormat/>
    <w:rsid w:val="009C1A2E"/>
    <w:pPr>
      <w:ind w:left="720"/>
      <w:contextualSpacing/>
    </w:pPr>
  </w:style>
  <w:style w:type="paragraph" w:styleId="NoSpacing">
    <w:name w:val="No Spacing"/>
    <w:uiPriority w:val="1"/>
    <w:qFormat/>
    <w:rsid w:val="009C1A2E"/>
    <w:pPr>
      <w:spacing w:after="0" w:line="240" w:lineRule="auto"/>
    </w:pPr>
    <w:rPr>
      <w:rFonts w:ascii="Calibri" w:hAnsi="Calibr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68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18/07/right-to-strike-freedom-civil-liberties-oppression" TargetMode="External"/><Relationship Id="rId3" Type="http://schemas.openxmlformats.org/officeDocument/2006/relationships/settings" Target="settings.xml"/><Relationship Id="rId7" Type="http://schemas.openxmlformats.org/officeDocument/2006/relationships/hyperlink" Target="https://www.thecrimson.com/article/2019/12/11/lim-right-to-stri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commons.montclair.edu/cgi/viewcontent.cgi?article=1065&amp;context=etd" TargetMode="External"/><Relationship Id="rId11" Type="http://schemas.openxmlformats.org/officeDocument/2006/relationships/theme" Target="theme/theme1.xml"/><Relationship Id="rId5" Type="http://schemas.openxmlformats.org/officeDocument/2006/relationships/hyperlink" Target="https://www.jstor.org/stable/10.3366/j.ctt1g09x5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flux.com/journal/104/299944/imagine-going-on-strike-museum-workers-and-histori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e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23</TotalTime>
  <Pages>1</Pages>
  <Words>13051</Words>
  <Characters>74392</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Xu</dc:creator>
  <cp:keywords/>
  <dc:description/>
  <cp:lastModifiedBy>Andy Xu</cp:lastModifiedBy>
  <cp:revision>17</cp:revision>
  <dcterms:created xsi:type="dcterms:W3CDTF">2021-11-21T18:11:00Z</dcterms:created>
  <dcterms:modified xsi:type="dcterms:W3CDTF">2021-11-21T20:16:00Z</dcterms:modified>
</cp:coreProperties>
</file>