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2FAF9" w14:textId="13DE489F" w:rsidR="00740AB4" w:rsidRDefault="00740AB4" w:rsidP="00740AB4">
      <w:pPr>
        <w:pStyle w:val="Heading2"/>
      </w:pPr>
      <w:r>
        <w:t>1 – Theory</w:t>
      </w:r>
    </w:p>
    <w:p w14:paraId="55D8EAE2" w14:textId="6F6498B3" w:rsidR="00740AB4" w:rsidRPr="00A12585" w:rsidRDefault="00740AB4" w:rsidP="00740AB4">
      <w:pPr>
        <w:pStyle w:val="Heading4"/>
        <w:rPr>
          <w:color w:val="FF0000"/>
        </w:rPr>
      </w:pPr>
      <w:r>
        <w:t>Interpretation: debaters must include the URL in citations for their evidence.</w:t>
      </w:r>
    </w:p>
    <w:p w14:paraId="7DB7BD9C" w14:textId="0949CDB0" w:rsidR="00740AB4" w:rsidRDefault="00740AB4" w:rsidP="00740AB4">
      <w:pPr>
        <w:pStyle w:val="Heading4"/>
      </w:pPr>
      <w:r>
        <w:t>Violation: they didn’t – examples include their first Korsgaard, Farr, and Ripstein cards.</w:t>
      </w:r>
    </w:p>
    <w:p w14:paraId="0CF1FDE4" w14:textId="77777777" w:rsidR="00740AB4" w:rsidRDefault="00740AB4" w:rsidP="00740AB4">
      <w:pPr>
        <w:pStyle w:val="Heading4"/>
        <w:tabs>
          <w:tab w:val="left" w:pos="4002"/>
          <w:tab w:val="left" w:pos="5660"/>
        </w:tabs>
      </w:pPr>
      <w:r>
        <w:t>Standards:</w:t>
      </w:r>
    </w:p>
    <w:p w14:paraId="3AA5BCD1" w14:textId="77777777" w:rsidR="00740AB4" w:rsidRPr="00F66A5B" w:rsidRDefault="00740AB4" w:rsidP="00740AB4">
      <w:pPr>
        <w:pStyle w:val="Heading4"/>
        <w:rPr>
          <w:color w:val="FF0000"/>
        </w:rPr>
      </w:pPr>
      <w:r>
        <w:t>[1] NSDA rules – the unified manual says to include the URL.</w:t>
      </w:r>
    </w:p>
    <w:p w14:paraId="03495F1E" w14:textId="77777777" w:rsidR="00740AB4" w:rsidRPr="00503A91" w:rsidRDefault="00740AB4" w:rsidP="00740AB4">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8"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30D2B66D" w14:textId="77777777" w:rsidR="00740AB4" w:rsidRPr="005526DB" w:rsidRDefault="00740AB4" w:rsidP="00740AB4">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1EAD33BE" w14:textId="77777777" w:rsidR="00740AB4" w:rsidRPr="009E05B7" w:rsidRDefault="00740AB4" w:rsidP="00740AB4">
      <w:pPr>
        <w:rPr>
          <w:sz w:val="16"/>
        </w:rPr>
      </w:pPr>
      <w:r w:rsidRPr="009E05B7">
        <w:rPr>
          <w:sz w:val="16"/>
        </w:rPr>
        <w:t>1. Full name of primary author and/or editor</w:t>
      </w:r>
    </w:p>
    <w:p w14:paraId="75A6B6B8" w14:textId="77777777" w:rsidR="00740AB4" w:rsidRPr="009E05B7" w:rsidRDefault="00740AB4" w:rsidP="00740AB4">
      <w:pPr>
        <w:rPr>
          <w:sz w:val="16"/>
        </w:rPr>
      </w:pPr>
      <w:r w:rsidRPr="009E05B7">
        <w:rPr>
          <w:sz w:val="16"/>
        </w:rPr>
        <w:t>2. Publication date</w:t>
      </w:r>
    </w:p>
    <w:p w14:paraId="17BCA19D" w14:textId="77777777" w:rsidR="00740AB4" w:rsidRPr="009E05B7" w:rsidRDefault="00740AB4" w:rsidP="00740AB4">
      <w:pPr>
        <w:rPr>
          <w:sz w:val="16"/>
        </w:rPr>
      </w:pPr>
      <w:r w:rsidRPr="009E05B7">
        <w:rPr>
          <w:sz w:val="16"/>
        </w:rPr>
        <w:t>3. Source</w:t>
      </w:r>
    </w:p>
    <w:p w14:paraId="3A90C5BF" w14:textId="77777777" w:rsidR="00740AB4" w:rsidRPr="009E05B7" w:rsidRDefault="00740AB4" w:rsidP="00740AB4">
      <w:pPr>
        <w:rPr>
          <w:sz w:val="16"/>
        </w:rPr>
      </w:pPr>
      <w:r w:rsidRPr="009E05B7">
        <w:rPr>
          <w:sz w:val="16"/>
        </w:rPr>
        <w:t>4. Title of article</w:t>
      </w:r>
    </w:p>
    <w:p w14:paraId="5EFF15B0" w14:textId="77777777" w:rsidR="00740AB4" w:rsidRPr="009E05B7" w:rsidRDefault="00740AB4" w:rsidP="00740AB4">
      <w:pPr>
        <w:rPr>
          <w:sz w:val="16"/>
        </w:rPr>
      </w:pPr>
      <w:r w:rsidRPr="009E05B7">
        <w:rPr>
          <w:sz w:val="16"/>
        </w:rPr>
        <w:t>5. Date accessed for digital evidence</w:t>
      </w:r>
    </w:p>
    <w:p w14:paraId="7AEFF0F4" w14:textId="77777777" w:rsidR="00740AB4" w:rsidRPr="005E1F00" w:rsidRDefault="00740AB4" w:rsidP="00740AB4">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61FBAFAF" w14:textId="77777777" w:rsidR="00740AB4" w:rsidRPr="009E05B7" w:rsidRDefault="00740AB4" w:rsidP="00740AB4">
      <w:pPr>
        <w:rPr>
          <w:sz w:val="16"/>
        </w:rPr>
      </w:pPr>
      <w:r w:rsidRPr="009E05B7">
        <w:rPr>
          <w:sz w:val="16"/>
        </w:rPr>
        <w:t>7. Author qualifications</w:t>
      </w:r>
    </w:p>
    <w:p w14:paraId="0F8FADE9" w14:textId="77777777" w:rsidR="00740AB4" w:rsidRPr="009E05B7" w:rsidRDefault="00740AB4" w:rsidP="00740AB4">
      <w:pPr>
        <w:rPr>
          <w:sz w:val="16"/>
        </w:rPr>
      </w:pPr>
      <w:r w:rsidRPr="009E05B7">
        <w:rPr>
          <w:sz w:val="16"/>
        </w:rPr>
        <w:t>8. Page number(s)</w:t>
      </w:r>
    </w:p>
    <w:p w14:paraId="160F7540" w14:textId="77777777" w:rsidR="00740AB4" w:rsidRPr="003A2B2F" w:rsidRDefault="00740AB4" w:rsidP="00740AB4">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6A11D52A" w14:textId="77777777" w:rsidR="00740AB4" w:rsidRDefault="00740AB4" w:rsidP="00740AB4">
      <w:pPr>
        <w:pStyle w:val="Heading4"/>
      </w:pPr>
      <w:r>
        <w:t xml:space="preserve">[2] Evidence ethics – no way to check whether their quote exists because we can’t find it on the internet – they can just make up whatever “evidence” they want, and there’s not enough time for us to verify that it is </w:t>
      </w:r>
      <w:proofErr w:type="gramStart"/>
      <w:r>
        <w:t>actually legit</w:t>
      </w:r>
      <w:proofErr w:type="gramEnd"/>
      <w:r>
        <w:t xml:space="preserve">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ev ethics violations are punished severely – large repercussions the control internal link to other impacts.</w:t>
      </w:r>
    </w:p>
    <w:p w14:paraId="492B9FF2" w14:textId="1E8C922A" w:rsidR="00740AB4" w:rsidRDefault="00740AB4" w:rsidP="00740AB4">
      <w:pPr>
        <w:pStyle w:val="Heading4"/>
      </w:pPr>
      <w:r>
        <w:t>Also links to inclusion – small school debaters tend to use cards from the wiki. Bad citations negatively impact their research. That’s a voter because inclusion is a prereq to debate.</w:t>
      </w:r>
    </w:p>
    <w:p w14:paraId="11D0054A" w14:textId="76B70295" w:rsidR="00A658BD" w:rsidRPr="00A658BD" w:rsidRDefault="00A658BD" w:rsidP="00A658BD">
      <w:pPr>
        <w:pStyle w:val="Heading4"/>
      </w:pPr>
      <w:r>
        <w:t>C/A voters</w:t>
      </w:r>
    </w:p>
    <w:p w14:paraId="70931AF2" w14:textId="71CA9A74" w:rsidR="00B32730" w:rsidRPr="00B32730" w:rsidRDefault="00B32730" w:rsidP="00B32730">
      <w:pPr>
        <w:pStyle w:val="Heading2"/>
        <w:rPr>
          <w:lang w:val="en"/>
        </w:rPr>
      </w:pPr>
      <w:r>
        <w:rPr>
          <w:lang w:val="en"/>
        </w:rPr>
        <w:t>2 – Theory</w:t>
      </w:r>
    </w:p>
    <w:p w14:paraId="3C572C03" w14:textId="77777777" w:rsidR="00B32730" w:rsidRDefault="00B32730" w:rsidP="00B32730">
      <w:pPr>
        <w:pStyle w:val="Heading4"/>
      </w:pPr>
      <w:r>
        <w:t>Interpretation: the affirmative must read a ROTB in the form of a delineated text in the 1AC.</w:t>
      </w:r>
    </w:p>
    <w:p w14:paraId="77405224" w14:textId="77777777" w:rsidR="00B32730" w:rsidRDefault="00B32730" w:rsidP="00B32730">
      <w:pPr>
        <w:pStyle w:val="Heading4"/>
      </w:pPr>
      <w:r>
        <w:t>Violation: they didn’t</w:t>
      </w:r>
    </w:p>
    <w:p w14:paraId="799C3439" w14:textId="77777777" w:rsidR="00B32730" w:rsidRDefault="00B32730" w:rsidP="00B32730">
      <w:pPr>
        <w:pStyle w:val="Heading4"/>
      </w:pPr>
      <w:r>
        <w:t>Standards:</w:t>
      </w:r>
    </w:p>
    <w:p w14:paraId="788C665D" w14:textId="77777777" w:rsidR="00B32730" w:rsidRDefault="00B32730" w:rsidP="00B32730">
      <w:pPr>
        <w:pStyle w:val="Heading4"/>
      </w:pPr>
      <w:r>
        <w:t>[1] Strat skew – they can read offense under different ROTBs and a new ROTB in the 1AR, so they never substantively lose, which moots engagement. They can read a hyperspecific ROTB in the 1AR so that only undercovered offense matters. Infinite abuse – a new 1AR ROTB allows for dumping on the neg ROTB, making negating impossible since there’s no 3NR to answer 2AR extrapolations. Stable advocacies also key to fairness – otherwise you aren’t bound by what you say – independent voter since it justifies saying the N word, then shifting out of their reps.</w:t>
      </w:r>
    </w:p>
    <w:p w14:paraId="3D400123" w14:textId="77777777" w:rsidR="00B32730" w:rsidRDefault="00B32730" w:rsidP="00B32730">
      <w:pPr>
        <w:pStyle w:val="Heading4"/>
      </w:pPr>
      <w:r>
        <w:t xml:space="preserve">[2] Reciprocity – a) restarting ROTB debate in 1AR puts them at a </w:t>
      </w:r>
      <w:proofErr w:type="gramStart"/>
      <w:r>
        <w:t>7-6 time</w:t>
      </w:r>
      <w:proofErr w:type="gramEnd"/>
      <w:r>
        <w:t xml:space="preserve"> skew advantage; a 1AC ROTB solves, b) we have 1 speech to respond while they have 2 and can comparatively weigh in the 2AR, and c) I can only read a ROTB in my constructive, so they should as well since it’s definitionally an equal burden.</w:t>
      </w:r>
    </w:p>
    <w:p w14:paraId="229A94FD" w14:textId="49240956" w:rsidR="00766352" w:rsidRDefault="00B32730" w:rsidP="00766352">
      <w:pPr>
        <w:pStyle w:val="Heading2"/>
      </w:pPr>
      <w:r>
        <w:t>3</w:t>
      </w:r>
      <w:r w:rsidR="00766352">
        <w:t xml:space="preserve"> </w:t>
      </w:r>
      <w:r w:rsidR="00740AB4">
        <w:t>–</w:t>
      </w:r>
      <w:r w:rsidR="00766352">
        <w:t xml:space="preserve"> Determinism</w:t>
      </w:r>
    </w:p>
    <w:p w14:paraId="1F527817" w14:textId="77777777" w:rsidR="00766352" w:rsidRPr="007B75B9" w:rsidRDefault="00766352" w:rsidP="00766352">
      <w:pPr>
        <w:pStyle w:val="Heading4"/>
      </w:pPr>
      <w:r>
        <w:t>The ROTB is truth testing:</w:t>
      </w:r>
    </w:p>
    <w:p w14:paraId="39D5DD74" w14:textId="77777777" w:rsidR="00766352" w:rsidRDefault="00766352" w:rsidP="00766352">
      <w:pPr>
        <w:pStyle w:val="Heading4"/>
      </w:pPr>
      <w:r>
        <w:t xml:space="preserve">[1] </w:t>
      </w:r>
      <w:r w:rsidRPr="006B3A95">
        <w:t>Five dictionaries</w:t>
      </w:r>
      <w:r w:rsidRPr="006B3A95">
        <w:rPr>
          <w:vertAlign w:val="superscript"/>
        </w:rPr>
        <w:footnoteReference w:id="1"/>
      </w:r>
      <w:r w:rsidRPr="006B3A95">
        <w:rPr>
          <w:vertAlign w:val="superscript"/>
        </w:rPr>
        <w:t xml:space="preserve"> </w:t>
      </w:r>
      <w:r w:rsidRPr="006B3A95">
        <w:t>define to negate as to deny the truth of and affirm</w:t>
      </w:r>
      <w:r w:rsidRPr="006B3A95">
        <w:rPr>
          <w:vertAlign w:val="superscript"/>
        </w:rPr>
        <w:footnoteReference w:id="2"/>
      </w:r>
      <w:r w:rsidRPr="006B3A95">
        <w:rPr>
          <w:vertAlign w:val="superscript"/>
        </w:rPr>
        <w:t xml:space="preserve"> </w:t>
      </w:r>
      <w:r w:rsidRPr="006B3A95">
        <w:t>as to prove true</w:t>
      </w:r>
      <w:r>
        <w:t xml:space="preserve"> –</w:t>
      </w:r>
      <w:r w:rsidRPr="006B3A95">
        <w:t xml:space="preserve"> it</w:t>
      </w:r>
      <w:r>
        <w:t>’s</w:t>
      </w:r>
      <w:r w:rsidRPr="006B3A95">
        <w:t xml:space="preserve"> intrinsic to the activity</w:t>
      </w:r>
      <w:r>
        <w:t>.</w:t>
      </w:r>
    </w:p>
    <w:p w14:paraId="5C9D6F79" w14:textId="77777777" w:rsidR="00766352" w:rsidRDefault="00766352" w:rsidP="00766352">
      <w:pPr>
        <w:pStyle w:val="Heading4"/>
      </w:pPr>
      <w:r>
        <w:t xml:space="preserve">[2] Every statement is a question of truth – saying the </w:t>
      </w:r>
      <w:proofErr w:type="spellStart"/>
      <w:r>
        <w:t>res</w:t>
      </w:r>
      <w:proofErr w:type="spellEnd"/>
      <w:r>
        <w:t xml:space="preserve"> is false is the same as saying, “it is true that the </w:t>
      </w:r>
      <w:proofErr w:type="spellStart"/>
      <w:r>
        <w:t>res</w:t>
      </w:r>
      <w:proofErr w:type="spellEnd"/>
      <w:r>
        <w:t xml:space="preserve"> is false.” That means other ROTBs collapse to truth testing.</w:t>
      </w:r>
    </w:p>
    <w:p w14:paraId="1ECA67F9" w14:textId="77777777" w:rsidR="00766352" w:rsidRPr="002B2E6E" w:rsidRDefault="00766352" w:rsidP="00766352">
      <w:pPr>
        <w:pStyle w:val="Heading4"/>
      </w:pPr>
      <w:r>
        <w:t>Permissibility negates:</w:t>
      </w:r>
    </w:p>
    <w:p w14:paraId="56038E54" w14:textId="7CDC20C8" w:rsidR="00766352" w:rsidRDefault="00766352" w:rsidP="00766352">
      <w:pPr>
        <w:pStyle w:val="Heading4"/>
      </w:pPr>
      <w:r>
        <w:t>[1] Lack of obligation proves the res false. Absent a proactive obligation, you vote neg since there’s a trichotomy between prohibition, obligation, and permissibility. Proving one disproves the other two since you can’t be obligated and lack an obligation simultaneously.</w:t>
      </w:r>
    </w:p>
    <w:p w14:paraId="6178024F" w14:textId="75B5ADA5" w:rsidR="00766352" w:rsidRDefault="00766352" w:rsidP="00766352">
      <w:pPr>
        <w:pStyle w:val="Heading4"/>
      </w:pPr>
      <w:r>
        <w:t>[2] Statements are more often false than true since I can prove something false in infinite ways but true in only one.</w:t>
      </w:r>
    </w:p>
    <w:p w14:paraId="55D388F4" w14:textId="6EB4172B" w:rsidR="00B32730" w:rsidRPr="00B32730" w:rsidRDefault="00B32730" w:rsidP="00B32730">
      <w:pPr>
        <w:pStyle w:val="Heading4"/>
      </w:pPr>
      <w:r>
        <w:t xml:space="preserve">Their </w:t>
      </w:r>
      <w:r w:rsidR="00350608">
        <w:t xml:space="preserve">A-C </w:t>
      </w:r>
      <w:r>
        <w:t>arguments are abt presumption</w:t>
      </w:r>
      <w:r w:rsidR="00EE0B81">
        <w:t>, not permissibility</w:t>
      </w:r>
      <w:r w:rsidR="00BD32A6">
        <w:t xml:space="preserve">, but permissibility’s a substantive argument so they don’t apply. </w:t>
      </w:r>
      <w:r w:rsidR="00350608">
        <w:t>The D point is also presumption because it’s abt whether things are true, not moral obligation. T</w:t>
      </w:r>
      <w:r w:rsidR="00BD32A6">
        <w:t>hey didn’t cite any ev for their E point.</w:t>
      </w:r>
    </w:p>
    <w:p w14:paraId="53FD69B7" w14:textId="77777777" w:rsidR="00766352" w:rsidRDefault="00766352" w:rsidP="00766352">
      <w:pPr>
        <w:pStyle w:val="Heading4"/>
      </w:pPr>
      <w:r>
        <w:t>Determinism negates – lack of free will disproves moral obligations.</w:t>
      </w:r>
    </w:p>
    <w:p w14:paraId="3BCD633A" w14:textId="3C808A26" w:rsidR="00766352" w:rsidRPr="001E70CB" w:rsidRDefault="00766352" w:rsidP="00766352">
      <w:pPr>
        <w:pStyle w:val="Heading4"/>
      </w:pPr>
      <w:r>
        <w:t xml:space="preserve">The 1AC says that morality must begin from free actions derived from practical reason. However, their framework is missing an internal link as to why humans </w:t>
      </w:r>
      <w:proofErr w:type="gramStart"/>
      <w:r>
        <w:t>actually are</w:t>
      </w:r>
      <w:proofErr w:type="gramEnd"/>
      <w:r>
        <w:t xml:space="preserve"> free agents that can choose what actions to take – if we disprove free will, vote neg.</w:t>
      </w:r>
    </w:p>
    <w:p w14:paraId="0C6C7955" w14:textId="77777777" w:rsidR="00740AB4" w:rsidRDefault="00740AB4" w:rsidP="00740AB4">
      <w:pPr>
        <w:pStyle w:val="Heading4"/>
      </w:pPr>
      <w:r>
        <w:t>First, everything is determined.</w:t>
      </w:r>
    </w:p>
    <w:p w14:paraId="38776D13" w14:textId="77777777" w:rsidR="00740AB4" w:rsidRDefault="00740AB4" w:rsidP="00740AB4">
      <w:pPr>
        <w:pStyle w:val="Heading4"/>
      </w:pPr>
      <w:r>
        <w:t>[1] All effects and causal chains are the necessary result of past causes.</w:t>
      </w:r>
    </w:p>
    <w:p w14:paraId="58A03869" w14:textId="77777777" w:rsidR="00740AB4" w:rsidRPr="00971AE0" w:rsidRDefault="00740AB4" w:rsidP="00740AB4">
      <w:pPr>
        <w:rPr>
          <w:sz w:val="16"/>
        </w:rPr>
      </w:pPr>
      <w:proofErr w:type="spellStart"/>
      <w:r w:rsidRPr="00971AE0">
        <w:rPr>
          <w:rStyle w:val="Style13ptBold"/>
        </w:rPr>
        <w:t>Timpe</w:t>
      </w:r>
      <w:proofErr w:type="spellEnd"/>
      <w:r w:rsidRPr="00971AE0">
        <w:rPr>
          <w:rStyle w:val="Style13ptBold"/>
        </w:rPr>
        <w:t xml:space="preserve"> no date</w:t>
      </w:r>
      <w:r w:rsidRPr="00971AE0">
        <w:rPr>
          <w:sz w:val="16"/>
        </w:rPr>
        <w:t xml:space="preserve">, Kevin </w:t>
      </w:r>
      <w:proofErr w:type="spellStart"/>
      <w:r w:rsidRPr="00971AE0">
        <w:rPr>
          <w:sz w:val="16"/>
        </w:rPr>
        <w:t>Timpe</w:t>
      </w:r>
      <w:proofErr w:type="spellEnd"/>
      <w:r w:rsidRPr="00971AE0">
        <w:rPr>
          <w:sz w:val="16"/>
        </w:rPr>
        <w:t xml:space="preserve">, professor of philosophy at Northwest Nazarene University, "Free Will," no date, Internet Encyclopedia of Philosophy, accessed 21 August 2021, </w:t>
      </w:r>
      <w:hyperlink r:id="rId9" w:history="1">
        <w:r w:rsidRPr="00971AE0">
          <w:rPr>
            <w:rStyle w:val="Hyperlink"/>
            <w:sz w:val="16"/>
          </w:rPr>
          <w:t>https://iep.utm.edu/freewill/</w:t>
        </w:r>
      </w:hyperlink>
      <w:r w:rsidRPr="00971AE0">
        <w:rPr>
          <w:sz w:val="16"/>
        </w:rPr>
        <w:t xml:space="preserve"> ~ST~</w:t>
      </w:r>
    </w:p>
    <w:p w14:paraId="15A0EB10" w14:textId="77777777" w:rsidR="00740AB4" w:rsidRPr="003E6937" w:rsidRDefault="00740AB4" w:rsidP="00740AB4">
      <w:pPr>
        <w:rPr>
          <w:rStyle w:val="StyleUnderline"/>
        </w:rPr>
      </w:pPr>
      <w:r w:rsidRPr="00971AE0">
        <w:rPr>
          <w:sz w:val="16"/>
        </w:rPr>
        <w:t xml:space="preserve">Most contemporary scholarship on free will focuses on </w:t>
      </w:r>
      <w:proofErr w:type="gramStart"/>
      <w:r w:rsidRPr="00971AE0">
        <w:rPr>
          <w:sz w:val="16"/>
        </w:rPr>
        <w:t>whether or not</w:t>
      </w:r>
      <w:proofErr w:type="gramEnd"/>
      <w:r w:rsidRPr="00971AE0">
        <w:rPr>
          <w:sz w:val="16"/>
        </w:rPr>
        <w:t xml:space="preserve">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xml:space="preserve">, say 100 million years ago. Let us </w:t>
      </w:r>
      <w:r w:rsidRPr="00971AE0">
        <w:rPr>
          <w:rStyle w:val="StyleUnderline"/>
          <w:highlight w:val="cyan"/>
        </w:rPr>
        <w:t>call this proposition “P.” 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 call this proposition “L.”</w:t>
      </w:r>
      <w:r w:rsidRPr="003E6937">
        <w:rPr>
          <w:rStyle w:val="StyleUnderline"/>
        </w:rPr>
        <w:t xml:space="preserve"> Determinism then is the thesis that </w:t>
      </w:r>
      <w:r w:rsidRPr="00971AE0">
        <w:rPr>
          <w:rStyle w:val="StyleUnderline"/>
          <w:highlight w:val="cyan"/>
        </w:rPr>
        <w:t>the conjunction of P and L 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xml:space="preserve">, one possible way for things to end up. To make the same point using possible world semantics, determinism is the thesis that </w:t>
      </w:r>
      <w:r w:rsidRPr="00971AE0">
        <w:rPr>
          <w:rStyle w:val="StyleUnderline"/>
          <w:highlight w:val="cyan"/>
        </w:rPr>
        <w:t>all</w:t>
      </w:r>
      <w:r w:rsidRPr="003E6937">
        <w:rPr>
          <w:rStyle w:val="StyleUnderline"/>
        </w:rPr>
        <w:t xml:space="preserve"> the </w:t>
      </w:r>
      <w:r w:rsidRPr="00971AE0">
        <w:rPr>
          <w:rStyle w:val="StyleUnderline"/>
          <w:highlight w:val="cyan"/>
        </w:rPr>
        <w:t>states</w:t>
      </w:r>
      <w:r w:rsidRPr="003E6937">
        <w:rPr>
          <w:rStyle w:val="StyleUnderline"/>
        </w:rPr>
        <w:t xml:space="preserve"> of affairs that obtain at some time </w:t>
      </w:r>
      <w:r w:rsidRPr="00971AE0">
        <w:rPr>
          <w:rStyle w:val="StyleUnderline"/>
          <w:highlight w:val="cyan"/>
        </w:rPr>
        <w:t>in the past</w:t>
      </w:r>
      <w:r w:rsidRPr="003E6937">
        <w:rPr>
          <w:rStyle w:val="StyleUnderline"/>
        </w:rPr>
        <w:t xml:space="preserve">, when </w:t>
      </w:r>
      <w:r w:rsidRPr="00971AE0">
        <w:rPr>
          <w:rStyle w:val="StyleUnderline"/>
          <w:highlight w:val="cyan"/>
        </w:rPr>
        <w:t>conjoined with</w:t>
      </w:r>
      <w:r w:rsidRPr="00010FF8">
        <w:rPr>
          <w:rStyle w:val="StyleUnderline"/>
        </w:rPr>
        <w:t xml:space="preserve"> the </w:t>
      </w:r>
      <w:r w:rsidRPr="00971AE0">
        <w:rPr>
          <w:rStyle w:val="StyleUnderline"/>
          <w:highlight w:val="cyan"/>
        </w:rPr>
        <w:t>laws of nature, entail</w:t>
      </w:r>
      <w:r w:rsidRPr="003E6937">
        <w:rPr>
          <w:rStyle w:val="StyleUnderline"/>
        </w:rPr>
        <w:t xml:space="preserve"> which possible world is </w:t>
      </w:r>
      <w:r w:rsidRPr="00971AE0">
        <w:rPr>
          <w:rStyle w:val="StyleUnderline"/>
          <w:highlight w:val="cyan"/>
        </w:rPr>
        <w:t xml:space="preserve">the </w:t>
      </w:r>
      <w:r w:rsidRPr="00FD7CAA">
        <w:rPr>
          <w:rStyle w:val="StyleUnderline"/>
          <w:highlight w:val="cyan"/>
        </w:rPr>
        <w:t xml:space="preserve">actual world. 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states</w:t>
      </w:r>
      <w:r w:rsidRPr="00010FF8">
        <w:rPr>
          <w:rStyle w:val="StyleUnderline"/>
        </w:rPr>
        <w:t xml:space="preserve"> 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010FF8">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59669343" w14:textId="77777777" w:rsidR="00740AB4" w:rsidRDefault="00740AB4" w:rsidP="00740AB4">
      <w:pPr>
        <w:pStyle w:val="Heading4"/>
      </w:pPr>
      <w:r>
        <w:t>Applies to humans – every thought is caused by neurochemical changes.</w:t>
      </w:r>
    </w:p>
    <w:p w14:paraId="4F2C51FF" w14:textId="77777777" w:rsidR="00740AB4" w:rsidRPr="00616DF2" w:rsidRDefault="00740AB4" w:rsidP="00740AB4">
      <w:pPr>
        <w:rPr>
          <w:sz w:val="16"/>
        </w:rPr>
      </w:pPr>
      <w:r w:rsidRPr="00616DF2">
        <w:rPr>
          <w:rStyle w:val="Style13ptBold"/>
        </w:rPr>
        <w:t>Cave 16</w:t>
      </w:r>
      <w:r w:rsidRPr="00616DF2">
        <w:rPr>
          <w:sz w:val="16"/>
        </w:rPr>
        <w:t xml:space="preserve"> Stephen Cave, senior research fellow at the University of Cambridge, "There’s No Such Thing as Free Will," June 2016, The Atlantic, accessed 21 August 2021, </w:t>
      </w:r>
      <w:hyperlink r:id="rId10" w:history="1">
        <w:r w:rsidRPr="00616DF2">
          <w:rPr>
            <w:rStyle w:val="Hyperlink"/>
            <w:sz w:val="16"/>
          </w:rPr>
          <w:t>https://www.theatlantic.com/magazine/archive/2016/06/theres-no-such-thing-as-free-will/480750/</w:t>
        </w:r>
      </w:hyperlink>
      <w:r w:rsidRPr="00616DF2">
        <w:rPr>
          <w:sz w:val="16"/>
        </w:rPr>
        <w:t xml:space="preserve"> ~ST~</w:t>
      </w:r>
    </w:p>
    <w:p w14:paraId="7252899D" w14:textId="77777777" w:rsidR="00740AB4" w:rsidRPr="00616DF2" w:rsidRDefault="00740AB4" w:rsidP="00740AB4">
      <w:pPr>
        <w:rPr>
          <w:rStyle w:val="StyleUnderline"/>
        </w:rPr>
      </w:pPr>
      <w:r w:rsidRPr="006300EE">
        <w:rPr>
          <w:rStyle w:val="StyleUnderline"/>
        </w:rPr>
        <w:t xml:space="preserve">The sciences have grown steadily bolder in their claim that </w:t>
      </w:r>
      <w:r w:rsidRPr="00616DF2">
        <w:rPr>
          <w:rStyle w:val="StyleUnderline"/>
          <w:highlight w:val="cyan"/>
        </w:rPr>
        <w:t>all</w:t>
      </w:r>
      <w:r w:rsidRPr="00010FF8">
        <w:rPr>
          <w:rStyle w:val="StyleUnderline"/>
        </w:rPr>
        <w:t xml:space="preserve"> human </w:t>
      </w:r>
      <w:r w:rsidRPr="00616DF2">
        <w:rPr>
          <w:rStyle w:val="StyleUnderline"/>
          <w:highlight w:val="cyan"/>
        </w:rPr>
        <w:t>behavior can be explained through</w:t>
      </w:r>
      <w:r w:rsidRPr="006300EE">
        <w:rPr>
          <w:rStyle w:val="StyleUnderline"/>
        </w:rPr>
        <w:t xml:space="preserve"> the clockwork laws of </w:t>
      </w:r>
      <w:r w:rsidRPr="00616DF2">
        <w:rPr>
          <w:rStyle w:val="StyleUnderline"/>
          <w:highlight w:val="cyan"/>
        </w:rPr>
        <w:t>cause and effect.</w:t>
      </w:r>
      <w:r w:rsidRPr="00616DF2">
        <w:rPr>
          <w:sz w:val="16"/>
        </w:rPr>
        <w:t xml:space="preserve"> This shift in perception is the continuation of an intellectual revolution that began about 150 years ago, when Charles Darwin first published On the Origin of Species. Shortly after Darwin put forth his theory of evolution, his cousin Sir Francis Galton began to draw out the implications: If we have evolved, then mental faculties like intelligence must be hereditary. But we use those faculties—which some people have to a greater degree than others—to make decisions. </w:t>
      </w:r>
      <w:r w:rsidRPr="00616DF2">
        <w:rPr>
          <w:rStyle w:val="StyleUnderline"/>
        </w:rPr>
        <w:t xml:space="preserve">So our </w:t>
      </w:r>
      <w:r w:rsidRPr="00616DF2">
        <w:rPr>
          <w:rStyle w:val="StyleUnderline"/>
          <w:highlight w:val="cyan"/>
        </w:rPr>
        <w:t>ability to choose</w:t>
      </w:r>
      <w:r w:rsidRPr="00616DF2">
        <w:rPr>
          <w:rStyle w:val="StyleUnderline"/>
        </w:rPr>
        <w:t xml:space="preserve"> our fate is not free, but </w:t>
      </w:r>
      <w:r w:rsidRPr="00616DF2">
        <w:rPr>
          <w:rStyle w:val="StyleUnderline"/>
          <w:highlight w:val="cyan"/>
        </w:rPr>
        <w:t>depends on</w:t>
      </w:r>
      <w:r w:rsidRPr="00616DF2">
        <w:rPr>
          <w:rStyle w:val="StyleUnderline"/>
        </w:rPr>
        <w:t xml:space="preserve"> our </w:t>
      </w:r>
      <w:r w:rsidRPr="00616DF2">
        <w:rPr>
          <w:rStyle w:val="StyleUnderline"/>
          <w:highlight w:val="cyan"/>
        </w:rPr>
        <w:t>biological inheritance.</w:t>
      </w:r>
    </w:p>
    <w:p w14:paraId="63762E0A" w14:textId="77777777" w:rsidR="00740AB4" w:rsidRPr="00616DF2" w:rsidRDefault="00740AB4" w:rsidP="00740AB4">
      <w:pPr>
        <w:rPr>
          <w:sz w:val="16"/>
        </w:rPr>
      </w:pPr>
      <w:r w:rsidRPr="00616DF2">
        <w:rPr>
          <w:sz w:val="16"/>
        </w:rPr>
        <w:t xml:space="preserve">Galton launched a debate that raged throughout the 20th century over nature versus nurture. Are our actions the unfolding effect of our genetics? Or the outcome of what has been imprinted on us by the environment? Impressive evidence accumulated for the importance of each factor. Whether scientists supported one, the other, or a mix of both, </w:t>
      </w:r>
      <w:r w:rsidRPr="00616DF2">
        <w:rPr>
          <w:rStyle w:val="StyleUnderline"/>
        </w:rPr>
        <w:t xml:space="preserve">they increasingly assumed that </w:t>
      </w:r>
      <w:r w:rsidRPr="00616DF2">
        <w:rPr>
          <w:rStyle w:val="StyleUnderline"/>
          <w:highlight w:val="cyan"/>
        </w:rPr>
        <w:t>our deeds must be determined</w:t>
      </w:r>
      <w:r w:rsidRPr="00616DF2">
        <w:rPr>
          <w:rStyle w:val="StyleUnderline"/>
        </w:rPr>
        <w:t xml:space="preserve"> by something.</w:t>
      </w:r>
    </w:p>
    <w:p w14:paraId="47D125F3" w14:textId="77777777" w:rsidR="00740AB4" w:rsidRPr="00616DF2" w:rsidRDefault="00740AB4" w:rsidP="00740AB4">
      <w:pPr>
        <w:rPr>
          <w:rStyle w:val="StyleUnderline"/>
        </w:rPr>
      </w:pPr>
      <w:r w:rsidRPr="00616DF2">
        <w:rPr>
          <w:rStyle w:val="StyleUnderline"/>
        </w:rPr>
        <w:t xml:space="preserve">In recent decades, </w:t>
      </w:r>
      <w:r w:rsidRPr="00616DF2">
        <w:rPr>
          <w:rStyle w:val="StyleUnderline"/>
          <w:highlight w:val="cyan"/>
        </w:rPr>
        <w:t>research on</w:t>
      </w:r>
      <w:r w:rsidRPr="00616DF2">
        <w:rPr>
          <w:rStyle w:val="StyleUnderline"/>
        </w:rPr>
        <w:t xml:space="preserve"> the inner workings of </w:t>
      </w:r>
      <w:r w:rsidRPr="00616DF2">
        <w:rPr>
          <w:rStyle w:val="StyleUnderline"/>
          <w:highlight w:val="cyan"/>
        </w:rPr>
        <w:t>the brain</w:t>
      </w:r>
      <w:r w:rsidRPr="00616DF2">
        <w:rPr>
          <w:rStyle w:val="StyleUnderline"/>
        </w:rPr>
        <w:t xml:space="preserve"> has helped to resolve the nature-nurture debate—and </w:t>
      </w:r>
      <w:r w:rsidRPr="00616DF2">
        <w:rPr>
          <w:rStyle w:val="StyleUnderline"/>
          <w:highlight w:val="cyan"/>
        </w:rPr>
        <w:t>has dealt a</w:t>
      </w:r>
      <w:r w:rsidRPr="00616DF2">
        <w:rPr>
          <w:rStyle w:val="StyleUnderline"/>
        </w:rPr>
        <w:t xml:space="preserve"> further </w:t>
      </w:r>
      <w:r w:rsidRPr="00616DF2">
        <w:rPr>
          <w:rStyle w:val="StyleUnderline"/>
          <w:highlight w:val="cyan"/>
        </w:rPr>
        <w:t>blow to</w:t>
      </w:r>
      <w:r w:rsidRPr="00616DF2">
        <w:rPr>
          <w:rStyle w:val="StyleUnderline"/>
        </w:rPr>
        <w:t xml:space="preserve"> the idea of </w:t>
      </w:r>
      <w:r w:rsidRPr="00616DF2">
        <w:rPr>
          <w:rStyle w:val="StyleUnderline"/>
          <w:highlight w:val="cyan"/>
        </w:rPr>
        <w:t>free will. Brain scanners</w:t>
      </w:r>
      <w:r w:rsidRPr="00616DF2">
        <w:rPr>
          <w:rStyle w:val="StyleUnderline"/>
        </w:rPr>
        <w:t xml:space="preserve"> have enabled us to peer inside a living person’s skull, </w:t>
      </w:r>
      <w:r w:rsidRPr="00616DF2">
        <w:rPr>
          <w:rStyle w:val="StyleUnderline"/>
          <w:highlight w:val="cyan"/>
        </w:rPr>
        <w:t>reveal</w:t>
      </w:r>
      <w:r w:rsidRPr="00616DF2">
        <w:rPr>
          <w:rStyle w:val="StyleUnderline"/>
        </w:rPr>
        <w:t>ing intricate networks of neurons and allowing scientists</w:t>
      </w:r>
      <w:r w:rsidRPr="00CE039F">
        <w:rPr>
          <w:rStyle w:val="StyleUnderline"/>
        </w:rPr>
        <w:t xml:space="preserve"> to reach broad agreement that these networks are shaped by both genes and environment. But there is also agreement in the scientific community </w:t>
      </w:r>
      <w:r w:rsidRPr="00CE039F">
        <w:rPr>
          <w:rStyle w:val="StyleUnderline"/>
          <w:highlight w:val="cyan"/>
        </w:rPr>
        <w:t>that the firing of neurons determines</w:t>
      </w:r>
      <w:r w:rsidRPr="00CE039F">
        <w:rPr>
          <w:rStyle w:val="StyleUnderline"/>
        </w:rPr>
        <w:t xml:space="preserve"> not just some or most but </w:t>
      </w:r>
      <w:r w:rsidRPr="00CE039F">
        <w:rPr>
          <w:rStyle w:val="StyleUnderline"/>
          <w:highlight w:val="cyan"/>
        </w:rPr>
        <w:t>all</w:t>
      </w:r>
      <w:r w:rsidRPr="00CE039F">
        <w:rPr>
          <w:rStyle w:val="StyleUnderline"/>
        </w:rPr>
        <w:t xml:space="preserve"> of </w:t>
      </w:r>
      <w:r w:rsidRPr="00CE039F">
        <w:rPr>
          <w:rStyle w:val="StyleUnderline"/>
          <w:highlight w:val="cyan"/>
        </w:rPr>
        <w:t>our thoughts</w:t>
      </w:r>
      <w:r w:rsidRPr="00CE039F">
        <w:rPr>
          <w:rStyle w:val="StyleUnderline"/>
        </w:rPr>
        <w:t>, hopes, memories</w:t>
      </w:r>
      <w:r w:rsidRPr="00616DF2">
        <w:rPr>
          <w:rStyle w:val="StyleUnderline"/>
        </w:rPr>
        <w:t>, and dreams.</w:t>
      </w:r>
    </w:p>
    <w:p w14:paraId="3DA9BFD5" w14:textId="77777777" w:rsidR="00740AB4" w:rsidRPr="00CF3397" w:rsidRDefault="00740AB4" w:rsidP="00740AB4">
      <w:pPr>
        <w:pStyle w:val="Heading4"/>
        <w:rPr>
          <w:color w:val="FF0000"/>
        </w:rPr>
      </w:pPr>
      <w:r>
        <w:t>[2] Brain signals determine action before the conception of choice even arises – means we don’t control our actions</w:t>
      </w:r>
    </w:p>
    <w:p w14:paraId="34311F14" w14:textId="77777777" w:rsidR="00740AB4" w:rsidRPr="00CE039F" w:rsidRDefault="00740AB4" w:rsidP="00740AB4">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1" w:history="1">
        <w:r w:rsidRPr="00CE039F">
          <w:rPr>
            <w:rStyle w:val="Hyperlink"/>
            <w:sz w:val="16"/>
          </w:rPr>
          <w:t>https://pubmed.ncbi.nlm.nih.gov/21315264/</w:t>
        </w:r>
      </w:hyperlink>
      <w:r w:rsidRPr="00CE039F">
        <w:rPr>
          <w:sz w:val="16"/>
        </w:rPr>
        <w:t xml:space="preserve"> ~ST~</w:t>
      </w:r>
    </w:p>
    <w:p w14:paraId="5B820DCB" w14:textId="77777777" w:rsidR="00740AB4" w:rsidRPr="00587148" w:rsidRDefault="00740AB4" w:rsidP="00740AB4">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2758022F" w14:textId="77777777" w:rsidR="00740AB4" w:rsidRDefault="00740AB4" w:rsidP="00740AB4">
      <w:pPr>
        <w:pStyle w:val="Heading4"/>
      </w:pPr>
      <w:r>
        <w:t>Next, existence of obligations necessitates alternate possibilities.</w:t>
      </w:r>
    </w:p>
    <w:p w14:paraId="76588BF4" w14:textId="77777777" w:rsidR="00740AB4" w:rsidRDefault="00740AB4" w:rsidP="00740AB4">
      <w:pPr>
        <w:pStyle w:val="Heading4"/>
      </w:pPr>
      <w:r>
        <w:t>[1] Action theory – alternatives distinguish what we do, a.k.a. actions, from what happens to us. Events in your life aren’t something you do without a potential alternate. For example, there’s no alternate if you wake up from a loud noise; it happens to you instead of being actively chosen.</w:t>
      </w:r>
    </w:p>
    <w:p w14:paraId="3DFE0966" w14:textId="65EB13B9" w:rsidR="00740AB4" w:rsidRPr="000538A9" w:rsidRDefault="00740AB4" w:rsidP="00740AB4">
      <w:pPr>
        <w:pStyle w:val="Heading4"/>
      </w:pPr>
      <w:r>
        <w:t xml:space="preserve">[2] You can’t have an obligation to do something impossible; otherwise, we’d have responsibility over everything outside of our </w:t>
      </w:r>
      <w:r w:rsidRPr="000538A9">
        <w:t>control. We can’t be responsible for the aff’s advantages – harms in the squo are outside of our control</w:t>
      </w:r>
      <w:r>
        <w:t xml:space="preserve"> – that’s the intent-foresight distinction</w:t>
      </w:r>
      <w:r w:rsidR="00A658BD">
        <w:t>.</w:t>
      </w:r>
    </w:p>
    <w:p w14:paraId="55BB6E56" w14:textId="77777777" w:rsidR="00740AB4" w:rsidRDefault="00740AB4" w:rsidP="00740AB4">
      <w:pPr>
        <w:pStyle w:val="Heading4"/>
      </w:pPr>
      <w:r>
        <w:t>[3] Moral language – blaming someone assumes they had the ability to do otherwise – you wouldn’t hold a baby culpable for theft.</w:t>
      </w:r>
    </w:p>
    <w:p w14:paraId="1284C2BF" w14:textId="77777777" w:rsidR="00740AB4" w:rsidRDefault="00740AB4" w:rsidP="00740AB4">
      <w:pPr>
        <w:pStyle w:val="Heading4"/>
      </w:pPr>
      <w:r>
        <w:t>[4] Dichotomies – morality only exists in opposition to immorality. If there is only one action, then it can’t contain morality.</w:t>
      </w:r>
    </w:p>
    <w:p w14:paraId="0A2FC346" w14:textId="77777777" w:rsidR="00740AB4" w:rsidRPr="004A007F" w:rsidRDefault="00740AB4" w:rsidP="00740AB4">
      <w:pPr>
        <w:pStyle w:val="Heading4"/>
        <w:rPr>
          <w:color w:val="FF0000"/>
        </w:rPr>
      </w:pPr>
      <w:r>
        <w:t>[5] Morality is prescriptive, not descriptive; if a subject is not the cause of their action, they can’t be guided by moral principles.</w:t>
      </w:r>
    </w:p>
    <w:p w14:paraId="76862B15" w14:textId="2B33FE34" w:rsidR="00FF3270" w:rsidRPr="00FF3270" w:rsidRDefault="00740AB4" w:rsidP="00FF3270">
      <w:pPr>
        <w:pStyle w:val="Heading4"/>
      </w:pPr>
      <w:r>
        <w:t>The res being requires alternate possibilities since it’s about moral obligation; thus, the res is independently false.</w:t>
      </w:r>
    </w:p>
    <w:sectPr w:rsidR="00FF3270" w:rsidRPr="00FF32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EC2E1" w14:textId="77777777" w:rsidR="00706071" w:rsidRDefault="00706071" w:rsidP="00766352">
      <w:pPr>
        <w:spacing w:after="0" w:line="240" w:lineRule="auto"/>
      </w:pPr>
      <w:r>
        <w:separator/>
      </w:r>
    </w:p>
  </w:endnote>
  <w:endnote w:type="continuationSeparator" w:id="0">
    <w:p w14:paraId="26E9DF4A" w14:textId="77777777" w:rsidR="00706071" w:rsidRDefault="00706071" w:rsidP="00766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4AE7" w14:textId="77777777" w:rsidR="00706071" w:rsidRDefault="00706071" w:rsidP="00766352">
      <w:pPr>
        <w:spacing w:after="0" w:line="240" w:lineRule="auto"/>
      </w:pPr>
      <w:r>
        <w:separator/>
      </w:r>
    </w:p>
  </w:footnote>
  <w:footnote w:type="continuationSeparator" w:id="0">
    <w:p w14:paraId="1C46BDC0" w14:textId="77777777" w:rsidR="00706071" w:rsidRDefault="00706071" w:rsidP="00766352">
      <w:pPr>
        <w:spacing w:after="0" w:line="240" w:lineRule="auto"/>
      </w:pPr>
      <w:r>
        <w:continuationSeparator/>
      </w:r>
    </w:p>
  </w:footnote>
  <w:footnote w:id="1">
    <w:p w14:paraId="0C3CF14D" w14:textId="77777777" w:rsidR="00766352" w:rsidRDefault="00766352" w:rsidP="00766352">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1901C2F5" w14:textId="77777777" w:rsidR="00766352" w:rsidRDefault="00706071" w:rsidP="00766352">
      <w:pPr>
        <w:ind w:right="-1440"/>
        <w:rPr>
          <w:sz w:val="16"/>
          <w:szCs w:val="16"/>
        </w:rPr>
      </w:pPr>
      <w:hyperlink r:id="rId2" w:history="1">
        <w:r w:rsidR="00766352" w:rsidRPr="00A7046E">
          <w:rPr>
            <w:rStyle w:val="Hyperlink"/>
            <w:sz w:val="16"/>
            <w:szCs w:val="16"/>
          </w:rPr>
          <w:t>http://www.merriam-webster.com/dictionary/negate</w:t>
        </w:r>
      </w:hyperlink>
      <w:r w:rsidR="00766352">
        <w:rPr>
          <w:sz w:val="16"/>
          <w:szCs w:val="16"/>
        </w:rPr>
        <w:t xml:space="preserve"> (Merriam-Webster, accessed 11 September 2021)</w:t>
      </w:r>
    </w:p>
    <w:p w14:paraId="73A0FC61" w14:textId="77777777" w:rsidR="00766352" w:rsidRDefault="00706071" w:rsidP="00766352">
      <w:pPr>
        <w:ind w:right="-1440"/>
        <w:rPr>
          <w:sz w:val="16"/>
          <w:szCs w:val="16"/>
        </w:rPr>
      </w:pPr>
      <w:hyperlink r:id="rId3" w:history="1">
        <w:r w:rsidR="00766352" w:rsidRPr="00A7046E">
          <w:rPr>
            <w:rStyle w:val="Hyperlink"/>
            <w:sz w:val="16"/>
            <w:szCs w:val="16"/>
          </w:rPr>
          <w:t>http://www.thefreedictionary.com/negate</w:t>
        </w:r>
      </w:hyperlink>
      <w:r w:rsidR="00766352">
        <w:rPr>
          <w:sz w:val="16"/>
          <w:szCs w:val="16"/>
        </w:rPr>
        <w:t xml:space="preserve"> (The Free Dictionary, accessed 11 September 2021)</w:t>
      </w:r>
    </w:p>
    <w:p w14:paraId="01FF0B1B" w14:textId="77777777" w:rsidR="00766352" w:rsidRDefault="00706071" w:rsidP="00766352">
      <w:pPr>
        <w:ind w:right="-1440"/>
        <w:rPr>
          <w:sz w:val="16"/>
          <w:szCs w:val="16"/>
        </w:rPr>
      </w:pPr>
      <w:hyperlink r:id="rId4" w:history="1">
        <w:r w:rsidR="00766352" w:rsidRPr="00A7046E">
          <w:rPr>
            <w:rStyle w:val="Hyperlink"/>
            <w:sz w:val="16"/>
            <w:szCs w:val="16"/>
          </w:rPr>
          <w:t>https://www.vocabulary.com/dictionary/negate</w:t>
        </w:r>
      </w:hyperlink>
      <w:r w:rsidR="00766352">
        <w:rPr>
          <w:sz w:val="16"/>
          <w:szCs w:val="16"/>
        </w:rPr>
        <w:t xml:space="preserve"> (Vocabulary.com, accessed 11 September 2021)</w:t>
      </w:r>
    </w:p>
    <w:p w14:paraId="3059B3A5" w14:textId="77777777" w:rsidR="00766352" w:rsidRPr="00752E9C" w:rsidRDefault="00706071" w:rsidP="00766352">
      <w:pPr>
        <w:ind w:right="-1440"/>
        <w:rPr>
          <w:sz w:val="16"/>
          <w:szCs w:val="16"/>
        </w:rPr>
      </w:pPr>
      <w:hyperlink r:id="rId5" w:history="1">
        <w:r w:rsidR="00766352" w:rsidRPr="00A7046E">
          <w:rPr>
            <w:rStyle w:val="Hyperlink"/>
            <w:sz w:val="16"/>
            <w:szCs w:val="16"/>
          </w:rPr>
          <w:t>http://www.oxforddictionaries.com/definition/english/negate</w:t>
        </w:r>
      </w:hyperlink>
      <w:r w:rsidR="00766352">
        <w:rPr>
          <w:sz w:val="16"/>
          <w:szCs w:val="16"/>
        </w:rPr>
        <w:t xml:space="preserve"> (Oxford Dictionaries, accessed 11 September 2021)</w:t>
      </w:r>
    </w:p>
  </w:footnote>
  <w:footnote w:id="2">
    <w:p w14:paraId="7C4D9A8E" w14:textId="77777777" w:rsidR="00766352" w:rsidRDefault="00766352" w:rsidP="00766352">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82F33B8" w14:textId="77777777" w:rsidR="00766352" w:rsidRPr="00E21CBE" w:rsidRDefault="00706071" w:rsidP="00766352">
      <w:pPr>
        <w:ind w:right="-1440"/>
        <w:rPr>
          <w:sz w:val="16"/>
          <w:szCs w:val="16"/>
        </w:rPr>
      </w:pPr>
      <w:hyperlink r:id="rId7" w:history="1">
        <w:r w:rsidR="00766352" w:rsidRPr="00A7046E">
          <w:rPr>
            <w:rStyle w:val="Hyperlink"/>
            <w:sz w:val="16"/>
          </w:rPr>
          <w:t>https://www.merriam-webster.com/dictionary/affirm</w:t>
        </w:r>
      </w:hyperlink>
      <w:r w:rsidR="00766352">
        <w:rPr>
          <w:sz w:val="16"/>
        </w:rPr>
        <w:t xml:space="preserve"> </w:t>
      </w:r>
      <w:r w:rsidR="00766352">
        <w:rPr>
          <w:sz w:val="16"/>
          <w:szCs w:val="16"/>
        </w:rPr>
        <w:t>(Merriam-Webster, accessed 11 September 2021)</w:t>
      </w:r>
    </w:p>
    <w:p w14:paraId="55DFF6AE" w14:textId="77777777" w:rsidR="00766352" w:rsidRDefault="00706071" w:rsidP="00766352">
      <w:pPr>
        <w:rPr>
          <w:sz w:val="16"/>
        </w:rPr>
      </w:pPr>
      <w:hyperlink r:id="rId8" w:history="1">
        <w:r w:rsidR="00766352" w:rsidRPr="00A7046E">
          <w:rPr>
            <w:rStyle w:val="Hyperlink"/>
            <w:sz w:val="16"/>
          </w:rPr>
          <w:t>http://www.thefreedictionary.com/affirm</w:t>
        </w:r>
      </w:hyperlink>
      <w:r w:rsidR="00766352">
        <w:rPr>
          <w:sz w:val="16"/>
        </w:rPr>
        <w:t xml:space="preserve"> </w:t>
      </w:r>
      <w:r w:rsidR="00766352">
        <w:rPr>
          <w:sz w:val="16"/>
          <w:szCs w:val="16"/>
        </w:rPr>
        <w:t>(The Free Dictionary, accessed 11 September 2021)</w:t>
      </w:r>
    </w:p>
    <w:p w14:paraId="0C074D14" w14:textId="77777777" w:rsidR="00766352" w:rsidRPr="00E21CBE" w:rsidRDefault="00706071" w:rsidP="00766352">
      <w:pPr>
        <w:ind w:right="-1440"/>
        <w:rPr>
          <w:sz w:val="16"/>
          <w:szCs w:val="16"/>
        </w:rPr>
      </w:pPr>
      <w:hyperlink r:id="rId9" w:history="1">
        <w:r w:rsidR="00766352" w:rsidRPr="00A7046E">
          <w:rPr>
            <w:rStyle w:val="Hyperlink"/>
            <w:sz w:val="16"/>
          </w:rPr>
          <w:t>https://www.vocabulary.com/dictionary/affirm</w:t>
        </w:r>
      </w:hyperlink>
      <w:r w:rsidR="00766352">
        <w:rPr>
          <w:sz w:val="16"/>
        </w:rPr>
        <w:t xml:space="preserve"> </w:t>
      </w:r>
      <w:r w:rsidR="00766352">
        <w:rPr>
          <w:sz w:val="16"/>
          <w:szCs w:val="16"/>
        </w:rPr>
        <w:t>(Vocabulary.com, accessed 11 September 2021)</w:t>
      </w:r>
    </w:p>
    <w:p w14:paraId="0F249FE8" w14:textId="77777777" w:rsidR="00766352" w:rsidRPr="00E21CBE" w:rsidRDefault="00706071" w:rsidP="00766352">
      <w:pPr>
        <w:ind w:right="-1440"/>
        <w:rPr>
          <w:sz w:val="16"/>
          <w:szCs w:val="16"/>
        </w:rPr>
      </w:pPr>
      <w:hyperlink r:id="rId10" w:history="1">
        <w:r w:rsidR="00766352" w:rsidRPr="00A7046E">
          <w:rPr>
            <w:rStyle w:val="Hyperlink"/>
            <w:sz w:val="16"/>
            <w:szCs w:val="16"/>
          </w:rPr>
          <w:t>http://www.oxforddictionaries.com/definition/english/affirm</w:t>
        </w:r>
      </w:hyperlink>
      <w:r w:rsidR="00766352">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014106244240"/>
    <w:docVar w:name="VerbatimVersion" w:val="5.1"/>
  </w:docVars>
  <w:rsids>
    <w:rsidRoot w:val="00766352"/>
    <w:rsid w:val="000139A3"/>
    <w:rsid w:val="00074205"/>
    <w:rsid w:val="000E0DDE"/>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608"/>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37402"/>
    <w:rsid w:val="00645FA9"/>
    <w:rsid w:val="00647866"/>
    <w:rsid w:val="00665003"/>
    <w:rsid w:val="006A2AD0"/>
    <w:rsid w:val="006C2375"/>
    <w:rsid w:val="006D4ECC"/>
    <w:rsid w:val="006E5919"/>
    <w:rsid w:val="00706071"/>
    <w:rsid w:val="00722258"/>
    <w:rsid w:val="007243E5"/>
    <w:rsid w:val="00740AB4"/>
    <w:rsid w:val="00766352"/>
    <w:rsid w:val="00766EA0"/>
    <w:rsid w:val="007A2226"/>
    <w:rsid w:val="007F5B66"/>
    <w:rsid w:val="00823A1C"/>
    <w:rsid w:val="00823BAD"/>
    <w:rsid w:val="00845B9D"/>
    <w:rsid w:val="0085783A"/>
    <w:rsid w:val="00860984"/>
    <w:rsid w:val="008B3ECB"/>
    <w:rsid w:val="008B4E85"/>
    <w:rsid w:val="008C1B2E"/>
    <w:rsid w:val="0091627E"/>
    <w:rsid w:val="0097032B"/>
    <w:rsid w:val="009D2EAD"/>
    <w:rsid w:val="009D54B2"/>
    <w:rsid w:val="009E1922"/>
    <w:rsid w:val="009F7ED2"/>
    <w:rsid w:val="00A658BD"/>
    <w:rsid w:val="00A93661"/>
    <w:rsid w:val="00A95652"/>
    <w:rsid w:val="00AC0AB8"/>
    <w:rsid w:val="00AC5D4E"/>
    <w:rsid w:val="00B2138E"/>
    <w:rsid w:val="00B32730"/>
    <w:rsid w:val="00B33C6D"/>
    <w:rsid w:val="00B4508F"/>
    <w:rsid w:val="00B55AD5"/>
    <w:rsid w:val="00B8057C"/>
    <w:rsid w:val="00BD32A6"/>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34773"/>
    <w:rsid w:val="00E5262C"/>
    <w:rsid w:val="00EC7DC4"/>
    <w:rsid w:val="00ED30CF"/>
    <w:rsid w:val="00EE0B81"/>
    <w:rsid w:val="00F176EF"/>
    <w:rsid w:val="00F20D36"/>
    <w:rsid w:val="00F45E10"/>
    <w:rsid w:val="00F6364A"/>
    <w:rsid w:val="00F9113A"/>
    <w:rsid w:val="00FB5634"/>
    <w:rsid w:val="00FE2546"/>
    <w:rsid w:val="00FF327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35354"/>
  <w15:chartTrackingRefBased/>
  <w15:docId w15:val="{A9D20758-D650-4094-8B4B-6F9F32BF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7402"/>
    <w:rPr>
      <w:rFonts w:ascii="Arial" w:hAnsi="Arial" w:cs="Arial"/>
      <w:sz w:val="24"/>
    </w:rPr>
  </w:style>
  <w:style w:type="paragraph" w:styleId="Heading1">
    <w:name w:val="heading 1"/>
    <w:aliases w:val="Pocket"/>
    <w:basedOn w:val="Normal"/>
    <w:next w:val="Normal"/>
    <w:link w:val="Heading1Char"/>
    <w:qFormat/>
    <w:rsid w:val="006374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74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74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63740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374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402"/>
  </w:style>
  <w:style w:type="character" w:customStyle="1" w:styleId="Heading1Char">
    <w:name w:val="Heading 1 Char"/>
    <w:aliases w:val="Pocket Char"/>
    <w:basedOn w:val="DefaultParagraphFont"/>
    <w:link w:val="Heading1"/>
    <w:rsid w:val="0063740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3740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637402"/>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637402"/>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Emphasis1"/>
    <w:uiPriority w:val="7"/>
    <w:qFormat/>
    <w:rsid w:val="00637402"/>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7402"/>
    <w:rPr>
      <w:b/>
      <w:bCs/>
      <w:sz w:val="24"/>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Sty"/>
    <w:basedOn w:val="DefaultParagraphFont"/>
    <w:uiPriority w:val="6"/>
    <w:qFormat/>
    <w:rsid w:val="00637402"/>
    <w:rPr>
      <w:b/>
      <w:sz w:val="24"/>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637402"/>
    <w:rPr>
      <w:color w:val="auto"/>
      <w:u w:val="none"/>
    </w:rPr>
  </w:style>
  <w:style w:type="character" w:styleId="FollowedHyperlink">
    <w:name w:val="FollowedHyperlink"/>
    <w:basedOn w:val="DefaultParagraphFont"/>
    <w:uiPriority w:val="99"/>
    <w:semiHidden/>
    <w:unhideWhenUsed/>
    <w:rsid w:val="00637402"/>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66352"/>
    <w:rPr>
      <w:vertAlign w:val="superscript"/>
    </w:rPr>
  </w:style>
  <w:style w:type="paragraph" w:customStyle="1" w:styleId="Emphasis1">
    <w:name w:val="Emphasis1"/>
    <w:basedOn w:val="Normal"/>
    <w:link w:val="Emphasis"/>
    <w:autoRedefine/>
    <w:uiPriority w:val="7"/>
    <w:qFormat/>
    <w:rsid w:val="00B32730"/>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echanddebate.org/wp-content/uploads/High-School-Unified-Manual-2021-202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1315264/" TargetMode="External"/><Relationship Id="rId5" Type="http://schemas.openxmlformats.org/officeDocument/2006/relationships/webSettings" Target="webSettings.xml"/><Relationship Id="rId10" Type="http://schemas.openxmlformats.org/officeDocument/2006/relationships/hyperlink" Target="https://www.theatlantic.com/magazine/archive/2016/06/theres-no-such-thing-as-free-will/480750/" TargetMode="External"/><Relationship Id="rId4" Type="http://schemas.openxmlformats.org/officeDocument/2006/relationships/settings" Target="settings.xml"/><Relationship Id="rId9" Type="http://schemas.openxmlformats.org/officeDocument/2006/relationships/hyperlink" Target="https://iep.utm.edu/freewil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108</TotalTime>
  <Pages>1</Pages>
  <Words>1690</Words>
  <Characters>9637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8</cp:revision>
  <dcterms:created xsi:type="dcterms:W3CDTF">2021-09-18T20:33:00Z</dcterms:created>
  <dcterms:modified xsi:type="dcterms:W3CDTF">2021-09-18T22:47:00Z</dcterms:modified>
</cp:coreProperties>
</file>