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FC433" w14:textId="232DC04E" w:rsidR="00114289" w:rsidRDefault="00A4608B" w:rsidP="00114289">
      <w:pPr>
        <w:pStyle w:val="Heading1"/>
      </w:pPr>
      <w:r>
        <w:t>Yale21 R1 NC BS</w:t>
      </w:r>
    </w:p>
    <w:p w14:paraId="27C13DEC" w14:textId="1DFFB17A" w:rsidR="00616C6C" w:rsidRDefault="00616C6C" w:rsidP="00114289">
      <w:pPr>
        <w:pStyle w:val="Heading2"/>
      </w:pPr>
      <w:r>
        <w:t>1 – Theory</w:t>
      </w:r>
    </w:p>
    <w:p w14:paraId="75485DFF" w14:textId="77777777" w:rsidR="00616C6C" w:rsidRPr="00A12585" w:rsidRDefault="00616C6C" w:rsidP="00616C6C">
      <w:pPr>
        <w:pStyle w:val="Heading4"/>
        <w:rPr>
          <w:color w:val="FF0000"/>
        </w:rPr>
      </w:pPr>
      <w:r>
        <w:t>Interpretation: debaters must include the URL in citations for their evidence.</w:t>
      </w:r>
    </w:p>
    <w:p w14:paraId="744B072E" w14:textId="18193712" w:rsidR="00616C6C" w:rsidRDefault="00616C6C" w:rsidP="00616C6C">
      <w:pPr>
        <w:pStyle w:val="Heading4"/>
      </w:pPr>
      <w:r>
        <w:t xml:space="preserve">Violation: they didn’t – examples include their </w:t>
      </w:r>
      <w:proofErr w:type="spellStart"/>
      <w:r>
        <w:t>Otteson</w:t>
      </w:r>
      <w:proofErr w:type="spellEnd"/>
      <w:r>
        <w:t xml:space="preserve"> card.</w:t>
      </w:r>
    </w:p>
    <w:p w14:paraId="7D5F602D" w14:textId="77777777" w:rsidR="00616C6C" w:rsidRDefault="00616C6C" w:rsidP="00616C6C">
      <w:pPr>
        <w:pStyle w:val="Heading4"/>
        <w:tabs>
          <w:tab w:val="left" w:pos="4002"/>
          <w:tab w:val="left" w:pos="5660"/>
        </w:tabs>
      </w:pPr>
      <w:r>
        <w:t>Standards:</w:t>
      </w:r>
    </w:p>
    <w:p w14:paraId="4EF990EA" w14:textId="77777777" w:rsidR="00616C6C" w:rsidRPr="00F66A5B" w:rsidRDefault="00616C6C" w:rsidP="00616C6C">
      <w:pPr>
        <w:pStyle w:val="Heading4"/>
        <w:rPr>
          <w:color w:val="FF0000"/>
        </w:rPr>
      </w:pPr>
      <w:r>
        <w:t>[1] NSDA rules – the unified manual says to include the URL.</w:t>
      </w:r>
    </w:p>
    <w:p w14:paraId="57393081" w14:textId="77777777" w:rsidR="00616C6C" w:rsidRPr="00503A91" w:rsidRDefault="00616C6C" w:rsidP="00616C6C">
      <w:pPr>
        <w:rPr>
          <w:sz w:val="16"/>
        </w:rPr>
      </w:pPr>
      <w:r w:rsidRPr="00DD39D2">
        <w:rPr>
          <w:rStyle w:val="Style13ptBold"/>
        </w:rPr>
        <w:t>NSDA</w:t>
      </w:r>
      <w:r>
        <w:rPr>
          <w:rStyle w:val="Style13ptBold"/>
        </w:rPr>
        <w:t xml:space="preserve"> 21</w:t>
      </w:r>
      <w:r>
        <w:t xml:space="preserve"> </w:t>
      </w:r>
      <w:r w:rsidRPr="00DD39D2">
        <w:rPr>
          <w:sz w:val="16"/>
        </w:rPr>
        <w:t>National Speech and Debate Association, “</w:t>
      </w:r>
      <w:r>
        <w:rPr>
          <w:sz w:val="16"/>
        </w:rPr>
        <w:t>High School U</w:t>
      </w:r>
      <w:r w:rsidRPr="00503A91">
        <w:rPr>
          <w:sz w:val="16"/>
        </w:rPr>
        <w:t>nified Manual,”</w:t>
      </w:r>
      <w:r>
        <w:rPr>
          <w:sz w:val="16"/>
        </w:rPr>
        <w:t xml:space="preserve"> 1 September</w:t>
      </w:r>
      <w:r w:rsidRPr="00503A91">
        <w:rPr>
          <w:sz w:val="16"/>
        </w:rPr>
        <w:t xml:space="preserve"> 2021, National Speech and Debate Association, accessed </w:t>
      </w:r>
      <w:r>
        <w:rPr>
          <w:sz w:val="16"/>
        </w:rPr>
        <w:t xml:space="preserve">11 September </w:t>
      </w:r>
      <w:r w:rsidRPr="00503A91">
        <w:rPr>
          <w:sz w:val="16"/>
        </w:rPr>
        <w:t xml:space="preserve">2021, pg. 30, </w:t>
      </w:r>
      <w:hyperlink r:id="rId8" w:history="1">
        <w:r w:rsidRPr="00A7046E">
          <w:rPr>
            <w:rStyle w:val="Hyperlink"/>
            <w:sz w:val="16"/>
          </w:rPr>
          <w:t>https://www.speechanddebate.org/wp-content/uploads/High-School-Unified-Manual-2021-2022.pdf</w:t>
        </w:r>
      </w:hyperlink>
      <w:r>
        <w:rPr>
          <w:sz w:val="16"/>
        </w:rPr>
        <w:t xml:space="preserve"> </w:t>
      </w:r>
      <w:r w:rsidRPr="00503A91">
        <w:rPr>
          <w:sz w:val="16"/>
        </w:rPr>
        <w:t xml:space="preserve"> ~ST~</w:t>
      </w:r>
    </w:p>
    <w:p w14:paraId="4806BA5A" w14:textId="77777777" w:rsidR="00616C6C" w:rsidRPr="005526DB" w:rsidRDefault="00616C6C" w:rsidP="00616C6C">
      <w:pPr>
        <w:rPr>
          <w:rStyle w:val="StyleUnderline"/>
        </w:rPr>
      </w:pPr>
      <w:r w:rsidRPr="00503A91">
        <w:rPr>
          <w:sz w:val="16"/>
        </w:rPr>
        <w:t xml:space="preserve">Written source citation. To the extent provided by the original source, </w:t>
      </w:r>
      <w:r w:rsidRPr="005526DB">
        <w:rPr>
          <w:rStyle w:val="StyleUnderline"/>
          <w:highlight w:val="cyan"/>
        </w:rPr>
        <w:t>a written source citation must include</w:t>
      </w:r>
      <w:r w:rsidRPr="005526DB">
        <w:rPr>
          <w:rStyle w:val="StyleUnderline"/>
        </w:rPr>
        <w:t>:</w:t>
      </w:r>
    </w:p>
    <w:p w14:paraId="4527E157" w14:textId="77777777" w:rsidR="00616C6C" w:rsidRPr="009E05B7" w:rsidRDefault="00616C6C" w:rsidP="00616C6C">
      <w:pPr>
        <w:rPr>
          <w:sz w:val="16"/>
        </w:rPr>
      </w:pPr>
      <w:r w:rsidRPr="009E05B7">
        <w:rPr>
          <w:sz w:val="16"/>
        </w:rPr>
        <w:t>1. Full name of primary author and/or editor</w:t>
      </w:r>
    </w:p>
    <w:p w14:paraId="25FCADDC" w14:textId="77777777" w:rsidR="00616C6C" w:rsidRPr="009E05B7" w:rsidRDefault="00616C6C" w:rsidP="00616C6C">
      <w:pPr>
        <w:rPr>
          <w:sz w:val="16"/>
        </w:rPr>
      </w:pPr>
      <w:r w:rsidRPr="009E05B7">
        <w:rPr>
          <w:sz w:val="16"/>
        </w:rPr>
        <w:t>2. Publication date</w:t>
      </w:r>
    </w:p>
    <w:p w14:paraId="69A68FEF" w14:textId="77777777" w:rsidR="00616C6C" w:rsidRPr="009E05B7" w:rsidRDefault="00616C6C" w:rsidP="00616C6C">
      <w:pPr>
        <w:rPr>
          <w:sz w:val="16"/>
        </w:rPr>
      </w:pPr>
      <w:r w:rsidRPr="009E05B7">
        <w:rPr>
          <w:sz w:val="16"/>
        </w:rPr>
        <w:t>3. Source</w:t>
      </w:r>
    </w:p>
    <w:p w14:paraId="35ECBAD0" w14:textId="77777777" w:rsidR="00616C6C" w:rsidRPr="009E05B7" w:rsidRDefault="00616C6C" w:rsidP="00616C6C">
      <w:pPr>
        <w:rPr>
          <w:sz w:val="16"/>
        </w:rPr>
      </w:pPr>
      <w:r w:rsidRPr="009E05B7">
        <w:rPr>
          <w:sz w:val="16"/>
        </w:rPr>
        <w:t>4. Title of article</w:t>
      </w:r>
    </w:p>
    <w:p w14:paraId="55C7821F" w14:textId="77777777" w:rsidR="00616C6C" w:rsidRPr="009E05B7" w:rsidRDefault="00616C6C" w:rsidP="00616C6C">
      <w:pPr>
        <w:rPr>
          <w:sz w:val="16"/>
        </w:rPr>
      </w:pPr>
      <w:r w:rsidRPr="009E05B7">
        <w:rPr>
          <w:sz w:val="16"/>
        </w:rPr>
        <w:t>5. Date accessed for digital evidence</w:t>
      </w:r>
    </w:p>
    <w:p w14:paraId="61D7C0D1" w14:textId="77777777" w:rsidR="00616C6C" w:rsidRPr="005E1F00" w:rsidRDefault="00616C6C" w:rsidP="00616C6C">
      <w:pPr>
        <w:rPr>
          <w:rStyle w:val="StyleUnderline"/>
        </w:rPr>
      </w:pPr>
      <w:r w:rsidRPr="005E1F00">
        <w:rPr>
          <w:rStyle w:val="StyleUnderline"/>
        </w:rPr>
        <w:t xml:space="preserve">6. </w:t>
      </w:r>
      <w:r w:rsidRPr="005E1F00">
        <w:rPr>
          <w:rStyle w:val="StyleUnderline"/>
          <w:highlight w:val="cyan"/>
        </w:rPr>
        <w:t>Full URL</w:t>
      </w:r>
      <w:r w:rsidRPr="005E1F00">
        <w:rPr>
          <w:rStyle w:val="StyleUnderline"/>
        </w:rPr>
        <w:t>, if applicable</w:t>
      </w:r>
    </w:p>
    <w:p w14:paraId="2D0CFECC" w14:textId="77777777" w:rsidR="00616C6C" w:rsidRPr="009E05B7" w:rsidRDefault="00616C6C" w:rsidP="00616C6C">
      <w:pPr>
        <w:rPr>
          <w:sz w:val="16"/>
        </w:rPr>
      </w:pPr>
      <w:r w:rsidRPr="009E05B7">
        <w:rPr>
          <w:sz w:val="16"/>
        </w:rPr>
        <w:t>7. Author qualifications</w:t>
      </w:r>
    </w:p>
    <w:p w14:paraId="6697AF06" w14:textId="77777777" w:rsidR="00616C6C" w:rsidRPr="009E05B7" w:rsidRDefault="00616C6C" w:rsidP="00616C6C">
      <w:pPr>
        <w:rPr>
          <w:sz w:val="16"/>
        </w:rPr>
      </w:pPr>
      <w:r w:rsidRPr="009E05B7">
        <w:rPr>
          <w:sz w:val="16"/>
        </w:rPr>
        <w:t>8. Page number(s)</w:t>
      </w:r>
    </w:p>
    <w:p w14:paraId="64226DFE" w14:textId="77777777" w:rsidR="00616C6C" w:rsidRPr="003A2B2F" w:rsidRDefault="00616C6C" w:rsidP="00616C6C">
      <w:pPr>
        <w:pStyle w:val="Heading4"/>
      </w:pPr>
      <w:r>
        <w:t>That’s a voter – if we can choose what rules to break, I can make speeches however long I want, which is a side constraint to substance. Also proves the shell is reasonable and predictable because it’s by far the most common standard.</w:t>
      </w:r>
    </w:p>
    <w:p w14:paraId="17E289EF" w14:textId="77777777" w:rsidR="00616C6C" w:rsidRDefault="00616C6C" w:rsidP="00616C6C">
      <w:pPr>
        <w:pStyle w:val="Heading4"/>
      </w:pPr>
      <w:r>
        <w:t xml:space="preserve">[2] Evidence ethics – no way to check whether their quote exists because we can’t find it on the internet – they can just make up whatever “evidence” they want, and there’s not enough time for us to verify that it is </w:t>
      </w:r>
      <w:proofErr w:type="gramStart"/>
      <w:r>
        <w:t>actually legit</w:t>
      </w:r>
      <w:proofErr w:type="gramEnd"/>
      <w:r>
        <w:t xml:space="preserve"> evidence. Pasting into a search engine doesn’t solve – a) many texts have weird formatting that prevents it from functioning, and b) difficult to find the correct version or one without a paywall. That’s a voter – a) debate is meaningless if we’re academically dishonest and have no argument credibility, b) uncredible evidence means we don’t know if their claims are true, which also serves as a substantive indict, and c) debate should prepare for the real world, in which small ev ethics violations are punished severely – large repercussions the control internal link to other impacts.</w:t>
      </w:r>
    </w:p>
    <w:p w14:paraId="68D25570" w14:textId="77777777" w:rsidR="00616C6C" w:rsidRPr="00F052C5" w:rsidRDefault="00616C6C" w:rsidP="00616C6C">
      <w:pPr>
        <w:pStyle w:val="Heading4"/>
      </w:pPr>
      <w:r>
        <w:t>Also links to inclusion – small school debaters tend to use cards from the wiki. Bad citations negatively impact their research. That’s a voter because inclusion is a prereq to debate.</w:t>
      </w:r>
    </w:p>
    <w:p w14:paraId="68248BB1" w14:textId="77777777" w:rsidR="00616C6C" w:rsidRDefault="00616C6C" w:rsidP="00616C6C">
      <w:pPr>
        <w:pStyle w:val="Heading4"/>
        <w:rPr>
          <w:lang w:val="en"/>
        </w:rPr>
      </w:pPr>
      <w:r>
        <w:rPr>
          <w:lang w:val="en"/>
        </w:rPr>
        <w:t>DTD – a) in real life, you don’t get a quote cut out of your essay; you get a 0 on it – it’s best to teach good norms now, and b) deters future abuse.</w:t>
      </w:r>
    </w:p>
    <w:p w14:paraId="5D0FF59E" w14:textId="77777777" w:rsidR="00616C6C" w:rsidRPr="00611FFC" w:rsidRDefault="00616C6C" w:rsidP="00616C6C">
      <w:pPr>
        <w:pStyle w:val="Heading4"/>
        <w:rPr>
          <w:color w:val="FF0000"/>
          <w:lang w:val="en"/>
        </w:rPr>
      </w:pPr>
      <w:r>
        <w:rPr>
          <w:lang w:val="en"/>
        </w:rPr>
        <w:t xml:space="preserve">Competing interps – a) reasonability is arbitrary, b) collapses because brightlines concede offense-defense paradigm, c) only CI prevents abuse since it can set norms, not decide rounds on a case-by-case basis. </w:t>
      </w:r>
    </w:p>
    <w:p w14:paraId="42FF609C" w14:textId="180D59CA" w:rsidR="00616C6C" w:rsidRPr="00616C6C" w:rsidRDefault="00616C6C" w:rsidP="00616C6C">
      <w:pPr>
        <w:pStyle w:val="Heading4"/>
        <w:rPr>
          <w:lang w:val="en"/>
        </w:rPr>
      </w:pPr>
      <w:r>
        <w:rPr>
          <w:lang w:val="en"/>
        </w:rPr>
        <w:t>No RVIs – a) you don’t win for being academically honest, b) people will bait theory to win on the RVI, which causes abuse.</w:t>
      </w:r>
    </w:p>
    <w:p w14:paraId="02AB58CC" w14:textId="3894B162" w:rsidR="00DC1686" w:rsidRPr="00A2679E" w:rsidRDefault="00DC1686" w:rsidP="00DC1686">
      <w:pPr>
        <w:pStyle w:val="Heading2"/>
      </w:pPr>
      <w:r>
        <w:t>2 - Theory</w:t>
      </w:r>
    </w:p>
    <w:p w14:paraId="027A39FE" w14:textId="77777777" w:rsidR="00DC1686" w:rsidRPr="00A2679E" w:rsidRDefault="00DC1686" w:rsidP="00DC1686">
      <w:pPr>
        <w:pStyle w:val="Heading4"/>
      </w:pPr>
      <w:r w:rsidRPr="00A2679E">
        <w:t>Interpretation: the affirmative must read a ROTB in the form of a delineated text in the 1AC.</w:t>
      </w:r>
    </w:p>
    <w:p w14:paraId="260F7B60" w14:textId="77777777" w:rsidR="00DC1686" w:rsidRPr="00A2679E" w:rsidRDefault="00DC1686" w:rsidP="00DC1686">
      <w:pPr>
        <w:pStyle w:val="Heading4"/>
      </w:pPr>
      <w:r w:rsidRPr="00A2679E">
        <w:t>Violation: they didn’t</w:t>
      </w:r>
    </w:p>
    <w:p w14:paraId="3AFCE1E5" w14:textId="77777777" w:rsidR="00DC1686" w:rsidRPr="00A2679E" w:rsidRDefault="00DC1686" w:rsidP="00DC1686">
      <w:pPr>
        <w:pStyle w:val="Heading4"/>
      </w:pPr>
      <w:r w:rsidRPr="00A2679E">
        <w:t>Standards:</w:t>
      </w:r>
    </w:p>
    <w:p w14:paraId="1272E017" w14:textId="77777777" w:rsidR="00DC1686" w:rsidRPr="00A2679E" w:rsidRDefault="00DC1686" w:rsidP="00DC1686">
      <w:pPr>
        <w:pStyle w:val="Heading4"/>
      </w:pPr>
      <w:r w:rsidRPr="00A2679E">
        <w:t>[1] Strat skew – they can read offense under different ROTBs and a new ROTB in the 1AR, so they never substantively lose, which moots engagement. They can read a hyperspecific ROTB in the 1AR so that only undercovered offense matters. Infinite abuse – a new 1AR ROTB allows for dumping on the neg ROTB, making negating impossible since there’s no 3NR to answer 2AR extrapolations. Stable advocacies also key to fairness – otherwise you aren’t bound by what you say –</w:t>
      </w:r>
      <w:r>
        <w:t xml:space="preserve"> </w:t>
      </w:r>
      <w:r w:rsidRPr="00A2679E">
        <w:t>justifies saying the N word, then shifting out of their reps.</w:t>
      </w:r>
    </w:p>
    <w:p w14:paraId="5C0B9A49" w14:textId="77777777" w:rsidR="00DC1686" w:rsidRPr="00A2679E" w:rsidRDefault="00DC1686" w:rsidP="00DC1686">
      <w:pPr>
        <w:pStyle w:val="Heading4"/>
      </w:pPr>
      <w:r w:rsidRPr="00A2679E">
        <w:t xml:space="preserve">[2] Reciprocity – a) restarting ROTB debate in 1AR puts them at a </w:t>
      </w:r>
      <w:proofErr w:type="gramStart"/>
      <w:r w:rsidRPr="00A2679E">
        <w:t>7-6 time</w:t>
      </w:r>
      <w:proofErr w:type="gramEnd"/>
      <w:r w:rsidRPr="00A2679E">
        <w:t xml:space="preserve"> skew advantage; a 1AC ROTB solves, b) we have 1 speech to respond while they have 2 and can comparatively weigh in the 2AR, and c) I can only read a ROTB in my constructive, so they should as well since it’s definitionally an equal burden.</w:t>
      </w:r>
    </w:p>
    <w:p w14:paraId="442ACABF" w14:textId="77777777" w:rsidR="00DC1686" w:rsidRPr="00A2679E" w:rsidRDefault="00DC1686" w:rsidP="00DC1686">
      <w:pPr>
        <w:pStyle w:val="Heading4"/>
      </w:pPr>
      <w:r w:rsidRPr="00A2679E">
        <w:t>Voters:</w:t>
      </w:r>
    </w:p>
    <w:p w14:paraId="38B0CE44" w14:textId="77777777" w:rsidR="00DC1686" w:rsidRPr="00A2679E" w:rsidRDefault="00DC1686" w:rsidP="00DC1686">
      <w:pPr>
        <w:pStyle w:val="Heading4"/>
        <w:rPr>
          <w:lang w:val="en"/>
        </w:rPr>
      </w:pPr>
      <w:r w:rsidRPr="00A2679E">
        <w:rPr>
          <w:lang w:val="en"/>
        </w:rPr>
        <w:t>Fairness: a) debate is a competitive activity that requires objective evaluation – side constraint to substantive debate, and b) debaters quit if it’s unfair, which is an internal link to everything.</w:t>
      </w:r>
    </w:p>
    <w:p w14:paraId="71E5C81D" w14:textId="77777777" w:rsidR="00DC1686" w:rsidRPr="00A2679E" w:rsidRDefault="00DC1686" w:rsidP="00DC1686">
      <w:pPr>
        <w:pStyle w:val="Heading4"/>
        <w:rPr>
          <w:lang w:val="en"/>
        </w:rPr>
      </w:pPr>
      <w:r w:rsidRPr="00A2679E">
        <w:rPr>
          <w:lang w:val="en"/>
        </w:rPr>
        <w:t>DTD to a) deter future abuse because they won’t re-violate if they lose and b) rectify time skew from reading theory.</w:t>
      </w:r>
    </w:p>
    <w:p w14:paraId="173AF055" w14:textId="77777777" w:rsidR="00DC1686" w:rsidRPr="00A2679E" w:rsidRDefault="00DC1686" w:rsidP="00DC1686">
      <w:pPr>
        <w:pStyle w:val="Heading4"/>
        <w:rPr>
          <w:lang w:val="en"/>
        </w:rPr>
      </w:pPr>
      <w:r w:rsidRPr="00A2679E">
        <w:rPr>
          <w:lang w:val="en"/>
        </w:rPr>
        <w:t>Competing interps – a) reasonability is arbitrary and requires judge intervention, b) collapses because brightlines concede an offense-defense paradigm.</w:t>
      </w:r>
    </w:p>
    <w:p w14:paraId="4B22A0A7" w14:textId="77777777" w:rsidR="00DC1686" w:rsidRDefault="00DC1686" w:rsidP="00DC1686">
      <w:pPr>
        <w:pStyle w:val="Heading4"/>
        <w:rPr>
          <w:lang w:val="en"/>
        </w:rPr>
      </w:pPr>
      <w:r w:rsidRPr="00A2679E">
        <w:rPr>
          <w:lang w:val="en"/>
        </w:rPr>
        <w:t>No RVIs – a) illogical – you don’t win for being fair; logic is a meta-constraint, b) people will bait theory to win on the RVI, which causes abuse.</w:t>
      </w:r>
    </w:p>
    <w:p w14:paraId="5A45887C" w14:textId="77777777" w:rsidR="00D8737D" w:rsidRDefault="00D8737D" w:rsidP="00DC1686">
      <w:pPr>
        <w:pStyle w:val="Heading4"/>
        <w:rPr>
          <w:lang w:val="en"/>
        </w:rPr>
      </w:pPr>
    </w:p>
    <w:p w14:paraId="08664AE4" w14:textId="111B2ACC" w:rsidR="00DC1686" w:rsidRDefault="00DC1686" w:rsidP="00DC1686">
      <w:pPr>
        <w:pStyle w:val="Heading4"/>
        <w:rPr>
          <w:lang w:val="en"/>
        </w:rPr>
      </w:pPr>
      <w:r>
        <w:rPr>
          <w:lang w:val="en"/>
        </w:rPr>
        <w:t>The ROTB is to negate.</w:t>
      </w:r>
    </w:p>
    <w:p w14:paraId="5753B630" w14:textId="77777777" w:rsidR="00DC1686" w:rsidRPr="00A2679E" w:rsidRDefault="00DC1686" w:rsidP="00DC1686">
      <w:pPr>
        <w:pStyle w:val="Heading4"/>
        <w:rPr>
          <w:lang w:val="en"/>
        </w:rPr>
      </w:pPr>
      <w:r>
        <w:rPr>
          <w:lang w:val="en"/>
        </w:rPr>
        <w:t>Framing issue – default to the neg ROTB if the aff does not provide one since it’s the only way to filter offense in the round, just like how you default to neg framework if the aff has none.</w:t>
      </w:r>
    </w:p>
    <w:p w14:paraId="41813378" w14:textId="77777777" w:rsidR="00DC1686" w:rsidRDefault="00DC1686" w:rsidP="00DC1686">
      <w:pPr>
        <w:pStyle w:val="Heading4"/>
        <w:rPr>
          <w:lang w:val="en"/>
        </w:rPr>
      </w:pPr>
      <w:r>
        <w:rPr>
          <w:lang w:val="en"/>
        </w:rPr>
        <w:t>Now, prefer:</w:t>
      </w:r>
    </w:p>
    <w:p w14:paraId="6418A1C0" w14:textId="4BACB835" w:rsidR="00DC1686" w:rsidRDefault="00DC1686" w:rsidP="00DC1686">
      <w:pPr>
        <w:pStyle w:val="Heading4"/>
        <w:rPr>
          <w:lang w:val="en"/>
        </w:rPr>
      </w:pPr>
      <w:r>
        <w:rPr>
          <w:lang w:val="en"/>
        </w:rPr>
        <w:t>[1] Resolvability – debate is completely resolvable when the ballot always negates. Without resolvability, debate cannot occur.</w:t>
      </w:r>
    </w:p>
    <w:p w14:paraId="61D6839C" w14:textId="4CE63E77" w:rsidR="00114289" w:rsidRDefault="00DC1686" w:rsidP="00114289">
      <w:pPr>
        <w:pStyle w:val="Heading2"/>
      </w:pPr>
      <w:r>
        <w:t>3</w:t>
      </w:r>
      <w:r w:rsidR="00114289">
        <w:t xml:space="preserve"> - Determinism</w:t>
      </w:r>
    </w:p>
    <w:p w14:paraId="0515A910" w14:textId="77777777" w:rsidR="00114289" w:rsidRPr="002B2E6E" w:rsidRDefault="00114289" w:rsidP="00114289">
      <w:pPr>
        <w:pStyle w:val="Heading4"/>
      </w:pPr>
      <w:r>
        <w:t>Permissibility negates:</w:t>
      </w:r>
    </w:p>
    <w:p w14:paraId="2B03724D" w14:textId="77777777" w:rsidR="00114289" w:rsidRDefault="00114289" w:rsidP="00114289">
      <w:pPr>
        <w:pStyle w:val="Heading4"/>
      </w:pPr>
      <w:r>
        <w:t>[1] Lack of obligation proves the res false. Absent a proactive obligation, you vote neg since there’s a trichotomy between prohibition, obligation, and permissibility. Proving one disproves the other two since you can’t be obligated and lack an obligation simultaneously.</w:t>
      </w:r>
    </w:p>
    <w:p w14:paraId="3E44C33F" w14:textId="77777777" w:rsidR="00114289" w:rsidRDefault="00114289" w:rsidP="00114289">
      <w:pPr>
        <w:pStyle w:val="Heading4"/>
      </w:pPr>
      <w:r>
        <w:t>[2] Statements are more often false than true since I can prove something false in infinite ways but true in only one.</w:t>
      </w:r>
    </w:p>
    <w:p w14:paraId="6F032877" w14:textId="77777777" w:rsidR="00114289" w:rsidRDefault="00114289" w:rsidP="00114289">
      <w:pPr>
        <w:pStyle w:val="Heading4"/>
      </w:pPr>
      <w:r>
        <w:t>Determinism negates – lack of free will disproves moral obligations.</w:t>
      </w:r>
    </w:p>
    <w:p w14:paraId="6734629A" w14:textId="77777777" w:rsidR="00114289" w:rsidRPr="001E70CB" w:rsidRDefault="00114289" w:rsidP="00114289">
      <w:pPr>
        <w:pStyle w:val="Heading4"/>
      </w:pPr>
      <w:r>
        <w:t xml:space="preserve">The 1AC says that morality must begin from free actions derived from practical reason. However, their framework is missing an internal link as to why humans </w:t>
      </w:r>
      <w:proofErr w:type="gramStart"/>
      <w:r>
        <w:t>actually are</w:t>
      </w:r>
      <w:proofErr w:type="gramEnd"/>
      <w:r>
        <w:t xml:space="preserve"> free agents that can choose what actions to take – if we disprove free will, vote neg.</w:t>
      </w:r>
    </w:p>
    <w:p w14:paraId="5FB79412" w14:textId="77777777" w:rsidR="00114289" w:rsidRDefault="00114289" w:rsidP="00114289">
      <w:pPr>
        <w:pStyle w:val="Heading4"/>
      </w:pPr>
      <w:r>
        <w:t>[1] Everything is determined. Effects and causal chains are the necessary result of past causes.</w:t>
      </w:r>
    </w:p>
    <w:p w14:paraId="20B8667C" w14:textId="77777777" w:rsidR="00114289" w:rsidRPr="00971AE0" w:rsidRDefault="00114289" w:rsidP="00114289">
      <w:pPr>
        <w:rPr>
          <w:sz w:val="16"/>
        </w:rPr>
      </w:pPr>
      <w:proofErr w:type="spellStart"/>
      <w:r w:rsidRPr="00971AE0">
        <w:rPr>
          <w:rStyle w:val="Style13ptBold"/>
        </w:rPr>
        <w:t>Timpe</w:t>
      </w:r>
      <w:proofErr w:type="spellEnd"/>
      <w:r w:rsidRPr="00971AE0">
        <w:rPr>
          <w:rStyle w:val="Style13ptBold"/>
        </w:rPr>
        <w:t xml:space="preserve"> no date</w:t>
      </w:r>
      <w:r w:rsidRPr="00971AE0">
        <w:rPr>
          <w:sz w:val="16"/>
        </w:rPr>
        <w:t xml:space="preserve">, Kevin </w:t>
      </w:r>
      <w:proofErr w:type="spellStart"/>
      <w:r w:rsidRPr="00971AE0">
        <w:rPr>
          <w:sz w:val="16"/>
        </w:rPr>
        <w:t>Timpe</w:t>
      </w:r>
      <w:proofErr w:type="spellEnd"/>
      <w:r w:rsidRPr="00971AE0">
        <w:rPr>
          <w:sz w:val="16"/>
        </w:rPr>
        <w:t xml:space="preserve">, professor of philosophy at Northwest Nazarene University, "Free Will," no date, Internet Encyclopedia of Philosophy, accessed 21 August 2021, </w:t>
      </w:r>
      <w:hyperlink r:id="rId9" w:history="1">
        <w:r w:rsidRPr="00971AE0">
          <w:rPr>
            <w:rStyle w:val="Hyperlink"/>
            <w:sz w:val="16"/>
          </w:rPr>
          <w:t>https://iep.utm.edu/freewill/</w:t>
        </w:r>
      </w:hyperlink>
      <w:r w:rsidRPr="00971AE0">
        <w:rPr>
          <w:sz w:val="16"/>
        </w:rPr>
        <w:t xml:space="preserve"> ~ST~</w:t>
      </w:r>
    </w:p>
    <w:p w14:paraId="5D4064C2" w14:textId="31E7E74A" w:rsidR="00114289" w:rsidRDefault="00114289" w:rsidP="00114289">
      <w:pPr>
        <w:rPr>
          <w:rStyle w:val="StyleUnderline"/>
        </w:rPr>
      </w:pPr>
      <w:r w:rsidRPr="00971AE0">
        <w:rPr>
          <w:sz w:val="16"/>
        </w:rPr>
        <w:t xml:space="preserve">Most contemporary scholarship on free will focuses on </w:t>
      </w:r>
      <w:proofErr w:type="gramStart"/>
      <w:r w:rsidRPr="00971AE0">
        <w:rPr>
          <w:sz w:val="16"/>
        </w:rPr>
        <w:t>whether or not</w:t>
      </w:r>
      <w:proofErr w:type="gramEnd"/>
      <w:r w:rsidRPr="00971AE0">
        <w:rPr>
          <w:sz w:val="16"/>
        </w:rPr>
        <w:t xml:space="preserve"> it is compatible with causal determinism. Causal determinism is sometimes also called “nomological determinism.” It is important to keep causal determinism distinct from other sorts of determinism, such as logical determinism or theological determinism (to be discussed below). Causal determinism (hereafter, simply “determinism”) is the thesis that the course of the future is entirely determined by the conjunction of the past and the laws of nature. </w:t>
      </w:r>
      <w:r w:rsidRPr="00971AE0">
        <w:rPr>
          <w:rStyle w:val="StyleUnderline"/>
          <w:highlight w:val="cyan"/>
        </w:rPr>
        <w:t>Imagine</w:t>
      </w:r>
      <w:r w:rsidRPr="00971AE0">
        <w:rPr>
          <w:rStyle w:val="StyleUnderline"/>
        </w:rPr>
        <w:t xml:space="preserve"> a proposition that completely describes the way that</w:t>
      </w:r>
      <w:r w:rsidRPr="003E6937">
        <w:rPr>
          <w:rStyle w:val="StyleUnderline"/>
        </w:rPr>
        <w:t xml:space="preserve"> </w:t>
      </w:r>
      <w:r w:rsidRPr="003E6937">
        <w:rPr>
          <w:rStyle w:val="StyleUnderline"/>
          <w:highlight w:val="cyan"/>
        </w:rPr>
        <w:t>the</w:t>
      </w:r>
      <w:r w:rsidRPr="003E6937">
        <w:rPr>
          <w:rStyle w:val="StyleUnderline"/>
        </w:rPr>
        <w:t xml:space="preserve"> entire </w:t>
      </w:r>
      <w:r w:rsidRPr="003E6937">
        <w:rPr>
          <w:rStyle w:val="StyleUnderline"/>
          <w:highlight w:val="cyan"/>
        </w:rPr>
        <w:t>universe</w:t>
      </w:r>
      <w:r w:rsidRPr="003E6937">
        <w:rPr>
          <w:rStyle w:val="StyleUnderline"/>
        </w:rPr>
        <w:t xml:space="preserve"> was </w:t>
      </w:r>
      <w:r w:rsidRPr="00971AE0">
        <w:rPr>
          <w:rStyle w:val="StyleUnderline"/>
          <w:highlight w:val="cyan"/>
        </w:rPr>
        <w:t>at some point in the past</w:t>
      </w:r>
      <w:r w:rsidRPr="003E6937">
        <w:rPr>
          <w:rStyle w:val="StyleUnderline"/>
        </w:rPr>
        <w:t>, say 100 million years ago</w:t>
      </w:r>
      <w:r w:rsidRPr="003D33AB">
        <w:rPr>
          <w:rStyle w:val="StyleUnderline"/>
        </w:rPr>
        <w:t xml:space="preserve">. Let us call this proposition “P.” </w:t>
      </w:r>
      <w:r w:rsidRPr="003D33AB">
        <w:rPr>
          <w:rStyle w:val="StyleUnderline"/>
          <w:highlight w:val="cyan"/>
        </w:rPr>
        <w:t>Also imagine</w:t>
      </w:r>
      <w:r w:rsidRPr="00971AE0">
        <w:rPr>
          <w:rStyle w:val="StyleUnderline"/>
        </w:rPr>
        <w:t xml:space="preserve"> a proposition that expresses the conjunction</w:t>
      </w:r>
      <w:r w:rsidRPr="003E6937">
        <w:rPr>
          <w:rStyle w:val="StyleUnderline"/>
        </w:rPr>
        <w:t xml:space="preserve"> of all </w:t>
      </w:r>
      <w:r w:rsidRPr="00971AE0">
        <w:rPr>
          <w:rStyle w:val="StyleUnderline"/>
          <w:highlight w:val="cyan"/>
        </w:rPr>
        <w:t>the laws of nature</w:t>
      </w:r>
      <w:r w:rsidRPr="003D33AB">
        <w:rPr>
          <w:rStyle w:val="StyleUnderline"/>
        </w:rPr>
        <w:t>; call this proposition “L.” Determinism then is the</w:t>
      </w:r>
      <w:r w:rsidRPr="003E6937">
        <w:rPr>
          <w:rStyle w:val="StyleUnderline"/>
        </w:rPr>
        <w:t xml:space="preserve"> thesis that </w:t>
      </w:r>
      <w:r w:rsidRPr="00971AE0">
        <w:rPr>
          <w:rStyle w:val="StyleUnderline"/>
          <w:highlight w:val="cyan"/>
        </w:rPr>
        <w:t>the conjunction</w:t>
      </w:r>
      <w:r w:rsidRPr="003D33AB">
        <w:rPr>
          <w:rStyle w:val="StyleUnderline"/>
        </w:rPr>
        <w:t xml:space="preserve"> of P and L </w:t>
      </w:r>
      <w:r w:rsidRPr="00971AE0">
        <w:rPr>
          <w:rStyle w:val="StyleUnderline"/>
          <w:highlight w:val="cyan"/>
        </w:rPr>
        <w:t>entails</w:t>
      </w:r>
      <w:r w:rsidRPr="003E6937">
        <w:rPr>
          <w:rStyle w:val="StyleUnderline"/>
        </w:rPr>
        <w:t xml:space="preserve"> a unique future. Given P and L, </w:t>
      </w:r>
      <w:r w:rsidRPr="00971AE0">
        <w:rPr>
          <w:rStyle w:val="StyleUnderline"/>
          <w:highlight w:val="cyan"/>
        </w:rPr>
        <w:t>there is only one possible future</w:t>
      </w:r>
      <w:r w:rsidRPr="003E6937">
        <w:rPr>
          <w:rStyle w:val="StyleUnderline"/>
        </w:rPr>
        <w:t>, one possible way for things to end up.</w:t>
      </w:r>
      <w:r w:rsidRPr="003D33AB">
        <w:rPr>
          <w:sz w:val="16"/>
        </w:rPr>
        <w:t xml:space="preserve"> To make the same point using possible world semantics, determinism is the thesis that all the states of affairs that obtain at some time in the past, when conjoined with the laws of nature, entail which possible world is the actual world. </w:t>
      </w:r>
      <w:r w:rsidRPr="00FD7CAA">
        <w:rPr>
          <w:rStyle w:val="StyleUnderline"/>
          <w:highlight w:val="cyan"/>
        </w:rPr>
        <w:t xml:space="preserve">Since a possible </w:t>
      </w:r>
      <w:r w:rsidRPr="00971AE0">
        <w:rPr>
          <w:rStyle w:val="StyleUnderline"/>
          <w:highlight w:val="cyan"/>
        </w:rPr>
        <w:t>world includes</w:t>
      </w:r>
      <w:r w:rsidRPr="003E6937">
        <w:rPr>
          <w:rStyle w:val="StyleUnderline"/>
        </w:rPr>
        <w:t xml:space="preserve"> those </w:t>
      </w:r>
      <w:r w:rsidRPr="00971AE0">
        <w:rPr>
          <w:rStyle w:val="StyleUnderline"/>
          <w:highlight w:val="cyan"/>
        </w:rPr>
        <w:t xml:space="preserve">states </w:t>
      </w:r>
      <w:r w:rsidRPr="00581DCC">
        <w:rPr>
          <w:rStyle w:val="StyleUnderline"/>
        </w:rPr>
        <w:t xml:space="preserve">of affairs </w:t>
      </w:r>
      <w:r w:rsidRPr="00971AE0">
        <w:rPr>
          <w:rStyle w:val="StyleUnderline"/>
          <w:highlight w:val="cyan"/>
        </w:rPr>
        <w:t>that will obtain</w:t>
      </w:r>
      <w:r w:rsidRPr="003E6937">
        <w:rPr>
          <w:rStyle w:val="StyleUnderline"/>
        </w:rPr>
        <w:t xml:space="preserve">, the truth of determinism amounts to the thesis that the past and the laws of nature entail what states of affairs will obtain in </w:t>
      </w:r>
      <w:r w:rsidRPr="00FD7CAA">
        <w:rPr>
          <w:rStyle w:val="StyleUnderline"/>
        </w:rPr>
        <w:t>the future, and that</w:t>
      </w:r>
      <w:r w:rsidRPr="003E6937">
        <w:rPr>
          <w:rStyle w:val="StyleUnderline"/>
        </w:rPr>
        <w:t xml:space="preserve"> </w:t>
      </w:r>
      <w:r w:rsidRPr="003D33AB">
        <w:rPr>
          <w:rStyle w:val="Emphasis"/>
          <w:highlight w:val="cyan"/>
        </w:rPr>
        <w:t>only</w:t>
      </w:r>
      <w:r w:rsidRPr="00971AE0">
        <w:rPr>
          <w:rStyle w:val="StyleUnderline"/>
          <w:highlight w:val="cyan"/>
        </w:rPr>
        <w:t xml:space="preserve"> those states</w:t>
      </w:r>
      <w:r w:rsidRPr="00581DCC">
        <w:rPr>
          <w:rStyle w:val="StyleUnderline"/>
        </w:rPr>
        <w:t xml:space="preserve"> of affairs entailed</w:t>
      </w:r>
      <w:r w:rsidRPr="003E6937">
        <w:rPr>
          <w:rStyle w:val="StyleUnderline"/>
        </w:rPr>
        <w:t xml:space="preserve"> by the past and the laws </w:t>
      </w:r>
      <w:r w:rsidRPr="00620B6D">
        <w:rPr>
          <w:rStyle w:val="StyleUnderline"/>
          <w:highlight w:val="cyan"/>
        </w:rPr>
        <w:t>will in fact obtain</w:t>
      </w:r>
      <w:r w:rsidRPr="00971AE0">
        <w:rPr>
          <w:rStyle w:val="StyleUnderline"/>
          <w:highlight w:val="cyan"/>
        </w:rPr>
        <w:t>.</w:t>
      </w:r>
    </w:p>
    <w:p w14:paraId="3D79211F" w14:textId="77777777" w:rsidR="00D578B7" w:rsidRDefault="00D578B7" w:rsidP="00D578B7">
      <w:pPr>
        <w:pStyle w:val="Heading4"/>
      </w:pPr>
      <w:r>
        <w:t>Applies to humans – every thought is caused by neurochemical changes.</w:t>
      </w:r>
    </w:p>
    <w:p w14:paraId="6AF87C40" w14:textId="77777777" w:rsidR="00D578B7" w:rsidRPr="00616DF2" w:rsidRDefault="00D578B7" w:rsidP="00D578B7">
      <w:pPr>
        <w:rPr>
          <w:sz w:val="16"/>
        </w:rPr>
      </w:pPr>
      <w:r w:rsidRPr="00616DF2">
        <w:rPr>
          <w:rStyle w:val="Style13ptBold"/>
        </w:rPr>
        <w:t>Cave 16</w:t>
      </w:r>
      <w:r w:rsidRPr="00616DF2">
        <w:rPr>
          <w:sz w:val="16"/>
        </w:rPr>
        <w:t xml:space="preserve"> Stephen Cave, senior research fellow at the University of Cambridge, "There’s No Such Thing as Free Will," June 2016, The Atlantic, accessed 21 August 2021, </w:t>
      </w:r>
      <w:hyperlink r:id="rId10" w:history="1">
        <w:r w:rsidRPr="00616DF2">
          <w:rPr>
            <w:rStyle w:val="Hyperlink"/>
            <w:sz w:val="16"/>
          </w:rPr>
          <w:t>https://www.theatlantic.com/magazine/archive/2016/06/theres-no-such-thing-as-free-will/480750/</w:t>
        </w:r>
      </w:hyperlink>
      <w:r w:rsidRPr="00616DF2">
        <w:rPr>
          <w:sz w:val="16"/>
        </w:rPr>
        <w:t xml:space="preserve"> ~ST~</w:t>
      </w:r>
    </w:p>
    <w:p w14:paraId="59C382DB" w14:textId="77777777" w:rsidR="00D578B7" w:rsidRPr="00616DF2" w:rsidRDefault="00D578B7" w:rsidP="00D578B7">
      <w:pPr>
        <w:rPr>
          <w:rStyle w:val="StyleUnderline"/>
        </w:rPr>
      </w:pPr>
      <w:r w:rsidRPr="006300EE">
        <w:rPr>
          <w:rStyle w:val="StyleUnderline"/>
        </w:rPr>
        <w:t xml:space="preserve">The sciences have grown steadily bolder in their claim that </w:t>
      </w:r>
      <w:r w:rsidRPr="00616DF2">
        <w:rPr>
          <w:rStyle w:val="StyleUnderline"/>
          <w:highlight w:val="cyan"/>
        </w:rPr>
        <w:t>all</w:t>
      </w:r>
      <w:r w:rsidRPr="00010FF8">
        <w:rPr>
          <w:rStyle w:val="StyleUnderline"/>
        </w:rPr>
        <w:t xml:space="preserve"> human </w:t>
      </w:r>
      <w:r w:rsidRPr="00616DF2">
        <w:rPr>
          <w:rStyle w:val="StyleUnderline"/>
          <w:highlight w:val="cyan"/>
        </w:rPr>
        <w:t>behavior can be explained through</w:t>
      </w:r>
      <w:r w:rsidRPr="006300EE">
        <w:rPr>
          <w:rStyle w:val="StyleUnderline"/>
        </w:rPr>
        <w:t xml:space="preserve"> the clockwork laws of </w:t>
      </w:r>
      <w:r w:rsidRPr="00616DF2">
        <w:rPr>
          <w:rStyle w:val="StyleUnderline"/>
          <w:highlight w:val="cyan"/>
        </w:rPr>
        <w:t>cause and effect.</w:t>
      </w:r>
      <w:r w:rsidRPr="00616DF2">
        <w:rPr>
          <w:sz w:val="16"/>
        </w:rPr>
        <w:t xml:space="preserve"> This shift in perception is the continuation of an intellectual revolution that began about 150 years ago, when Charles Darwin first published On the Origin of Species. Shortly after Darwin put forth his theory of evolution, his cousin Sir Francis Galton began to draw out the implications: If we have evolved, then mental faculties like intelligence must be hereditary. But we use those faculties—which some people have to a greater degree than others—to make decisions. </w:t>
      </w:r>
      <w:proofErr w:type="gramStart"/>
      <w:r w:rsidRPr="00616DF2">
        <w:rPr>
          <w:rStyle w:val="StyleUnderline"/>
        </w:rPr>
        <w:t>So</w:t>
      </w:r>
      <w:proofErr w:type="gramEnd"/>
      <w:r w:rsidRPr="00616DF2">
        <w:rPr>
          <w:rStyle w:val="StyleUnderline"/>
        </w:rPr>
        <w:t xml:space="preserve"> our </w:t>
      </w:r>
      <w:r w:rsidRPr="00616DF2">
        <w:rPr>
          <w:rStyle w:val="StyleUnderline"/>
          <w:highlight w:val="cyan"/>
        </w:rPr>
        <w:t>ability to choose</w:t>
      </w:r>
      <w:r w:rsidRPr="00616DF2">
        <w:rPr>
          <w:rStyle w:val="StyleUnderline"/>
        </w:rPr>
        <w:t xml:space="preserve"> our fate is not free, but </w:t>
      </w:r>
      <w:r w:rsidRPr="00616DF2">
        <w:rPr>
          <w:rStyle w:val="StyleUnderline"/>
          <w:highlight w:val="cyan"/>
        </w:rPr>
        <w:t>depends on</w:t>
      </w:r>
      <w:r w:rsidRPr="00616DF2">
        <w:rPr>
          <w:rStyle w:val="StyleUnderline"/>
        </w:rPr>
        <w:t xml:space="preserve"> our </w:t>
      </w:r>
      <w:r w:rsidRPr="00616DF2">
        <w:rPr>
          <w:rStyle w:val="StyleUnderline"/>
          <w:highlight w:val="cyan"/>
        </w:rPr>
        <w:t>biological inheritance.</w:t>
      </w:r>
    </w:p>
    <w:p w14:paraId="3C800312" w14:textId="77777777" w:rsidR="00D578B7" w:rsidRPr="00616DF2" w:rsidRDefault="00D578B7" w:rsidP="00D578B7">
      <w:pPr>
        <w:rPr>
          <w:sz w:val="16"/>
        </w:rPr>
      </w:pPr>
      <w:r w:rsidRPr="00616DF2">
        <w:rPr>
          <w:sz w:val="16"/>
        </w:rPr>
        <w:t xml:space="preserve">Galton launched a debate that raged throughout the 20th century over nature versus nurture. Are our actions the unfolding effect of our genetics? Or the outcome of what has been imprinted on us by the environment? Impressive evidence accumulated for the importance of each factor. Whether scientists supported one, the other, or a mix of both, </w:t>
      </w:r>
      <w:r w:rsidRPr="00616DF2">
        <w:rPr>
          <w:rStyle w:val="StyleUnderline"/>
        </w:rPr>
        <w:t xml:space="preserve">they increasingly assumed that </w:t>
      </w:r>
      <w:r w:rsidRPr="00616DF2">
        <w:rPr>
          <w:rStyle w:val="StyleUnderline"/>
          <w:highlight w:val="cyan"/>
        </w:rPr>
        <w:t>our deeds must be determined</w:t>
      </w:r>
      <w:r w:rsidRPr="00616DF2">
        <w:rPr>
          <w:rStyle w:val="StyleUnderline"/>
        </w:rPr>
        <w:t xml:space="preserve"> by something.</w:t>
      </w:r>
    </w:p>
    <w:p w14:paraId="28A0D787" w14:textId="2A97C718" w:rsidR="00D578B7" w:rsidRDefault="00D578B7" w:rsidP="00114289">
      <w:pPr>
        <w:rPr>
          <w:rStyle w:val="StyleUnderline"/>
        </w:rPr>
      </w:pPr>
      <w:r w:rsidRPr="00616DF2">
        <w:rPr>
          <w:rStyle w:val="StyleUnderline"/>
        </w:rPr>
        <w:t xml:space="preserve">In recent decades, </w:t>
      </w:r>
      <w:r w:rsidRPr="00616DF2">
        <w:rPr>
          <w:rStyle w:val="StyleUnderline"/>
          <w:highlight w:val="cyan"/>
        </w:rPr>
        <w:t>research on</w:t>
      </w:r>
      <w:r w:rsidRPr="00616DF2">
        <w:rPr>
          <w:rStyle w:val="StyleUnderline"/>
        </w:rPr>
        <w:t xml:space="preserve"> the inner workings of </w:t>
      </w:r>
      <w:r w:rsidRPr="00616DF2">
        <w:rPr>
          <w:rStyle w:val="StyleUnderline"/>
          <w:highlight w:val="cyan"/>
        </w:rPr>
        <w:t>the brain</w:t>
      </w:r>
      <w:r w:rsidRPr="00616DF2">
        <w:rPr>
          <w:rStyle w:val="StyleUnderline"/>
        </w:rPr>
        <w:t xml:space="preserve"> has helped to resolve the nature-nurture debate—and </w:t>
      </w:r>
      <w:r w:rsidRPr="00616DF2">
        <w:rPr>
          <w:rStyle w:val="StyleUnderline"/>
          <w:highlight w:val="cyan"/>
        </w:rPr>
        <w:t>has dealt a</w:t>
      </w:r>
      <w:r w:rsidRPr="00616DF2">
        <w:rPr>
          <w:rStyle w:val="StyleUnderline"/>
        </w:rPr>
        <w:t xml:space="preserve"> further </w:t>
      </w:r>
      <w:r w:rsidRPr="00616DF2">
        <w:rPr>
          <w:rStyle w:val="StyleUnderline"/>
          <w:highlight w:val="cyan"/>
        </w:rPr>
        <w:t>blow to</w:t>
      </w:r>
      <w:r w:rsidRPr="00616DF2">
        <w:rPr>
          <w:rStyle w:val="StyleUnderline"/>
        </w:rPr>
        <w:t xml:space="preserve"> the idea of </w:t>
      </w:r>
      <w:r w:rsidRPr="00616DF2">
        <w:rPr>
          <w:rStyle w:val="StyleUnderline"/>
          <w:highlight w:val="cyan"/>
        </w:rPr>
        <w:t>free will. Brain scanners</w:t>
      </w:r>
      <w:r w:rsidRPr="00616DF2">
        <w:rPr>
          <w:rStyle w:val="StyleUnderline"/>
        </w:rPr>
        <w:t xml:space="preserve"> have enabled us to peer inside a living person’s skull, </w:t>
      </w:r>
      <w:r w:rsidRPr="00616DF2">
        <w:rPr>
          <w:rStyle w:val="StyleUnderline"/>
          <w:highlight w:val="cyan"/>
        </w:rPr>
        <w:t>reveal</w:t>
      </w:r>
      <w:r w:rsidRPr="00616DF2">
        <w:rPr>
          <w:rStyle w:val="StyleUnderline"/>
        </w:rPr>
        <w:t>ing intricate networks of neurons and allowing scientists</w:t>
      </w:r>
      <w:r w:rsidRPr="00CE039F">
        <w:rPr>
          <w:rStyle w:val="StyleUnderline"/>
        </w:rPr>
        <w:t xml:space="preserve"> to reach broad agreement that these networks are shaped by both genes and environment. But there is also agreement in the scientific community </w:t>
      </w:r>
      <w:r w:rsidRPr="00CE039F">
        <w:rPr>
          <w:rStyle w:val="StyleUnderline"/>
          <w:highlight w:val="cyan"/>
        </w:rPr>
        <w:t>that the firing of neurons determines</w:t>
      </w:r>
      <w:r w:rsidRPr="00CE039F">
        <w:rPr>
          <w:rStyle w:val="StyleUnderline"/>
        </w:rPr>
        <w:t xml:space="preserve"> not just some or most but </w:t>
      </w:r>
      <w:proofErr w:type="gramStart"/>
      <w:r w:rsidRPr="00CE039F">
        <w:rPr>
          <w:rStyle w:val="StyleUnderline"/>
          <w:highlight w:val="cyan"/>
        </w:rPr>
        <w:t>all</w:t>
      </w:r>
      <w:r w:rsidRPr="00CE039F">
        <w:rPr>
          <w:rStyle w:val="StyleUnderline"/>
        </w:rPr>
        <w:t xml:space="preserve"> of</w:t>
      </w:r>
      <w:proofErr w:type="gramEnd"/>
      <w:r w:rsidRPr="00CE039F">
        <w:rPr>
          <w:rStyle w:val="StyleUnderline"/>
        </w:rPr>
        <w:t xml:space="preserve"> </w:t>
      </w:r>
      <w:r w:rsidRPr="00CE039F">
        <w:rPr>
          <w:rStyle w:val="StyleUnderline"/>
          <w:highlight w:val="cyan"/>
        </w:rPr>
        <w:t>our thoughts</w:t>
      </w:r>
      <w:r w:rsidRPr="00CE039F">
        <w:rPr>
          <w:rStyle w:val="StyleUnderline"/>
        </w:rPr>
        <w:t>, hopes, memories</w:t>
      </w:r>
      <w:r w:rsidRPr="00616DF2">
        <w:rPr>
          <w:rStyle w:val="StyleUnderline"/>
        </w:rPr>
        <w:t>, and dreams.</w:t>
      </w:r>
    </w:p>
    <w:p w14:paraId="0A664BC9" w14:textId="77777777" w:rsidR="00114289" w:rsidRDefault="00114289" w:rsidP="00114289">
      <w:pPr>
        <w:pStyle w:val="Heading4"/>
      </w:pPr>
      <w:r>
        <w:t>[2] Brain signals determine action before the conception of choice even arises.</w:t>
      </w:r>
    </w:p>
    <w:p w14:paraId="11760150" w14:textId="77777777" w:rsidR="00114289" w:rsidRPr="00CE039F" w:rsidRDefault="00114289" w:rsidP="00114289">
      <w:pPr>
        <w:rPr>
          <w:sz w:val="16"/>
        </w:rPr>
      </w:pPr>
      <w:r w:rsidRPr="00CE039F">
        <w:rPr>
          <w:rStyle w:val="Style13ptBold"/>
        </w:rPr>
        <w:t>Fried et. al 11</w:t>
      </w:r>
      <w:r w:rsidRPr="00CE039F">
        <w:rPr>
          <w:sz w:val="16"/>
        </w:rPr>
        <w:t xml:space="preserve"> Itzhak Fried, professor of neurosurgery, psychiatry and biobehavioral sciences at UCLA, Roy </w:t>
      </w:r>
      <w:proofErr w:type="spellStart"/>
      <w:r w:rsidRPr="00CE039F">
        <w:rPr>
          <w:sz w:val="16"/>
        </w:rPr>
        <w:t>Mukamel</w:t>
      </w:r>
      <w:proofErr w:type="spellEnd"/>
      <w:r w:rsidRPr="00CE039F">
        <w:rPr>
          <w:sz w:val="16"/>
        </w:rPr>
        <w:t xml:space="preserve">, associate professor of psychology at Tel-Aviv University, Gabriel </w:t>
      </w:r>
      <w:proofErr w:type="spellStart"/>
      <w:r w:rsidRPr="00CE039F">
        <w:rPr>
          <w:sz w:val="16"/>
        </w:rPr>
        <w:t>Kreiman</w:t>
      </w:r>
      <w:proofErr w:type="spellEnd"/>
      <w:r w:rsidRPr="00CE039F">
        <w:rPr>
          <w:sz w:val="16"/>
        </w:rPr>
        <w:t xml:space="preserve">, professor of ophthalmology at Harvard, "Internally generated </w:t>
      </w:r>
      <w:proofErr w:type="spellStart"/>
      <w:r w:rsidRPr="00CE039F">
        <w:rPr>
          <w:sz w:val="16"/>
        </w:rPr>
        <w:t>preactivation</w:t>
      </w:r>
      <w:proofErr w:type="spellEnd"/>
      <w:r w:rsidRPr="00CE039F">
        <w:rPr>
          <w:sz w:val="16"/>
        </w:rPr>
        <w:t xml:space="preserve"> of single neurons in human medial frontal cortex predicts volition," 10 February 2011, PubMed, accessed 21 August 2021, </w:t>
      </w:r>
      <w:hyperlink r:id="rId11" w:history="1">
        <w:r w:rsidRPr="00CE039F">
          <w:rPr>
            <w:rStyle w:val="Hyperlink"/>
            <w:sz w:val="16"/>
          </w:rPr>
          <w:t>https://pubmed.ncbi.nlm.nih.gov/21315264/</w:t>
        </w:r>
      </w:hyperlink>
      <w:r w:rsidRPr="00CE039F">
        <w:rPr>
          <w:sz w:val="16"/>
        </w:rPr>
        <w:t xml:space="preserve"> ~ST~</w:t>
      </w:r>
    </w:p>
    <w:p w14:paraId="771D22BD" w14:textId="77777777" w:rsidR="00114289" w:rsidRPr="00587148" w:rsidRDefault="00114289" w:rsidP="00114289">
      <w:r w:rsidRPr="00815FA3">
        <w:rPr>
          <w:sz w:val="16"/>
        </w:rPr>
        <w:t xml:space="preserve">There has been a long debate on the existence of brain signals that precede the outcome of decisions, even before subjects believe they are consciously making up their mind. The framework of multivariate decoding provides a novel tool for investigating such choice-predictive information contained in neural signals leading up to a decision. </w:t>
      </w:r>
      <w:r w:rsidRPr="00587148">
        <w:rPr>
          <w:rStyle w:val="StyleUnderline"/>
        </w:rPr>
        <w:t xml:space="preserve">New results show that the </w:t>
      </w:r>
      <w:r w:rsidRPr="00587148">
        <w:rPr>
          <w:rStyle w:val="StyleUnderline"/>
          <w:highlight w:val="cyan"/>
        </w:rPr>
        <w:t>specific outcome of</w:t>
      </w:r>
      <w:r w:rsidRPr="00587148">
        <w:rPr>
          <w:rStyle w:val="StyleUnderline"/>
        </w:rPr>
        <w:t xml:space="preserve"> free </w:t>
      </w:r>
      <w:r w:rsidRPr="00587148">
        <w:rPr>
          <w:rStyle w:val="StyleUnderline"/>
          <w:highlight w:val="cyan"/>
        </w:rPr>
        <w:t>choices between</w:t>
      </w:r>
      <w:r w:rsidRPr="00587148">
        <w:rPr>
          <w:rStyle w:val="StyleUnderline"/>
        </w:rPr>
        <w:t xml:space="preserve"> different </w:t>
      </w:r>
      <w:r w:rsidRPr="00587148">
        <w:rPr>
          <w:rStyle w:val="StyleUnderline"/>
          <w:highlight w:val="cyan"/>
        </w:rPr>
        <w:t>plans can be interpreted from brain activity</w:t>
      </w:r>
      <w:r w:rsidRPr="00587148">
        <w:rPr>
          <w:rStyle w:val="StyleUnderline"/>
        </w:rPr>
        <w:t xml:space="preserve">, not only after a decision has been made, but even </w:t>
      </w:r>
      <w:r w:rsidRPr="00581DCC">
        <w:rPr>
          <w:rStyle w:val="Emphasis"/>
          <w:highlight w:val="cyan"/>
        </w:rPr>
        <w:t>several seconds</w:t>
      </w:r>
      <w:r w:rsidRPr="00587148">
        <w:rPr>
          <w:rStyle w:val="StyleUnderline"/>
          <w:highlight w:val="cyan"/>
        </w:rPr>
        <w:t xml:space="preserve"> before it is made.</w:t>
      </w:r>
      <w:r w:rsidRPr="00587148">
        <w:rPr>
          <w:rStyle w:val="StyleUnderline"/>
        </w:rPr>
        <w:t xml:space="preserve"> This suggests that a </w:t>
      </w:r>
      <w:r w:rsidRPr="00CE039F">
        <w:rPr>
          <w:rStyle w:val="Emphasis"/>
          <w:highlight w:val="cyan"/>
        </w:rPr>
        <w:t>causal</w:t>
      </w:r>
      <w:r w:rsidRPr="00CE039F">
        <w:rPr>
          <w:rStyle w:val="Emphasis"/>
        </w:rPr>
        <w:t xml:space="preserve"> chain of </w:t>
      </w:r>
      <w:r w:rsidRPr="00CE039F">
        <w:rPr>
          <w:rStyle w:val="Emphasis"/>
          <w:highlight w:val="cyan"/>
        </w:rPr>
        <w:t>events</w:t>
      </w:r>
      <w:r w:rsidRPr="00CE039F">
        <w:rPr>
          <w:rStyle w:val="Emphasis"/>
        </w:rPr>
        <w:t xml:space="preserve"> can </w:t>
      </w:r>
      <w:r w:rsidRPr="00CE039F">
        <w:rPr>
          <w:rStyle w:val="Emphasis"/>
          <w:highlight w:val="cyan"/>
        </w:rPr>
        <w:t>occur outside subjective awareness</w:t>
      </w:r>
      <w:r w:rsidRPr="00587148">
        <w:rPr>
          <w:rStyle w:val="StyleUnderline"/>
        </w:rPr>
        <w:t xml:space="preserve"> even before a subject makes up his/her mind.</w:t>
      </w:r>
      <w:r w:rsidRPr="00587148">
        <w:rPr>
          <w:sz w:val="16"/>
        </w:rPr>
        <w:t xml:space="preserve"> An important future line of research would be to develop paradigms that allow feedback of real-time predictions of future decisions to reveal whether such decisions can still be reverted. This would shed light on how tight the causal link is between early predictive brain signals and subsequent decisions.</w:t>
      </w:r>
    </w:p>
    <w:p w14:paraId="42EEB064" w14:textId="38DCFE79" w:rsidR="008C257A" w:rsidRPr="008C257A" w:rsidRDefault="00114289" w:rsidP="00D8737D">
      <w:pPr>
        <w:pStyle w:val="Heading4"/>
      </w:pPr>
      <w:r>
        <w:t>That disproves moral obligations since they’re predicated on the possibility of alternate actions – a) events in your life aren’t actions without a potential alternate; they just happen to you, b) you can’t have an obligation over something you have no control over, c) morality only exists in opposition to immorality. If there is only one action, then it can’t be moral, and d) their framework requires agency, which entails that free will exists.</w:t>
      </w:r>
    </w:p>
    <w:sectPr w:rsidR="008C257A" w:rsidRPr="008C257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1AF55" w14:textId="77777777" w:rsidR="000F6FB4" w:rsidRDefault="000F6FB4" w:rsidP="00114289">
      <w:pPr>
        <w:spacing w:after="0" w:line="240" w:lineRule="auto"/>
      </w:pPr>
      <w:r>
        <w:separator/>
      </w:r>
    </w:p>
  </w:endnote>
  <w:endnote w:type="continuationSeparator" w:id="0">
    <w:p w14:paraId="4E007601" w14:textId="77777777" w:rsidR="000F6FB4" w:rsidRDefault="000F6FB4" w:rsidP="00114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8394C" w14:textId="77777777" w:rsidR="000F6FB4" w:rsidRDefault="000F6FB4" w:rsidP="00114289">
      <w:pPr>
        <w:spacing w:after="0" w:line="240" w:lineRule="auto"/>
      </w:pPr>
      <w:r>
        <w:separator/>
      </w:r>
    </w:p>
  </w:footnote>
  <w:footnote w:type="continuationSeparator" w:id="0">
    <w:p w14:paraId="2C1BB503" w14:textId="77777777" w:rsidR="000F6FB4" w:rsidRDefault="000F6FB4" w:rsidP="001142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68435E"/>
    <w:rsid w:val="000139A3"/>
    <w:rsid w:val="00074205"/>
    <w:rsid w:val="000F6FB4"/>
    <w:rsid w:val="00100833"/>
    <w:rsid w:val="001019CB"/>
    <w:rsid w:val="00104529"/>
    <w:rsid w:val="00105942"/>
    <w:rsid w:val="00107396"/>
    <w:rsid w:val="00114289"/>
    <w:rsid w:val="001268F7"/>
    <w:rsid w:val="00144A4C"/>
    <w:rsid w:val="00176AB0"/>
    <w:rsid w:val="00177B7D"/>
    <w:rsid w:val="0018322D"/>
    <w:rsid w:val="001865CF"/>
    <w:rsid w:val="001A5EBC"/>
    <w:rsid w:val="001B5776"/>
    <w:rsid w:val="001D6AAC"/>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54666"/>
    <w:rsid w:val="004605D6"/>
    <w:rsid w:val="00465711"/>
    <w:rsid w:val="004C60E8"/>
    <w:rsid w:val="004E3579"/>
    <w:rsid w:val="004E728B"/>
    <w:rsid w:val="004F39E0"/>
    <w:rsid w:val="00537BD5"/>
    <w:rsid w:val="00546DA6"/>
    <w:rsid w:val="0057268A"/>
    <w:rsid w:val="005C77B5"/>
    <w:rsid w:val="005D2912"/>
    <w:rsid w:val="006065BD"/>
    <w:rsid w:val="00610CBF"/>
    <w:rsid w:val="00616C6C"/>
    <w:rsid w:val="00625B7C"/>
    <w:rsid w:val="00645FA9"/>
    <w:rsid w:val="00647866"/>
    <w:rsid w:val="00665003"/>
    <w:rsid w:val="0068435E"/>
    <w:rsid w:val="006A2AD0"/>
    <w:rsid w:val="006C2375"/>
    <w:rsid w:val="006D4ECC"/>
    <w:rsid w:val="006E5919"/>
    <w:rsid w:val="0071405D"/>
    <w:rsid w:val="00722258"/>
    <w:rsid w:val="007243E5"/>
    <w:rsid w:val="00766EA0"/>
    <w:rsid w:val="007A2226"/>
    <w:rsid w:val="007F5B66"/>
    <w:rsid w:val="00823A1C"/>
    <w:rsid w:val="00845B9D"/>
    <w:rsid w:val="0085783A"/>
    <w:rsid w:val="00860984"/>
    <w:rsid w:val="008B3ECB"/>
    <w:rsid w:val="008B4E85"/>
    <w:rsid w:val="008C1B2E"/>
    <w:rsid w:val="008C257A"/>
    <w:rsid w:val="0091627E"/>
    <w:rsid w:val="0097032B"/>
    <w:rsid w:val="009908A5"/>
    <w:rsid w:val="009D2EAD"/>
    <w:rsid w:val="009D54B2"/>
    <w:rsid w:val="009E1922"/>
    <w:rsid w:val="009F7ED2"/>
    <w:rsid w:val="00A4608B"/>
    <w:rsid w:val="00A93661"/>
    <w:rsid w:val="00A95652"/>
    <w:rsid w:val="00AC0AB8"/>
    <w:rsid w:val="00AC5D4E"/>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325A9"/>
    <w:rsid w:val="00D36A8A"/>
    <w:rsid w:val="00D578B7"/>
    <w:rsid w:val="00D61409"/>
    <w:rsid w:val="00D6691E"/>
    <w:rsid w:val="00D71170"/>
    <w:rsid w:val="00D8737D"/>
    <w:rsid w:val="00DA1C92"/>
    <w:rsid w:val="00DA25D4"/>
    <w:rsid w:val="00DA6538"/>
    <w:rsid w:val="00DC1686"/>
    <w:rsid w:val="00DF0E16"/>
    <w:rsid w:val="00E00C0C"/>
    <w:rsid w:val="00E107EC"/>
    <w:rsid w:val="00E15E75"/>
    <w:rsid w:val="00E5262C"/>
    <w:rsid w:val="00EC7DC4"/>
    <w:rsid w:val="00ED30CF"/>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AD077"/>
  <w15:chartTrackingRefBased/>
  <w15:docId w15:val="{D481B15A-D9AC-4BEA-B47F-62374F225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737D"/>
    <w:rPr>
      <w:rFonts w:ascii="Arial" w:hAnsi="Arial" w:cs="Arial"/>
      <w:sz w:val="24"/>
    </w:rPr>
  </w:style>
  <w:style w:type="paragraph" w:styleId="Heading1">
    <w:name w:val="heading 1"/>
    <w:aliases w:val="Pocket"/>
    <w:basedOn w:val="Normal"/>
    <w:next w:val="Normal"/>
    <w:link w:val="Heading1Char"/>
    <w:qFormat/>
    <w:rsid w:val="00D873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73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873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ard"/>
    <w:basedOn w:val="Normal"/>
    <w:next w:val="Normal"/>
    <w:link w:val="Heading4Char"/>
    <w:uiPriority w:val="3"/>
    <w:unhideWhenUsed/>
    <w:qFormat/>
    <w:rsid w:val="00D8737D"/>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D873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737D"/>
  </w:style>
  <w:style w:type="character" w:customStyle="1" w:styleId="Heading1Char">
    <w:name w:val="Heading 1 Char"/>
    <w:aliases w:val="Pocket Char"/>
    <w:basedOn w:val="DefaultParagraphFont"/>
    <w:link w:val="Heading1"/>
    <w:rsid w:val="00D8737D"/>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D8737D"/>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D8737D"/>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w:basedOn w:val="DefaultParagraphFont"/>
    <w:link w:val="Heading4"/>
    <w:uiPriority w:val="3"/>
    <w:rsid w:val="00D8737D"/>
    <w:rPr>
      <w:rFonts w:ascii="Arial" w:eastAsiaTheme="majorEastAsia" w:hAnsi="Arial" w:cstheme="majorBidi"/>
      <w:b/>
      <w:iCs/>
      <w:sz w:val="24"/>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D8737D"/>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8737D"/>
    <w:rPr>
      <w:b/>
      <w:bCs/>
      <w:sz w:val="24"/>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D8737D"/>
    <w:rPr>
      <w:b/>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D8737D"/>
    <w:rPr>
      <w:color w:val="auto"/>
      <w:u w:val="none"/>
    </w:rPr>
  </w:style>
  <w:style w:type="character" w:styleId="FollowedHyperlink">
    <w:name w:val="FollowedHyperlink"/>
    <w:basedOn w:val="DefaultParagraphFont"/>
    <w:uiPriority w:val="99"/>
    <w:semiHidden/>
    <w:unhideWhenUsed/>
    <w:rsid w:val="00D8737D"/>
    <w:rPr>
      <w:color w:val="auto"/>
      <w:u w:val="non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No Spacing8,ca,tag"/>
    <w:basedOn w:val="Heading1"/>
    <w:link w:val="Hyperlink"/>
    <w:autoRedefine/>
    <w:uiPriority w:val="99"/>
    <w:qFormat/>
    <w:rsid w:val="0011428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114289"/>
    <w:rPr>
      <w:vertAlign w:val="superscript"/>
    </w:rPr>
  </w:style>
  <w:style w:type="paragraph" w:customStyle="1" w:styleId="textbold">
    <w:name w:val="text bold"/>
    <w:basedOn w:val="Normal"/>
    <w:link w:val="Emphasis"/>
    <w:uiPriority w:val="7"/>
    <w:qFormat/>
    <w:rsid w:val="00D578B7"/>
    <w:pPr>
      <w:widowControl w:val="0"/>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eechanddebate.org/wp-content/uploads/High-School-Unified-Manual-2021-2022.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bmed.ncbi.nlm.nih.gov/21315264/" TargetMode="External"/><Relationship Id="rId5" Type="http://schemas.openxmlformats.org/officeDocument/2006/relationships/webSettings" Target="webSettings.xml"/><Relationship Id="rId10" Type="http://schemas.openxmlformats.org/officeDocument/2006/relationships/hyperlink" Target="https://www.theatlantic.com/magazine/archive/2016/06/theres-no-such-thing-as-free-will/480750/" TargetMode="External"/><Relationship Id="rId4" Type="http://schemas.openxmlformats.org/officeDocument/2006/relationships/settings" Target="settings.xml"/><Relationship Id="rId9" Type="http://schemas.openxmlformats.org/officeDocument/2006/relationships/hyperlink" Target="https://iep.utm.edu/freewi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87</TotalTime>
  <Pages>1</Pages>
  <Words>1701</Words>
  <Characters>9701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6</cp:revision>
  <dcterms:created xsi:type="dcterms:W3CDTF">2021-09-17T02:38:00Z</dcterms:created>
  <dcterms:modified xsi:type="dcterms:W3CDTF">2021-09-18T01:17:00Z</dcterms:modified>
</cp:coreProperties>
</file>