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320DA" w14:textId="66C5934B" w:rsidR="00A95652" w:rsidRDefault="006613D2" w:rsidP="006613D2">
      <w:pPr>
        <w:pStyle w:val="Heading1"/>
      </w:pPr>
      <w:r>
        <w:t>1NC</w:t>
      </w:r>
    </w:p>
    <w:p w14:paraId="44B08F52" w14:textId="45EA56CE" w:rsidR="006613D2" w:rsidRDefault="006613D2" w:rsidP="006613D2">
      <w:pPr>
        <w:pStyle w:val="Heading2"/>
      </w:pPr>
      <w:r>
        <w:t>1 – Theory</w:t>
      </w:r>
    </w:p>
    <w:p w14:paraId="4ED613A5" w14:textId="77777777" w:rsidR="00FB4568" w:rsidRPr="00A12585" w:rsidRDefault="00FB4568" w:rsidP="00FB4568">
      <w:pPr>
        <w:pStyle w:val="Heading4"/>
        <w:rPr>
          <w:color w:val="FF0000"/>
        </w:rPr>
      </w:pPr>
      <w:r>
        <w:t>Interpretation: debaters must include the URL in citations for their evidence.</w:t>
      </w:r>
    </w:p>
    <w:p w14:paraId="05BC74B7" w14:textId="5C4B48BB" w:rsidR="00FB4568" w:rsidRDefault="00FB4568" w:rsidP="00FB4568">
      <w:pPr>
        <w:pStyle w:val="Heading4"/>
      </w:pPr>
      <w:r>
        <w:t xml:space="preserve">Violation: they didn’t – examples include their </w:t>
      </w:r>
      <w:r w:rsidR="004B4A46">
        <w:t>Wang 18, Robinson 14, Tonstad 16</w:t>
      </w:r>
      <w:r>
        <w:t xml:space="preserve"> card(s).</w:t>
      </w:r>
    </w:p>
    <w:p w14:paraId="29D646CE" w14:textId="77777777" w:rsidR="00FB4568" w:rsidRDefault="00FB4568" w:rsidP="00FB4568">
      <w:pPr>
        <w:pStyle w:val="Heading4"/>
        <w:tabs>
          <w:tab w:val="left" w:pos="4002"/>
          <w:tab w:val="left" w:pos="5660"/>
        </w:tabs>
      </w:pPr>
      <w:r>
        <w:t>Standards:</w:t>
      </w:r>
    </w:p>
    <w:p w14:paraId="1C671AC4" w14:textId="77777777" w:rsidR="00FB4568" w:rsidRPr="00F66A5B" w:rsidRDefault="00FB4568" w:rsidP="00FB4568">
      <w:pPr>
        <w:pStyle w:val="Heading4"/>
        <w:rPr>
          <w:color w:val="FF0000"/>
        </w:rPr>
      </w:pPr>
      <w:r>
        <w:t>[1] NSDA rules – the unified manual says to include the URL.</w:t>
      </w:r>
    </w:p>
    <w:p w14:paraId="3A7A8115" w14:textId="77777777" w:rsidR="00FB4568" w:rsidRPr="00503A91" w:rsidRDefault="00FB4568" w:rsidP="00FB4568">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6"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08B6DF18" w14:textId="77777777" w:rsidR="00FB4568" w:rsidRPr="005526DB" w:rsidRDefault="00FB4568" w:rsidP="00FB4568">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6A9954BD" w14:textId="77777777" w:rsidR="00FB4568" w:rsidRPr="009E05B7" w:rsidRDefault="00FB4568" w:rsidP="00FB4568">
      <w:pPr>
        <w:rPr>
          <w:sz w:val="16"/>
        </w:rPr>
      </w:pPr>
      <w:r w:rsidRPr="009E05B7">
        <w:rPr>
          <w:sz w:val="16"/>
        </w:rPr>
        <w:t>1. Full name of primary author and/or editor</w:t>
      </w:r>
    </w:p>
    <w:p w14:paraId="1754B945" w14:textId="77777777" w:rsidR="00FB4568" w:rsidRPr="009E05B7" w:rsidRDefault="00FB4568" w:rsidP="00FB4568">
      <w:pPr>
        <w:rPr>
          <w:sz w:val="16"/>
        </w:rPr>
      </w:pPr>
      <w:r w:rsidRPr="009E05B7">
        <w:rPr>
          <w:sz w:val="16"/>
        </w:rPr>
        <w:t>2. Publication date</w:t>
      </w:r>
    </w:p>
    <w:p w14:paraId="2854410B" w14:textId="77777777" w:rsidR="00FB4568" w:rsidRPr="009E05B7" w:rsidRDefault="00FB4568" w:rsidP="00FB4568">
      <w:pPr>
        <w:rPr>
          <w:sz w:val="16"/>
        </w:rPr>
      </w:pPr>
      <w:r w:rsidRPr="009E05B7">
        <w:rPr>
          <w:sz w:val="16"/>
        </w:rPr>
        <w:t>3. Source</w:t>
      </w:r>
    </w:p>
    <w:p w14:paraId="43500695" w14:textId="77777777" w:rsidR="00FB4568" w:rsidRPr="009E05B7" w:rsidRDefault="00FB4568" w:rsidP="00FB4568">
      <w:pPr>
        <w:rPr>
          <w:sz w:val="16"/>
        </w:rPr>
      </w:pPr>
      <w:r w:rsidRPr="009E05B7">
        <w:rPr>
          <w:sz w:val="16"/>
        </w:rPr>
        <w:t>4. Title of article</w:t>
      </w:r>
    </w:p>
    <w:p w14:paraId="701955D2" w14:textId="77777777" w:rsidR="00FB4568" w:rsidRPr="009E05B7" w:rsidRDefault="00FB4568" w:rsidP="00FB4568">
      <w:pPr>
        <w:rPr>
          <w:sz w:val="16"/>
        </w:rPr>
      </w:pPr>
      <w:r w:rsidRPr="009E05B7">
        <w:rPr>
          <w:sz w:val="16"/>
        </w:rPr>
        <w:t>5. Date accessed for digital evidence</w:t>
      </w:r>
    </w:p>
    <w:p w14:paraId="16FE5560" w14:textId="77777777" w:rsidR="00FB4568" w:rsidRPr="005E1F00" w:rsidRDefault="00FB4568" w:rsidP="00FB4568">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361DEF8F" w14:textId="77777777" w:rsidR="00FB4568" w:rsidRPr="009E05B7" w:rsidRDefault="00FB4568" w:rsidP="00FB4568">
      <w:pPr>
        <w:rPr>
          <w:sz w:val="16"/>
        </w:rPr>
      </w:pPr>
      <w:r w:rsidRPr="009E05B7">
        <w:rPr>
          <w:sz w:val="16"/>
        </w:rPr>
        <w:t>7. Author qualifications</w:t>
      </w:r>
    </w:p>
    <w:p w14:paraId="357C16D1" w14:textId="77777777" w:rsidR="00FB4568" w:rsidRPr="009E05B7" w:rsidRDefault="00FB4568" w:rsidP="00FB4568">
      <w:pPr>
        <w:rPr>
          <w:sz w:val="16"/>
        </w:rPr>
      </w:pPr>
      <w:r w:rsidRPr="009E05B7">
        <w:rPr>
          <w:sz w:val="16"/>
        </w:rPr>
        <w:t>8. Page number(s)</w:t>
      </w:r>
    </w:p>
    <w:p w14:paraId="74842FE8" w14:textId="77777777" w:rsidR="00FB4568" w:rsidRPr="003A2B2F" w:rsidRDefault="00FB4568" w:rsidP="00FB4568">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0E2ECB46" w14:textId="77777777" w:rsidR="00FB4568" w:rsidRDefault="00FB4568" w:rsidP="00FB4568">
      <w:pPr>
        <w:pStyle w:val="Heading4"/>
      </w:pPr>
      <w:r>
        <w:t>[2] Evidence ethics – no way to check whether their quote exists because we can’t find it on the internet – they can just make up whatever “evidence” they want, and there’s not enough time for us to verify that it is actually legit evidence. Pasting into a search engine doesn’t solve – a) many texts have weird formatting that prevents it from functioning, and b) difficult to find the correct version or one without a paywall. That’s a voter – a) debate is meaningless if we’re academically dishonest and have no argument credibility, b) uncredible evidence means we don’t know if their claims are true, which also serves as a substantive indict, and c) debate should prepare for the real world, in which small ev ethics violations are punished severely – large repercussions the control internal link to other impacts.</w:t>
      </w:r>
    </w:p>
    <w:p w14:paraId="3438F6CD" w14:textId="77777777" w:rsidR="00FB4568" w:rsidRPr="00F052C5" w:rsidRDefault="00FB4568" w:rsidP="00FB4568">
      <w:pPr>
        <w:pStyle w:val="Heading4"/>
      </w:pPr>
      <w:r>
        <w:t>Also links to inclusion – small school debaters tend to use cards from the wiki. Bad citations negatively impact their research. That’s a voter because inclusion is a prereq to debate.</w:t>
      </w:r>
    </w:p>
    <w:p w14:paraId="0860DD0F" w14:textId="77777777" w:rsidR="00FB4568" w:rsidRDefault="00FB4568" w:rsidP="00FB4568">
      <w:pPr>
        <w:pStyle w:val="Heading4"/>
        <w:rPr>
          <w:lang w:val="en"/>
        </w:rPr>
      </w:pPr>
      <w:r>
        <w:rPr>
          <w:lang w:val="en"/>
        </w:rPr>
        <w:t>DTD – a) in real life, you don’t get a quote cut out of your essay; you get a 0 on it – it’s best to teach good norms now, and b) deters future abuse.</w:t>
      </w:r>
    </w:p>
    <w:p w14:paraId="070D3FFA" w14:textId="77777777" w:rsidR="00FB4568" w:rsidRPr="00611FFC" w:rsidRDefault="00FB4568" w:rsidP="00FB4568">
      <w:pPr>
        <w:pStyle w:val="Heading4"/>
        <w:rPr>
          <w:color w:val="FF0000"/>
          <w:lang w:val="en"/>
        </w:rPr>
      </w:pPr>
      <w:r>
        <w:rPr>
          <w:lang w:val="en"/>
        </w:rPr>
        <w:t xml:space="preserve">Competing interps – a) reasonability is arbitrary, b) collapses because brightlines concede offense-defense paradigm, c) only CI prevents abuse since it can set norms, not decide rounds on a case-by-case basis. </w:t>
      </w:r>
    </w:p>
    <w:p w14:paraId="225BFDCA" w14:textId="77777777" w:rsidR="00FB4568" w:rsidRDefault="00FB4568" w:rsidP="00FB4568">
      <w:pPr>
        <w:pStyle w:val="Heading4"/>
        <w:rPr>
          <w:lang w:val="en"/>
        </w:rPr>
      </w:pPr>
      <w:r>
        <w:rPr>
          <w:lang w:val="en"/>
        </w:rPr>
        <w:t>No RVIs – a) you don’t win for being academically honest, b) people will bait theory to win on the RVI, which causes abuse.</w:t>
      </w:r>
    </w:p>
    <w:p w14:paraId="74A17721" w14:textId="432629CB" w:rsidR="006613D2" w:rsidRDefault="006613D2" w:rsidP="006613D2">
      <w:pPr>
        <w:pStyle w:val="Heading2"/>
        <w:rPr>
          <w:lang w:val="en"/>
        </w:rPr>
      </w:pPr>
      <w:r>
        <w:rPr>
          <w:lang w:val="en"/>
        </w:rPr>
        <w:t>2 – Korsgaard</w:t>
      </w:r>
    </w:p>
    <w:p w14:paraId="29E1A3CE" w14:textId="77777777" w:rsidR="006613D2" w:rsidRDefault="006613D2" w:rsidP="006613D2">
      <w:pPr>
        <w:pStyle w:val="Heading4"/>
      </w:pPr>
      <w:r>
        <w:t>I negate, resolved: A just government ought to recognize an unconditional right of workers to strike.</w:t>
      </w:r>
    </w:p>
    <w:p w14:paraId="5406B53B" w14:textId="0766AE59" w:rsidR="00BD4D81" w:rsidRDefault="00BD4D81" w:rsidP="00BD4D81">
      <w:pPr>
        <w:pStyle w:val="Heading3"/>
      </w:pPr>
      <w:r>
        <w:t>Definition</w:t>
      </w:r>
    </w:p>
    <w:p w14:paraId="093B3146" w14:textId="6DFC659A" w:rsidR="00BD4D81" w:rsidRPr="00BD4D81" w:rsidRDefault="00BD4D81" w:rsidP="00BD4D81">
      <w:pPr>
        <w:pStyle w:val="Heading4"/>
      </w:pPr>
      <w:r>
        <w:t>Ought:</w:t>
      </w:r>
    </w:p>
    <w:p w14:paraId="39B7B376" w14:textId="470CE053" w:rsidR="00BD4D81" w:rsidRPr="00BD4D81" w:rsidRDefault="00BD4D81" w:rsidP="00BD4D81">
      <w:pPr>
        <w:rPr>
          <w:sz w:val="16"/>
        </w:rPr>
      </w:pPr>
      <w:r w:rsidRPr="00BD4D81">
        <w:rPr>
          <w:rStyle w:val="Style13ptBold"/>
        </w:rPr>
        <w:t>Merriam Webster no date</w:t>
      </w:r>
      <w:r>
        <w:t xml:space="preserve"> </w:t>
      </w:r>
      <w:r w:rsidRPr="00BD4D81">
        <w:rPr>
          <w:sz w:val="16"/>
        </w:rPr>
        <w:t xml:space="preserve">Merriam Webster, dictionary, “ought,” no date, Merriam Webster, accessed 21 November 2021, </w:t>
      </w:r>
      <w:hyperlink r:id="rId7" w:history="1">
        <w:r w:rsidRPr="00BD4D81">
          <w:rPr>
            <w:rStyle w:val="Hyperlink"/>
            <w:sz w:val="16"/>
          </w:rPr>
          <w:t>https://www.merriam-webster.com/dictionary/ought</w:t>
        </w:r>
      </w:hyperlink>
    </w:p>
    <w:p w14:paraId="11DA5781" w14:textId="040BD207" w:rsidR="00BD4D81" w:rsidRPr="00BD4D81" w:rsidRDefault="00BD4D81" w:rsidP="00BD4D81">
      <w:pPr>
        <w:rPr>
          <w:rStyle w:val="StyleUnderline"/>
        </w:rPr>
      </w:pPr>
      <w:r w:rsidRPr="00BD4D81">
        <w:rPr>
          <w:rStyle w:val="StyleUnderline"/>
          <w:highlight w:val="cyan"/>
        </w:rPr>
        <w:t>moral obligation</w:t>
      </w:r>
    </w:p>
    <w:p w14:paraId="5055E64F" w14:textId="28F67719" w:rsidR="006613D2" w:rsidRDefault="006613D2" w:rsidP="006613D2">
      <w:pPr>
        <w:pStyle w:val="Heading3"/>
      </w:pPr>
      <w:r>
        <w:t>Framework</w:t>
      </w:r>
    </w:p>
    <w:p w14:paraId="35E1E599"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363200BD"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[1] Is-ought gap – we only perceive what is, not what ought to be. It’s impossible to derive prescriptive obligation from descriptive premises.</w:t>
      </w:r>
    </w:p>
    <w:p w14:paraId="37532A8D" w14:textId="77777777" w:rsidR="00AF4162" w:rsidRPr="005449FE" w:rsidRDefault="00AF4162" w:rsidP="00AF4162">
      <w:pPr>
        <w:keepNext/>
        <w:keepLines/>
        <w:spacing w:before="40" w:after="0" w:line="256" w:lineRule="auto"/>
        <w:outlineLvl w:val="3"/>
        <w:rPr>
          <w:rFonts w:eastAsia="SimSun" w:cs="Calibri"/>
          <w:b/>
          <w:iCs/>
        </w:rPr>
      </w:pPr>
      <w:r w:rsidRPr="005449FE">
        <w:rPr>
          <w:rFonts w:eastAsia="SimSun" w:cs="Calibri"/>
          <w:b/>
          <w:iCs/>
        </w:rPr>
        <w:t>[2] Transcendental idealism – we see our representations of reality – only a priori knowledge is a lane to truth. If we remove the subject, constitution would disappear as objects exist only in us and are unknown abstracted from sensibility.</w:t>
      </w:r>
    </w:p>
    <w:p w14:paraId="0C943F8A"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[3] Uncertainty – a posteriori ethics is subject to uncertainty. We could be dreaming, hallucinating, or being deceived by an evil demon. Infinitely outweighs because it would be escapable and therefore pointless.</w:t>
      </w:r>
    </w:p>
    <w:p w14:paraId="2E563C38"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3D50F4D4"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65CD439A"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[2] Bindingness – experience is subjective; only practical reason unifies and creates a moral theory.</w:t>
      </w:r>
    </w:p>
    <w:p w14:paraId="0EA75BF1"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457EDCBB"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2EE6C3E8"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[5] Knowledge interpretation – only reason can interpret a priori knowledge since it relies on abstract concepts.</w:t>
      </w:r>
    </w:p>
    <w:p w14:paraId="65F66A2E"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That entails universal maxims.</w:t>
      </w:r>
    </w:p>
    <w:p w14:paraId="39544AD1"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71C7012D" w14:textId="77777777" w:rsidR="00AF4162" w:rsidRPr="005449FE" w:rsidRDefault="00AF4162" w:rsidP="00AF4162">
      <w:pPr>
        <w:keepNext/>
        <w:keepLines/>
        <w:tabs>
          <w:tab w:val="left" w:pos="10043"/>
        </w:tabs>
        <w:spacing w:before="40" w:after="0"/>
        <w:outlineLvl w:val="3"/>
        <w:rPr>
          <w:rFonts w:eastAsiaTheme="majorEastAsia" w:cstheme="majorBidi"/>
          <w:b/>
          <w:iCs/>
        </w:rPr>
      </w:pPr>
      <w:r w:rsidRPr="005449FE">
        <w:rPr>
          <w:rFonts w:eastAsiaTheme="majorEastAsia" w:cstheme="majorBidi"/>
          <w:b/>
          <w:iCs/>
        </w:rPr>
        <w:t>[2] Non-contradiction – there is no world in which p and ~p are both true. Acting recognizes the validity of others to take the action, which makes universal maxims a logical side constraint to other frameworks.</w:t>
      </w:r>
    </w:p>
    <w:p w14:paraId="7A84FF99"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[3] Reason implies universalizability.</w:t>
      </w:r>
    </w:p>
    <w:p w14:paraId="5B4E9248" w14:textId="77777777" w:rsidR="00AF4162" w:rsidRPr="005449FE" w:rsidRDefault="00AF4162" w:rsidP="00AF4162">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704EBE2D" w14:textId="77777777" w:rsidR="00AF4162" w:rsidRPr="005449FE" w:rsidRDefault="00AF4162" w:rsidP="00AF4162">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5449FE">
        <w:rPr>
          <w:b/>
          <w:highlight w:val="cyan"/>
          <w:u w:val="single"/>
        </w:rPr>
        <w:t>duty</w:t>
      </w:r>
      <w:r w:rsidRPr="005449FE">
        <w:rPr>
          <w:b/>
          <w:u w:val="single"/>
        </w:rPr>
        <w:t xml:space="preserve">, </w:t>
      </w:r>
      <w:r w:rsidRPr="005449FE">
        <w:rPr>
          <w:b/>
          <w:highlight w:val="cyan"/>
          <w:u w:val="single"/>
        </w:rPr>
        <w:t>it 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can will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p w14:paraId="17E2C561" w14:textId="77777777" w:rsidR="00AF4162" w:rsidRPr="005449FE" w:rsidRDefault="00AF4162" w:rsidP="00AF4162">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71BAC59E" w14:textId="77777777" w:rsidR="00AF4162" w:rsidRPr="005449FE" w:rsidRDefault="00AF4162" w:rsidP="00AF4162">
      <w:pPr>
        <w:keepNext/>
        <w:keepLines/>
        <w:spacing w:before="40" w:after="0" w:line="256" w:lineRule="auto"/>
        <w:outlineLvl w:val="3"/>
        <w:rPr>
          <w:rFonts w:eastAsia="SimSun"/>
          <w:b/>
          <w:iCs/>
        </w:rPr>
      </w:pPr>
      <w:r w:rsidRPr="005449FE">
        <w:rPr>
          <w:rFonts w:eastAsia="SimSun"/>
          <w:b/>
          <w:iCs/>
        </w:rPr>
        <w:t>Prefer additionally:</w:t>
      </w:r>
    </w:p>
    <w:p w14:paraId="253C451F" w14:textId="77777777" w:rsidR="00AF4162" w:rsidRPr="005449FE" w:rsidRDefault="00AF4162" w:rsidP="00AF4162">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 willing ours.</w:t>
      </w:r>
    </w:p>
    <w:p w14:paraId="14348085" w14:textId="77777777" w:rsidR="00AF4162" w:rsidRPr="005449FE" w:rsidRDefault="00AF4162" w:rsidP="00AF4162">
      <w:pPr>
        <w:keepNext/>
        <w:keepLines/>
        <w:spacing w:before="40" w:after="0"/>
        <w:outlineLvl w:val="3"/>
        <w:rPr>
          <w:rFonts w:eastAsiaTheme="majorEastAsia" w:cstheme="majorBidi"/>
          <w:b/>
          <w:iCs/>
        </w:rPr>
      </w:pPr>
      <w:r w:rsidRPr="005449FE">
        <w:rPr>
          <w:rFonts w:eastAsiaTheme="majorEastAsia" w:cstheme="majorBidi"/>
          <w:b/>
          <w:iCs/>
        </w:rPr>
        <w:t>[2] Other frameworks collapse – they contain conditional obligations which derive authority from the categorical imperative.</w:t>
      </w:r>
    </w:p>
    <w:p w14:paraId="3D332204" w14:textId="77777777" w:rsidR="00AF4162" w:rsidRPr="005449FE" w:rsidRDefault="00AF4162" w:rsidP="00AF4162">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6DACDA07" w14:textId="77777777" w:rsidR="00AF4162" w:rsidRDefault="00AF4162" w:rsidP="00AF4162">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 those principles</w:t>
      </w:r>
      <w:r w:rsidRPr="005449FE">
        <w:rPr>
          <w:sz w:val="16"/>
        </w:rPr>
        <w:t>, principles which are themselves laws. Kant continues:</w:t>
      </w:r>
    </w:p>
    <w:p w14:paraId="1B3531EF" w14:textId="77777777" w:rsidR="00AF4162" w:rsidRPr="00D106C8" w:rsidRDefault="00AF4162" w:rsidP="00AF4162">
      <w:pPr>
        <w:pStyle w:val="Heading4"/>
      </w:pPr>
      <w:r>
        <w:t>[3] Resource disparities – focus on evidence and statistics puts small school debaters without huge files at a disadvantage, but my framework can be won without prep, which means it’s theoretically preferable.</w:t>
      </w:r>
    </w:p>
    <w:p w14:paraId="3E7CE2AD" w14:textId="77777777" w:rsidR="006613D2" w:rsidRDefault="006613D2" w:rsidP="006613D2">
      <w:pPr>
        <w:pStyle w:val="Heading3"/>
      </w:pPr>
      <w:r>
        <w:t>Offense</w:t>
      </w:r>
    </w:p>
    <w:p w14:paraId="5810CC74" w14:textId="77777777" w:rsidR="006613D2" w:rsidRPr="00457A2B" w:rsidRDefault="006613D2" w:rsidP="006613D2">
      <w:pPr>
        <w:pStyle w:val="Heading4"/>
        <w:rPr>
          <w:rStyle w:val="Style13ptBold"/>
          <w:b/>
          <w:bCs w:val="0"/>
          <w:color w:val="C00000"/>
        </w:rPr>
      </w:pPr>
      <w:r>
        <w:rPr>
          <w:rStyle w:val="Style13ptBold"/>
          <w:b/>
          <w:bCs w:val="0"/>
        </w:rPr>
        <w:t>[1] Striking intrinsically violates the contractual relationship workers agree to – it justifies employees’ ability to violate contract but enforces employers’ duty to uphold it.</w:t>
      </w:r>
    </w:p>
    <w:p w14:paraId="17807488" w14:textId="77777777" w:rsidR="006613D2" w:rsidRPr="00ED291B" w:rsidRDefault="006613D2" w:rsidP="006613D2">
      <w:pPr>
        <w:rPr>
          <w:sz w:val="16"/>
        </w:rPr>
      </w:pPr>
      <w:bookmarkStart w:id="0" w:name="_Hlk85659124"/>
      <w:r w:rsidRPr="00ED291B">
        <w:rPr>
          <w:rStyle w:val="Style13ptBold"/>
        </w:rPr>
        <w:t>Gourevitch 16</w:t>
      </w:r>
      <w:r w:rsidRPr="00ED291B">
        <w:t xml:space="preserve"> </w:t>
      </w:r>
      <w:r w:rsidRPr="00ED291B">
        <w:rPr>
          <w:sz w:val="16"/>
        </w:rPr>
        <w:t xml:space="preserve">Alex Gourevitch, assistant professor of political science at Brown University, “Quitting Work but Not the Job: Liberty and the Right to Strike,” 2016, American Political Science Association, accessed 20 October 2021, Pg. 309, </w:t>
      </w:r>
      <w:hyperlink r:id="rId8" w:history="1">
        <w:r w:rsidRPr="00ED291B">
          <w:rPr>
            <w:rStyle w:val="Hyperlink"/>
            <w:sz w:val="16"/>
          </w:rPr>
          <w:t>https://sci-hub.do/10.1017/S1537592716000049</w:t>
        </w:r>
      </w:hyperlink>
      <w:r w:rsidRPr="00ED291B">
        <w:rPr>
          <w:sz w:val="16"/>
        </w:rPr>
        <w:t xml:space="preserve"> ~ST~</w:t>
      </w:r>
      <w:r>
        <w:rPr>
          <w:sz w:val="16"/>
        </w:rPr>
        <w:t xml:space="preserve"> Gourevitch does not agree with the terminal conclusion of the aff</w:t>
      </w:r>
    </w:p>
    <w:bookmarkEnd w:id="0"/>
    <w:p w14:paraId="36033895" w14:textId="77777777" w:rsidR="006613D2" w:rsidRPr="00ED291B" w:rsidRDefault="006613D2" w:rsidP="006613D2">
      <w:pPr>
        <w:rPr>
          <w:sz w:val="16"/>
        </w:rPr>
      </w:pPr>
      <w:r w:rsidRPr="00ED291B">
        <w:rPr>
          <w:rStyle w:val="StyleUnderline"/>
          <w:highlight w:val="cyan"/>
        </w:rPr>
        <w:t>The right to strike</w:t>
      </w:r>
      <w:r w:rsidRPr="00ED291B">
        <w:rPr>
          <w:rStyle w:val="StyleUnderline"/>
        </w:rPr>
        <w:t xml:space="preserve"> is peculiar. It </w:t>
      </w:r>
      <w:r w:rsidRPr="00ED291B">
        <w:rPr>
          <w:rStyle w:val="StyleUnderline"/>
          <w:highlight w:val="cyan"/>
        </w:rPr>
        <w:t>is not a right to quit.</w:t>
      </w:r>
      <w:r w:rsidRPr="00ED291B">
        <w:rPr>
          <w:rStyle w:val="StyleUnderline"/>
        </w:rPr>
        <w:t xml:space="preserve"> The right </w:t>
      </w:r>
      <w:r w:rsidRPr="00ED291B">
        <w:rPr>
          <w:rStyle w:val="StyleUnderline"/>
          <w:highlight w:val="cyan"/>
        </w:rPr>
        <w:t>to quit is</w:t>
      </w:r>
      <w:r w:rsidRPr="00ED291B">
        <w:rPr>
          <w:rStyle w:val="StyleUnderline"/>
        </w:rPr>
        <w:t xml:space="preserve"> part of </w:t>
      </w:r>
      <w:r w:rsidRPr="00ED291B">
        <w:rPr>
          <w:rStyle w:val="StyleUnderline"/>
          <w:highlight w:val="cyan"/>
        </w:rPr>
        <w:t>freedom of contract</w:t>
      </w:r>
      <w:r w:rsidRPr="00ED291B">
        <w:rPr>
          <w:rStyle w:val="StyleUnderline"/>
        </w:rPr>
        <w:t xml:space="preserve"> </w:t>
      </w:r>
      <w:r w:rsidRPr="000D0F70">
        <w:rPr>
          <w:rStyle w:val="StyleUnderline"/>
        </w:rPr>
        <w:t xml:space="preserve">and the mirror of employment-at-will. </w:t>
      </w:r>
      <w:r w:rsidRPr="000D0F70">
        <w:rPr>
          <w:rStyle w:val="StyleUnderline"/>
          <w:highlight w:val="cyan"/>
        </w:rPr>
        <w:t>Workers</w:t>
      </w:r>
      <w:r w:rsidRPr="000D0F70">
        <w:rPr>
          <w:rStyle w:val="StyleUnderline"/>
        </w:rPr>
        <w:t xml:space="preserve"> may </w:t>
      </w:r>
      <w:r w:rsidRPr="000D0F70">
        <w:rPr>
          <w:rStyle w:val="StyleUnderline"/>
          <w:highlight w:val="cyan"/>
        </w:rPr>
        <w:t>quit when they no longer wish to work</w:t>
      </w:r>
      <w:r w:rsidRPr="00022445">
        <w:rPr>
          <w:rStyle w:val="StyleUnderline"/>
        </w:rPr>
        <w:t xml:space="preserve"> for an employer; </w:t>
      </w:r>
      <w:r w:rsidRPr="000D0F70">
        <w:rPr>
          <w:rStyle w:val="StyleUnderline"/>
          <w:highlight w:val="cyan"/>
        </w:rPr>
        <w:t>employers</w:t>
      </w:r>
      <w:r w:rsidRPr="000D0F70">
        <w:rPr>
          <w:rStyle w:val="StyleUnderline"/>
        </w:rPr>
        <w:t xml:space="preserve"> may </w:t>
      </w:r>
      <w:r w:rsidRPr="000D0F70">
        <w:rPr>
          <w:rStyle w:val="StyleUnderline"/>
          <w:highlight w:val="cyan"/>
        </w:rPr>
        <w:t>fire</w:t>
      </w:r>
      <w:r w:rsidRPr="000D0F70">
        <w:rPr>
          <w:rStyle w:val="StyleUnderline"/>
        </w:rPr>
        <w:t xml:space="preserve"> their </w:t>
      </w:r>
      <w:r w:rsidRPr="000D0F70">
        <w:rPr>
          <w:rStyle w:val="StyleUnderline"/>
          <w:highlight w:val="cyan"/>
        </w:rPr>
        <w:t>employees when they no longer want to employ</w:t>
      </w:r>
      <w:r w:rsidRPr="00022445">
        <w:rPr>
          <w:rStyle w:val="StyleUnderline"/>
        </w:rPr>
        <w:t xml:space="preserve"> them.</w:t>
      </w:r>
      <w:r w:rsidRPr="000D0F70">
        <w:rPr>
          <w:rStyle w:val="StyleUnderline"/>
        </w:rPr>
        <w:t xml:space="preserve"> Either of </w:t>
      </w:r>
      <w:r w:rsidRPr="000D0F70">
        <w:rPr>
          <w:rStyle w:val="StyleUnderline"/>
          <w:highlight w:val="cyan"/>
        </w:rPr>
        <w:t>those acts sever</w:t>
      </w:r>
      <w:r w:rsidRPr="000D0F70">
        <w:rPr>
          <w:rStyle w:val="StyleUnderline"/>
        </w:rPr>
        <w:t xml:space="preserve">s </w:t>
      </w:r>
      <w:r w:rsidRPr="000D0F70">
        <w:rPr>
          <w:rStyle w:val="StyleUnderline"/>
          <w:highlight w:val="cyan"/>
        </w:rPr>
        <w:t>the contractual relationship</w:t>
      </w:r>
      <w:r w:rsidRPr="000D0F70">
        <w:rPr>
          <w:rStyle w:val="StyleUnderline"/>
        </w:rPr>
        <w:t xml:space="preserve"> and the two parties are no longer assumed to be in any relationship at all. The right </w:t>
      </w:r>
      <w:r w:rsidRPr="000D0F70">
        <w:rPr>
          <w:rStyle w:val="StyleUnderline"/>
          <w:highlight w:val="cyan"/>
        </w:rPr>
        <w:t>to strike, however, assumes</w:t>
      </w:r>
      <w:r w:rsidRPr="000D0F70">
        <w:rPr>
          <w:rStyle w:val="StyleUnderline"/>
        </w:rPr>
        <w:t xml:space="preserve"> the </w:t>
      </w:r>
      <w:r w:rsidRPr="000D0F70">
        <w:rPr>
          <w:rStyle w:val="StyleUnderline"/>
          <w:highlight w:val="cyan"/>
        </w:rPr>
        <w:t>continuity of the</w:t>
      </w:r>
      <w:r w:rsidRPr="000D0F70">
        <w:rPr>
          <w:rStyle w:val="StyleUnderline"/>
        </w:rPr>
        <w:t xml:space="preserve"> very </w:t>
      </w:r>
      <w:r w:rsidRPr="000D0F70">
        <w:rPr>
          <w:rStyle w:val="StyleUnderline"/>
          <w:highlight w:val="cyan"/>
        </w:rPr>
        <w:t>relationship that is suspended.</w:t>
      </w:r>
      <w:r w:rsidRPr="000D0F70">
        <w:rPr>
          <w:rStyle w:val="StyleUnderline"/>
        </w:rPr>
        <w:t xml:space="preserve"> Workers on</w:t>
      </w:r>
      <w:r w:rsidRPr="00ED291B">
        <w:rPr>
          <w:rStyle w:val="StyleUnderline"/>
        </w:rPr>
        <w:t xml:space="preserve"> strike refuse to work but do not claim to have left the job. After all, the whole point of a strike is that it is a collective work stoppage, not a collective quitting of the job.</w:t>
      </w:r>
      <w:r w:rsidRPr="00ED291B">
        <w:rPr>
          <w:sz w:val="16"/>
        </w:rPr>
        <w:t xml:space="preserve"> This is the feature of the strike that has marked it out from other forms of social action.</w:t>
      </w:r>
    </w:p>
    <w:p w14:paraId="349E884B" w14:textId="77777777" w:rsidR="006613D2" w:rsidRDefault="006613D2" w:rsidP="006613D2">
      <w:pPr>
        <w:rPr>
          <w:sz w:val="16"/>
        </w:rPr>
      </w:pPr>
      <w:r w:rsidRPr="00ED291B">
        <w:rPr>
          <w:rStyle w:val="StyleUnderline"/>
        </w:rPr>
        <w:t xml:space="preserve">If a right to strike is not a right to quit, what is it? It is the right that </w:t>
      </w:r>
      <w:r w:rsidRPr="00ED291B">
        <w:rPr>
          <w:rStyle w:val="StyleUnderline"/>
          <w:highlight w:val="cyan"/>
        </w:rPr>
        <w:t>workers</w:t>
      </w:r>
      <w:r w:rsidRPr="00ED291B">
        <w:rPr>
          <w:rStyle w:val="StyleUnderline"/>
        </w:rPr>
        <w:t xml:space="preserve"> claim to </w:t>
      </w:r>
      <w:r w:rsidRPr="00ED291B">
        <w:rPr>
          <w:rStyle w:val="StyleUnderline"/>
          <w:highlight w:val="cyan"/>
        </w:rPr>
        <w:t>refuse to perform work they</w:t>
      </w:r>
      <w:r w:rsidRPr="00ED291B">
        <w:rPr>
          <w:rStyle w:val="StyleUnderline"/>
        </w:rPr>
        <w:t xml:space="preserve"> have </w:t>
      </w:r>
      <w:r w:rsidRPr="00ED291B">
        <w:rPr>
          <w:rStyle w:val="StyleUnderline"/>
          <w:highlight w:val="cyan"/>
        </w:rPr>
        <w:t xml:space="preserve">agreed to do while </w:t>
      </w:r>
      <w:r w:rsidRPr="000D0F70">
        <w:rPr>
          <w:rStyle w:val="StyleUnderline"/>
          <w:highlight w:val="cyan"/>
        </w:rPr>
        <w:t xml:space="preserve">retaining a right to the </w:t>
      </w:r>
      <w:r w:rsidRPr="00ED291B">
        <w:rPr>
          <w:rStyle w:val="StyleUnderline"/>
          <w:highlight w:val="cyan"/>
        </w:rPr>
        <w:t>job.</w:t>
      </w:r>
      <w:r w:rsidRPr="00ED291B">
        <w:rPr>
          <w:sz w:val="16"/>
        </w:rP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the distinction between quitting and striking the basis of his entire argument:</w:t>
      </w:r>
    </w:p>
    <w:p w14:paraId="40DF68C2" w14:textId="77777777" w:rsidR="006613D2" w:rsidRDefault="006613D2" w:rsidP="006613D2">
      <w:pPr>
        <w:pStyle w:val="Heading4"/>
      </w:pPr>
      <w:r>
        <w:t>Breaking work contracts, which are promises of labor, is non-universalizable.</w:t>
      </w:r>
    </w:p>
    <w:p w14:paraId="55C2A734" w14:textId="77777777" w:rsidR="006613D2" w:rsidRPr="006C67B3" w:rsidRDefault="006613D2" w:rsidP="006613D2">
      <w:pPr>
        <w:rPr>
          <w:sz w:val="16"/>
        </w:rPr>
      </w:pPr>
      <w:r w:rsidRPr="006C67B3">
        <w:rPr>
          <w:rStyle w:val="Style13ptBold"/>
        </w:rPr>
        <w:t>Lumen no date</w:t>
      </w:r>
      <w:r>
        <w:t xml:space="preserve"> </w:t>
      </w:r>
      <w:r w:rsidRPr="006C67B3">
        <w:rPr>
          <w:sz w:val="16"/>
        </w:rPr>
        <w:t xml:space="preserve">Lumen Learning, “Kantian Ethics (Main Concepts),” no date, Lumen Learning, accessed 20 October 2021, </w:t>
      </w:r>
      <w:hyperlink r:id="rId9" w:history="1">
        <w:r w:rsidRPr="006C67B3">
          <w:rPr>
            <w:rStyle w:val="Hyperlink"/>
            <w:sz w:val="16"/>
          </w:rPr>
          <w:t>https://courses.lumenlearning.com/sanjacinto-philosophy/chapter/kantian-ethics-main-concepts/</w:t>
        </w:r>
      </w:hyperlink>
      <w:r w:rsidRPr="006C67B3">
        <w:rPr>
          <w:sz w:val="16"/>
        </w:rPr>
        <w:t xml:space="preserve"> ~ST~</w:t>
      </w:r>
    </w:p>
    <w:p w14:paraId="27954FBB" w14:textId="77777777" w:rsidR="006613D2" w:rsidRPr="006C67B3" w:rsidRDefault="006613D2" w:rsidP="006613D2">
      <w:pPr>
        <w:rPr>
          <w:sz w:val="16"/>
        </w:rPr>
      </w:pPr>
      <w:r w:rsidRPr="006C67B3">
        <w:rPr>
          <w:sz w:val="16"/>
        </w:rPr>
        <w:t xml:space="preserve">When someone acts, it is according to a rule, or maxim. For Kant, an act is only permissible if one is willing for the maxim that allows the action to be a universal law by which everyone acts.[15] Maxims fail this test if they produce either a contradiction in conception or a contradiction in the will when universalized. A contradiction in conception happens when, if a maxim were to be universalized, it ceases to make sense because the “…maxim would necessarily destroy itself as soon as it was made a universal law.”[16] For example, </w:t>
      </w:r>
      <w:r w:rsidRPr="006C67B3">
        <w:rPr>
          <w:rStyle w:val="StyleUnderline"/>
          <w:highlight w:val="cyan"/>
        </w:rPr>
        <w:t>if</w:t>
      </w:r>
      <w:r w:rsidRPr="006C67B3">
        <w:rPr>
          <w:rStyle w:val="StyleUnderline"/>
        </w:rPr>
        <w:t xml:space="preserve"> the maxim </w:t>
      </w:r>
      <w:r w:rsidRPr="006C67B3">
        <w:rPr>
          <w:rStyle w:val="StyleUnderline"/>
          <w:highlight w:val="cyan"/>
        </w:rPr>
        <w:t>‘It is permissible to break promises’ was universalized</w:t>
      </w:r>
      <w:r w:rsidRPr="006C67B3">
        <w:rPr>
          <w:rStyle w:val="StyleUnderline"/>
        </w:rPr>
        <w:t xml:space="preserve">, no one would trust any promises made, so the idea of a promise would become meaningless; </w:t>
      </w:r>
      <w:r w:rsidRPr="006C67B3">
        <w:rPr>
          <w:rStyle w:val="StyleUnderline"/>
          <w:highlight w:val="cyan"/>
        </w:rPr>
        <w:t>the maxim would be self-contradictory because</w:t>
      </w:r>
      <w:r w:rsidRPr="006C67B3">
        <w:rPr>
          <w:rStyle w:val="StyleUnderline"/>
        </w:rPr>
        <w:t xml:space="preserve">, when universalized, </w:t>
      </w:r>
      <w:r w:rsidRPr="006C67B3">
        <w:rPr>
          <w:rStyle w:val="StyleUnderline"/>
          <w:highlight w:val="cyan"/>
        </w:rPr>
        <w:t>promises cease to be meaningful. The maxim is</w:t>
      </w:r>
      <w:r w:rsidRPr="006C67B3">
        <w:rPr>
          <w:rStyle w:val="StyleUnderline"/>
        </w:rPr>
        <w:t xml:space="preserve"> not moral because it is </w:t>
      </w:r>
      <w:r w:rsidRPr="006C67B3">
        <w:rPr>
          <w:rStyle w:val="StyleUnderline"/>
          <w:highlight w:val="cyan"/>
        </w:rPr>
        <w:t>logically impossible to universalize</w:t>
      </w:r>
      <w:r w:rsidRPr="006C67B3">
        <w:rPr>
          <w:rStyle w:val="StyleUnderline"/>
        </w:rPr>
        <w:t>—we could not conceive of a world where this maxim was universalized.</w:t>
      </w:r>
      <w:r w:rsidRPr="006C67B3">
        <w:rPr>
          <w:sz w:val="16"/>
        </w:rPr>
        <w:t>[17]A maxim can also be immoral if it creates a contradiction in the will when universalized. This does not mean a logical contradiction, but that universalizing the maxim leads to a state of affairs that no rational being would desire. For example, Driver argues that the maxim ‘I will not give to charity’ produces a contradiction in the will when universalized because a world where no one gives to charity would be undesirable for the person who acts by that maxim.[18]</w:t>
      </w:r>
    </w:p>
    <w:p w14:paraId="26208A9B" w14:textId="77777777" w:rsidR="006613D2" w:rsidRPr="00C81523" w:rsidRDefault="006613D2" w:rsidP="006613D2">
      <w:pPr>
        <w:pStyle w:val="Heading4"/>
      </w:pPr>
      <w:r>
        <w:t>[2]</w:t>
      </w:r>
      <w:r>
        <w:rPr>
          <w:rFonts w:cs="Arial"/>
        </w:rPr>
        <w:t xml:space="preserve"> A </w:t>
      </w:r>
      <w:r w:rsidRPr="0050067E">
        <w:rPr>
          <w:rFonts w:cs="Arial"/>
        </w:rPr>
        <w:t xml:space="preserve">strike uses </w:t>
      </w:r>
      <w:r>
        <w:rPr>
          <w:rFonts w:cs="Arial"/>
        </w:rPr>
        <w:t>the employer and society</w:t>
      </w:r>
      <w:r w:rsidRPr="0050067E">
        <w:rPr>
          <w:rFonts w:cs="Arial"/>
        </w:rPr>
        <w:t xml:space="preserve"> as a means to an end.</w:t>
      </w:r>
    </w:p>
    <w:p w14:paraId="497235B3" w14:textId="77777777" w:rsidR="006613D2" w:rsidRPr="00135C28" w:rsidRDefault="006613D2" w:rsidP="006613D2">
      <w:pPr>
        <w:rPr>
          <w:sz w:val="16"/>
        </w:rPr>
      </w:pPr>
      <w:r w:rsidRPr="00D84E5D">
        <w:rPr>
          <w:rStyle w:val="Style13ptBold"/>
        </w:rPr>
        <w:t>Fourie 17</w:t>
      </w:r>
      <w:r w:rsidRPr="00D84E5D">
        <w:t xml:space="preserve"> </w:t>
      </w:r>
      <w:r w:rsidRPr="00135C28">
        <w:rPr>
          <w:sz w:val="16"/>
        </w:rPr>
        <w:t xml:space="preserve">Johan Fourie, professor of Economics and History at Stellenbosch University, "Ethicality of Labor-Strike Demonstrates by Social Workers," 30 November 2017, accessed 19 October 2021, Other Papers, </w:t>
      </w:r>
      <w:hyperlink r:id="rId10" w:history="1">
        <w:r w:rsidRPr="00135C28">
          <w:rPr>
            <w:rStyle w:val="Hyperlink"/>
            <w:sz w:val="16"/>
          </w:rPr>
          <w:t>https://www.otherpapers.com/essay/Ethicality-of-Labor-Strike-Demonstrates-by-Social-Workers/62694.html</w:t>
        </w:r>
      </w:hyperlink>
      <w:r w:rsidRPr="00135C28">
        <w:rPr>
          <w:sz w:val="16"/>
        </w:rPr>
        <w:t xml:space="preserve"> JG recut</w:t>
      </w:r>
    </w:p>
    <w:p w14:paraId="3D82E241" w14:textId="77777777" w:rsidR="006613D2" w:rsidRPr="00C81523" w:rsidRDefault="006613D2" w:rsidP="006613D2">
      <w:pPr>
        <w:rPr>
          <w:sz w:val="16"/>
        </w:rPr>
      </w:pPr>
      <w:r w:rsidRPr="00135C28">
        <w:rPr>
          <w:sz w:val="16"/>
        </w:rPr>
        <w:t xml:space="preserve">A further formula of the Categorical Imperative is "so, act as to treat humanity, whether in your own person or in that of any other context, never solely as a means to an end but always as an end within itself' (Parrott, 2006, p. 51). By this Kant meant </w:t>
      </w:r>
      <w:r w:rsidRPr="00D0357A">
        <w:rPr>
          <w:rStyle w:val="StyleUnderline"/>
          <w:highlight w:val="cyan"/>
        </w:rPr>
        <w:t>people should be valued</w:t>
      </w:r>
      <w:r w:rsidRPr="00D0357A">
        <w:rPr>
          <w:rStyle w:val="StyleUnderline"/>
        </w:rPr>
        <w:t xml:space="preserve"> and respected as an individual </w:t>
      </w:r>
      <w:r w:rsidRPr="00D0357A">
        <w:rPr>
          <w:rStyle w:val="StyleUnderline"/>
          <w:highlight w:val="cyan"/>
        </w:rPr>
        <w:t>and not used for</w:t>
      </w:r>
      <w:r w:rsidRPr="00D0357A">
        <w:rPr>
          <w:rStyle w:val="StyleUnderline"/>
        </w:rPr>
        <w:t xml:space="preserve"> the </w:t>
      </w:r>
      <w:r w:rsidRPr="00D0357A">
        <w:rPr>
          <w:rStyle w:val="StyleUnderline"/>
          <w:highlight w:val="cyan"/>
        </w:rPr>
        <w:t>benefit</w:t>
      </w:r>
      <w:r w:rsidRPr="00D0357A">
        <w:rPr>
          <w:rStyle w:val="StyleUnderline"/>
        </w:rPr>
        <w:t xml:space="preserve"> of others. </w:t>
      </w:r>
      <w:r w:rsidRPr="00D84E5D">
        <w:rPr>
          <w:rStyle w:val="StyleUnderline"/>
        </w:rPr>
        <w:t xml:space="preserve">Participating in </w:t>
      </w:r>
      <w:r w:rsidRPr="00D0357A">
        <w:rPr>
          <w:rStyle w:val="StyleUnderline"/>
          <w:highlight w:val="cyan"/>
        </w:rPr>
        <w:t>a labor-strike</w:t>
      </w:r>
      <w:r w:rsidRPr="00D0357A">
        <w:rPr>
          <w:rStyle w:val="StyleUnderline"/>
        </w:rPr>
        <w:t xml:space="preserve"> demonstration/action </w:t>
      </w:r>
      <w:r w:rsidRPr="00D0357A">
        <w:rPr>
          <w:rStyle w:val="StyleUnderline"/>
          <w:highlight w:val="cyan"/>
        </w:rPr>
        <w:t>is a direct violation</w:t>
      </w:r>
      <w:r w:rsidRPr="00D84E5D">
        <w:rPr>
          <w:rStyle w:val="StyleUnderline"/>
        </w:rPr>
        <w:t xml:space="preserve"> of this categorical</w:t>
      </w:r>
      <w:r w:rsidRPr="00D0357A">
        <w:rPr>
          <w:rStyle w:val="StyleUnderline"/>
        </w:rPr>
        <w:t xml:space="preserve"> perspective as it would not be ethically permissible </w:t>
      </w:r>
      <w:r w:rsidRPr="00D0357A">
        <w:rPr>
          <w:rStyle w:val="StyleUnderline"/>
          <w:highlight w:val="cyan"/>
        </w:rPr>
        <w:t>because</w:t>
      </w:r>
      <w:r w:rsidRPr="00135C28">
        <w:rPr>
          <w:rStyle w:val="StyleUnderline"/>
        </w:rPr>
        <w:t xml:space="preserve"> the</w:t>
      </w:r>
      <w:r w:rsidRPr="00D84E5D">
        <w:rPr>
          <w:rStyle w:val="StyleUnderline"/>
        </w:rPr>
        <w:t xml:space="preserve"> severe dependence and well-being of clients, </w:t>
      </w:r>
      <w:r w:rsidRPr="00D0357A">
        <w:rPr>
          <w:rStyle w:val="StyleUnderline"/>
          <w:highlight w:val="cyan"/>
        </w:rPr>
        <w:t>the effective functioning of the</w:t>
      </w:r>
      <w:r w:rsidRPr="00D0357A">
        <w:rPr>
          <w:rStyle w:val="StyleUnderline"/>
        </w:rPr>
        <w:t xml:space="preserve"> </w:t>
      </w:r>
      <w:r w:rsidRPr="00D84E5D">
        <w:rPr>
          <w:rStyle w:val="StyleUnderline"/>
        </w:rPr>
        <w:t xml:space="preserve">employer </w:t>
      </w:r>
      <w:r w:rsidRPr="00D0357A">
        <w:rPr>
          <w:rStyle w:val="StyleUnderline"/>
          <w:highlight w:val="cyan"/>
        </w:rPr>
        <w:t>organization, and society is used to</w:t>
      </w:r>
      <w:r w:rsidRPr="00D84E5D">
        <w:rPr>
          <w:rStyle w:val="StyleUnderline"/>
        </w:rPr>
        <w:t xml:space="preserve"> duly and unduly influence the </w:t>
      </w:r>
      <w:r w:rsidRPr="00D0357A">
        <w:rPr>
          <w:rStyle w:val="StyleUnderline"/>
          <w:highlight w:val="cyan"/>
        </w:rPr>
        <w:t>bargain</w:t>
      </w:r>
      <w:r w:rsidRPr="00D84E5D">
        <w:rPr>
          <w:rStyle w:val="StyleUnderline"/>
        </w:rPr>
        <w:t xml:space="preserve">ing process for better </w:t>
      </w:r>
      <w:r w:rsidRPr="00D0357A">
        <w:rPr>
          <w:rStyle w:val="StyleUnderline"/>
          <w:highlight w:val="cyan"/>
        </w:rPr>
        <w:t>working conditions.</w:t>
      </w:r>
      <w:r w:rsidRPr="00D84E5D">
        <w:rPr>
          <w:rStyle w:val="StyleUnderline"/>
        </w:rPr>
        <w:t xml:space="preserve"> In participating in the labor strike</w:t>
      </w:r>
      <w:r w:rsidRPr="00D0357A">
        <w:rPr>
          <w:rStyle w:val="StyleUnderline"/>
        </w:rPr>
        <w:t xml:space="preserve"> demonstration, </w:t>
      </w:r>
      <w:r w:rsidRPr="00D0357A">
        <w:rPr>
          <w:rStyle w:val="StyleUnderline"/>
          <w:highlight w:val="cyan"/>
        </w:rPr>
        <w:t>the humanity</w:t>
      </w:r>
      <w:r w:rsidRPr="00D0357A">
        <w:rPr>
          <w:rStyle w:val="StyleUnderline"/>
        </w:rPr>
        <w:t xml:space="preserve">, and well-being </w:t>
      </w:r>
      <w:r w:rsidRPr="00D0357A">
        <w:rPr>
          <w:rStyle w:val="StyleUnderline"/>
          <w:highlight w:val="cyan"/>
        </w:rPr>
        <w:t>of clients and society is not seen</w:t>
      </w:r>
      <w:r w:rsidRPr="00D84E5D">
        <w:rPr>
          <w:rStyle w:val="StyleUnderline"/>
        </w:rPr>
        <w:t xml:space="preserve"> as crucial and </w:t>
      </w:r>
      <w:r w:rsidRPr="00D84E5D">
        <w:rPr>
          <w:rStyle w:val="StyleUnderline"/>
          <w:highlight w:val="cyan"/>
        </w:rPr>
        <w:t>as an 'end', but</w:t>
      </w:r>
      <w:r w:rsidRPr="00D0357A">
        <w:rPr>
          <w:rStyle w:val="StyleUnderline"/>
        </w:rPr>
        <w:t xml:space="preserve"> rather </w:t>
      </w:r>
      <w:r w:rsidRPr="00D84E5D">
        <w:rPr>
          <w:rStyle w:val="StyleUnderline"/>
          <w:highlight w:val="cyan"/>
        </w:rPr>
        <w:t>used to demonstrate the</w:t>
      </w:r>
      <w:r w:rsidRPr="00D0357A">
        <w:rPr>
          <w:rStyle w:val="StyleUnderline"/>
        </w:rPr>
        <w:t xml:space="preserve"> undeniable </w:t>
      </w:r>
      <w:r w:rsidRPr="00D84E5D">
        <w:rPr>
          <w:rStyle w:val="StyleUnderline"/>
          <w:highlight w:val="cyan"/>
        </w:rPr>
        <w:t>need for</w:t>
      </w:r>
      <w:r w:rsidRPr="00D0357A">
        <w:rPr>
          <w:rStyle w:val="StyleUnderline"/>
        </w:rPr>
        <w:t xml:space="preserve"> the skills and expertise of social </w:t>
      </w:r>
      <w:r w:rsidRPr="00D84E5D">
        <w:rPr>
          <w:rStyle w:val="StyleUnderline"/>
          <w:highlight w:val="cyan"/>
        </w:rPr>
        <w:t>workers.</w:t>
      </w:r>
      <w:r w:rsidRPr="00135C28">
        <w:rPr>
          <w:sz w:val="16"/>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612EA35D" w14:textId="77777777" w:rsidR="006613D2" w:rsidRPr="00D84E5D" w:rsidRDefault="006613D2" w:rsidP="006613D2">
      <w:pPr>
        <w:pStyle w:val="Heading4"/>
        <w:rPr>
          <w:color w:val="C00000"/>
        </w:rPr>
      </w:pPr>
      <w:r>
        <w:t xml:space="preserve">Strikes specifically in essential services reduces society to a mere </w:t>
      </w:r>
      <w:r w:rsidRPr="00384BFB">
        <w:t>means</w:t>
      </w:r>
      <w:r>
        <w:t>.</w:t>
      </w:r>
    </w:p>
    <w:p w14:paraId="553E1920" w14:textId="77777777" w:rsidR="006613D2" w:rsidRPr="009C29D4" w:rsidRDefault="006613D2" w:rsidP="006613D2">
      <w:pPr>
        <w:rPr>
          <w:sz w:val="16"/>
        </w:rPr>
      </w:pPr>
      <w:r w:rsidRPr="009C29D4">
        <w:rPr>
          <w:rStyle w:val="Style13ptBold"/>
        </w:rPr>
        <w:t>Loewy 2000</w:t>
      </w:r>
      <w:r w:rsidRPr="00135C28">
        <w:t xml:space="preserve"> </w:t>
      </w:r>
      <w:r w:rsidRPr="009C29D4">
        <w:rPr>
          <w:sz w:val="16"/>
        </w:rPr>
        <w:t>Erich H. Lowey, professor of bioethics at University of California, "Of healthcare professionals, ethics, and strikes," Cambridge Q. Healthcare Ethics 9 (2000): 513. Accessed 19 October 2021, Pg. 516-517, sci-hub.se/10.1017/S0963180100904092 JG recut</w:t>
      </w:r>
    </w:p>
    <w:p w14:paraId="4A56C182" w14:textId="77777777" w:rsidR="006613D2" w:rsidRPr="009C29D4" w:rsidRDefault="006613D2" w:rsidP="006613D2">
      <w:pPr>
        <w:rPr>
          <w:sz w:val="16"/>
        </w:rPr>
      </w:pPr>
      <w:r w:rsidRPr="00135C28">
        <w:rPr>
          <w:rStyle w:val="StyleUnderline"/>
          <w:highlight w:val="cyan"/>
        </w:rPr>
        <w:t>In the medical setting</w:t>
      </w:r>
      <w:r w:rsidRPr="00135C28">
        <w:rPr>
          <w:rStyle w:val="StyleUnderline"/>
        </w:rPr>
        <w:t xml:space="preserve">, furthermore, workers are much more apt to deal with identified lives: they know their patients and often have known them for some time. </w:t>
      </w:r>
      <w:r w:rsidRPr="00135C28">
        <w:rPr>
          <w:rStyle w:val="StyleUnderline"/>
          <w:highlight w:val="cyan"/>
        </w:rPr>
        <w:t xml:space="preserve">Striking </w:t>
      </w:r>
      <w:r w:rsidRPr="00135C28">
        <w:rPr>
          <w:rStyle w:val="StyleUnderline"/>
        </w:rPr>
        <w:t xml:space="preserve">against their employer (even if it is done in part to benefit the patient) </w:t>
      </w:r>
      <w:r w:rsidRPr="00135C28">
        <w:rPr>
          <w:rStyle w:val="StyleUnderline"/>
          <w:highlight w:val="cyan"/>
        </w:rPr>
        <w:t>is denying</w:t>
      </w:r>
      <w:r w:rsidRPr="00E54D6F">
        <w:rPr>
          <w:rStyle w:val="StyleUnderline"/>
        </w:rPr>
        <w:t xml:space="preserve"> meaningful</w:t>
      </w:r>
      <w:r w:rsidRPr="00135C28">
        <w:rPr>
          <w:rStyle w:val="StyleUnderline"/>
        </w:rPr>
        <w:t xml:space="preserve"> and often </w:t>
      </w:r>
      <w:r w:rsidRPr="00135C28">
        <w:rPr>
          <w:rStyle w:val="StyleUnderline"/>
          <w:highlight w:val="cyan"/>
        </w:rPr>
        <w:t>essential services</w:t>
      </w:r>
      <w:r w:rsidRPr="00135C28">
        <w:rPr>
          <w:rStyle w:val="StyleUnderline"/>
        </w:rPr>
        <w:t xml:space="preserve"> to some of these identified lives.</w:t>
      </w:r>
      <w:r w:rsidRPr="009C29D4">
        <w:rPr>
          <w:sz w:val="16"/>
        </w:rPr>
        <w:t xml:space="preserve"> We tend to relate differently with those lives we know and therefore call “identified” from those whom we consider “unidentified” or statistical lives, in part, because we have obligations as a result of relationships; in part because we fail to recognize that these so-called unidentified lives are not in fact unidentified but are merely not identified by us.4 When strikes are called by healthcare professionals, both types of lives are apt to be injured or, at least, severely inconvenienced.</w:t>
      </w:r>
    </w:p>
    <w:p w14:paraId="7D4A6CBE" w14:textId="77777777" w:rsidR="006613D2" w:rsidRPr="00135C28" w:rsidRDefault="006613D2" w:rsidP="006613D2">
      <w:pPr>
        <w:rPr>
          <w:rStyle w:val="StyleUnderline"/>
        </w:rPr>
      </w:pPr>
      <w:r w:rsidRPr="009C29D4">
        <w:rPr>
          <w:sz w:val="16"/>
        </w:rPr>
        <w:t xml:space="preserve">Except in the pocketbook, </w:t>
      </w:r>
      <w:r w:rsidRPr="00135C28">
        <w:rPr>
          <w:rStyle w:val="StyleUnderline"/>
          <w:highlight w:val="cyan"/>
        </w:rPr>
        <w:t>strikes</w:t>
      </w:r>
      <w:r w:rsidRPr="00135C28">
        <w:rPr>
          <w:rStyle w:val="StyleUnderline"/>
        </w:rPr>
        <w:t xml:space="preserve"> in the healthcare setting generally </w:t>
      </w:r>
      <w:r w:rsidRPr="00135C28">
        <w:rPr>
          <w:rStyle w:val="StyleUnderline"/>
          <w:highlight w:val="cyan"/>
        </w:rPr>
        <w:t>do not directly hurt the employer. The employer is hurt through the patient. The patient</w:t>
      </w:r>
      <w:r w:rsidRPr="00135C28">
        <w:rPr>
          <w:rStyle w:val="StyleUnderline"/>
        </w:rPr>
        <w:t xml:space="preserve"> thus </w:t>
      </w:r>
      <w:r w:rsidRPr="00135C28">
        <w:rPr>
          <w:rStyle w:val="StyleUnderline"/>
          <w:highlight w:val="cyan"/>
        </w:rPr>
        <w:t>becomes a means toward</w:t>
      </w:r>
      <w:r w:rsidRPr="00135C28">
        <w:rPr>
          <w:rStyle w:val="StyleUnderline"/>
        </w:rPr>
        <w:t xml:space="preserve"> the </w:t>
      </w:r>
      <w:r w:rsidRPr="00135C28">
        <w:rPr>
          <w:rStyle w:val="StyleUnderline"/>
          <w:highlight w:val="cyan"/>
        </w:rPr>
        <w:t>employees’ ends, a</w:t>
      </w:r>
      <w:r w:rsidRPr="00135C28">
        <w:rPr>
          <w:rStyle w:val="StyleUnderline"/>
        </w:rPr>
        <w:t xml:space="preserve"> foot</w:t>
      </w:r>
      <w:r w:rsidRPr="00135C28">
        <w:rPr>
          <w:rStyle w:val="StyleUnderline"/>
          <w:highlight w:val="cyan"/>
        </w:rPr>
        <w:t>ball</w:t>
      </w:r>
      <w:r w:rsidRPr="00135C28">
        <w:rPr>
          <w:rStyle w:val="StyleUnderline"/>
        </w:rPr>
        <w:t xml:space="preserve"> being </w:t>
      </w:r>
      <w:r w:rsidRPr="00135C28">
        <w:rPr>
          <w:rStyle w:val="StyleUnderline"/>
          <w:highlight w:val="cyan"/>
        </w:rPr>
        <w:t>kicked between two</w:t>
      </w:r>
      <w:r w:rsidRPr="00135C28">
        <w:rPr>
          <w:rStyle w:val="StyleUnderline"/>
        </w:rPr>
        <w:t xml:space="preserve"> contending </w:t>
      </w:r>
      <w:r w:rsidRPr="00135C28">
        <w:rPr>
          <w:rStyle w:val="StyleUnderline"/>
          <w:highlight w:val="cyan"/>
        </w:rPr>
        <w:t>parties</w:t>
      </w:r>
      <w:r w:rsidRPr="00135C28">
        <w:rPr>
          <w:rStyle w:val="StyleUnderline"/>
        </w:rPr>
        <w:t xml:space="preserve">—even if one of the employees’ goals is to serve the good of patients in general.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135C28">
        <w:rPr>
          <w:rStyle w:val="StyleUnderline"/>
          <w:highlight w:val="cyan"/>
        </w:rPr>
        <w:t>To be effective, a strike</w:t>
      </w:r>
      <w:r w:rsidRPr="00135C28">
        <w:rPr>
          <w:rStyle w:val="StyleUnderline"/>
        </w:rPr>
        <w:t xml:space="preserve"> of healthcare professionals </w:t>
      </w:r>
      <w:r w:rsidRPr="00135C28">
        <w:rPr>
          <w:rStyle w:val="StyleUnderline"/>
          <w:highlight w:val="cyan"/>
        </w:rPr>
        <w:t>has to “hurt” patients</w:t>
      </w:r>
      <w:r w:rsidRPr="00135C28">
        <w:rPr>
          <w:rStyle w:val="StyleUnderline"/>
        </w:rPr>
        <w:t xml:space="preserve"> and often patients known to the healthcare professionals.</w:t>
      </w:r>
    </w:p>
    <w:p w14:paraId="7E7F28A4" w14:textId="7D13B6C7" w:rsidR="00AD5190" w:rsidRPr="009C4E1D" w:rsidRDefault="006613D2" w:rsidP="009C4E1D">
      <w:pPr>
        <w:pStyle w:val="Heading4"/>
        <w:rPr>
          <w:rFonts w:cs="Arial"/>
        </w:rPr>
      </w:pPr>
      <w:r w:rsidRPr="0050067E">
        <w:rPr>
          <w:rFonts w:cs="Arial"/>
        </w:rPr>
        <w:t>Using people as a means to an end ignores their intrinsic freedom as a rational agent and is therefore non-universalizable.</w:t>
      </w:r>
    </w:p>
    <w:sectPr w:rsidR="00AD5190" w:rsidRPr="009C4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4605EA"/>
    <w:rsid w:val="000139A3"/>
    <w:rsid w:val="000237A8"/>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2D5F"/>
    <w:rsid w:val="00407037"/>
    <w:rsid w:val="00454666"/>
    <w:rsid w:val="004605D6"/>
    <w:rsid w:val="004605EA"/>
    <w:rsid w:val="00465711"/>
    <w:rsid w:val="004B4A46"/>
    <w:rsid w:val="004C60E8"/>
    <w:rsid w:val="004E3579"/>
    <w:rsid w:val="004E728B"/>
    <w:rsid w:val="004F39E0"/>
    <w:rsid w:val="00537BD5"/>
    <w:rsid w:val="00546DA6"/>
    <w:rsid w:val="0057268A"/>
    <w:rsid w:val="005C77B5"/>
    <w:rsid w:val="005D2912"/>
    <w:rsid w:val="006065BD"/>
    <w:rsid w:val="00625B7C"/>
    <w:rsid w:val="00645FA9"/>
    <w:rsid w:val="00647866"/>
    <w:rsid w:val="006613D2"/>
    <w:rsid w:val="00665003"/>
    <w:rsid w:val="0068004C"/>
    <w:rsid w:val="00685AAB"/>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C4E1D"/>
    <w:rsid w:val="009D2EAD"/>
    <w:rsid w:val="009D54B2"/>
    <w:rsid w:val="009E1922"/>
    <w:rsid w:val="009F7ED2"/>
    <w:rsid w:val="00A93661"/>
    <w:rsid w:val="00A95652"/>
    <w:rsid w:val="00AC0AB8"/>
    <w:rsid w:val="00AC5D4E"/>
    <w:rsid w:val="00AD5190"/>
    <w:rsid w:val="00AF4162"/>
    <w:rsid w:val="00B33C6D"/>
    <w:rsid w:val="00B4508F"/>
    <w:rsid w:val="00B55AD5"/>
    <w:rsid w:val="00B8057C"/>
    <w:rsid w:val="00BD4D81"/>
    <w:rsid w:val="00BD6238"/>
    <w:rsid w:val="00BE33A6"/>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DD0B00"/>
    <w:rsid w:val="00E00C0C"/>
    <w:rsid w:val="00E107EC"/>
    <w:rsid w:val="00E15E75"/>
    <w:rsid w:val="00E5262C"/>
    <w:rsid w:val="00EC7DC4"/>
    <w:rsid w:val="00ED30CF"/>
    <w:rsid w:val="00F176EF"/>
    <w:rsid w:val="00F20D36"/>
    <w:rsid w:val="00F45E10"/>
    <w:rsid w:val="00F6364A"/>
    <w:rsid w:val="00F9113A"/>
    <w:rsid w:val="00FB4568"/>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3644"/>
  <w15:chartTrackingRefBased/>
  <w15:docId w15:val="{ED5EFC71-A493-4487-845C-76A91DEA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4E1D"/>
    <w:rPr>
      <w:rFonts w:ascii="Arial" w:hAnsi="Arial" w:cs="Arial"/>
      <w:sz w:val="24"/>
    </w:rPr>
  </w:style>
  <w:style w:type="paragraph" w:styleId="Heading1">
    <w:name w:val="heading 1"/>
    <w:aliases w:val="Pocket"/>
    <w:basedOn w:val="Normal"/>
    <w:next w:val="Normal"/>
    <w:link w:val="Heading1Char"/>
    <w:qFormat/>
    <w:rsid w:val="009C4E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4E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4E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9C4E1D"/>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9C4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E1D"/>
  </w:style>
  <w:style w:type="character" w:customStyle="1" w:styleId="Heading1Char">
    <w:name w:val="Heading 1 Char"/>
    <w:aliases w:val="Pocket Char"/>
    <w:basedOn w:val="DefaultParagraphFont"/>
    <w:link w:val="Heading1"/>
    <w:rsid w:val="009C4E1D"/>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C4E1D"/>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9C4E1D"/>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9C4E1D"/>
    <w:rPr>
      <w:rFonts w:ascii="Arial" w:eastAsiaTheme="majorEastAsia" w:hAnsi="Arial" w:cstheme="majorBidi"/>
      <w:b/>
      <w:iCs/>
      <w:sz w:val="24"/>
    </w:rPr>
  </w:style>
  <w:style w:type="character" w:styleId="Emphasis">
    <w:name w:val="Emphasis"/>
    <w:basedOn w:val="DefaultParagraphFont"/>
    <w:uiPriority w:val="7"/>
    <w:qFormat/>
    <w:rsid w:val="009C4E1D"/>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4E1D"/>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C4E1D"/>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C4E1D"/>
    <w:rPr>
      <w:color w:val="auto"/>
      <w:u w:val="none"/>
    </w:rPr>
  </w:style>
  <w:style w:type="character" w:styleId="FollowedHyperlink">
    <w:name w:val="FollowedHyperlink"/>
    <w:basedOn w:val="DefaultParagraphFont"/>
    <w:uiPriority w:val="99"/>
    <w:semiHidden/>
    <w:unhideWhenUsed/>
    <w:rsid w:val="009C4E1D"/>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613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BD4D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do/10.1017/S1537592716000049" TargetMode="External"/><Relationship Id="rId3" Type="http://schemas.openxmlformats.org/officeDocument/2006/relationships/styles" Target="styles.xml"/><Relationship Id="rId7" Type="http://schemas.openxmlformats.org/officeDocument/2006/relationships/hyperlink" Target="https://www.merriam-webster.com/dictionary/ough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eechanddebate.org/wp-content/uploads/High-School-Unified-Manual-2021-2022.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courses.lumenlearning.com/sanjacinto-philosophy/chapter/kantian-ethics-main-concep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124</TotalTime>
  <Pages>1</Pages>
  <Words>2495</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7</cp:revision>
  <dcterms:created xsi:type="dcterms:W3CDTF">2021-11-20T14:35:00Z</dcterms:created>
  <dcterms:modified xsi:type="dcterms:W3CDTF">2021-11-21T20:12:00Z</dcterms:modified>
</cp:coreProperties>
</file>