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AA0E7" w14:textId="0E731F75" w:rsidR="00C415D5" w:rsidRDefault="00C415D5" w:rsidP="00C415D5">
      <w:pPr>
        <w:pStyle w:val="Heading1"/>
      </w:pPr>
      <w:r>
        <w:t>1NC</w:t>
      </w:r>
    </w:p>
    <w:p w14:paraId="70EDEC0B" w14:textId="77777777" w:rsidR="00A91547" w:rsidRDefault="00A91547" w:rsidP="00A91547">
      <w:pPr>
        <w:pStyle w:val="Heading2"/>
      </w:pPr>
      <w:r>
        <w:t>1 – T</w:t>
      </w:r>
    </w:p>
    <w:p w14:paraId="7285620C" w14:textId="77777777" w:rsidR="00A91547" w:rsidRDefault="00A91547" w:rsidP="00A91547">
      <w:pPr>
        <w:pStyle w:val="Heading4"/>
      </w:pPr>
      <w:r>
        <w:t>Interpretation: The affirmative debater must defend that a just government ought to recognize an unconditional right of workers to strike.</w:t>
      </w:r>
    </w:p>
    <w:p w14:paraId="020F5089" w14:textId="77777777" w:rsidR="00A91547" w:rsidRDefault="00A91547" w:rsidP="00A91547">
      <w:pPr>
        <w:pStyle w:val="Heading4"/>
      </w:pPr>
      <w:r>
        <w:t>Violation: They defended the Chinese government, which is unjust.</w:t>
      </w:r>
    </w:p>
    <w:p w14:paraId="20915A15" w14:textId="77777777" w:rsidR="00A91547" w:rsidRPr="001437D0" w:rsidRDefault="00A91547" w:rsidP="00A91547">
      <w:pPr>
        <w:rPr>
          <w:sz w:val="16"/>
        </w:rPr>
      </w:pPr>
      <w:r w:rsidRPr="001437D0">
        <w:rPr>
          <w:rStyle w:val="Style13ptBold"/>
        </w:rPr>
        <w:t>Human Rights Watch 21</w:t>
      </w:r>
      <w:r>
        <w:t xml:space="preserve"> </w:t>
      </w:r>
      <w:r w:rsidRPr="001437D0">
        <w:rPr>
          <w:sz w:val="16"/>
        </w:rPr>
        <w:t>Human Rights Watch, "China: Crimes Against Humanity in Xinjiang," 19 April 2021, Human Rights Watch accessed 6 November 2021, https://www.hrw.org/news/2021/04/19/china-crimes-against-humanity-xinjiang</w:t>
      </w:r>
    </w:p>
    <w:p w14:paraId="0339A7F5" w14:textId="77777777" w:rsidR="00A91547" w:rsidRPr="001437D0" w:rsidRDefault="00A91547" w:rsidP="00A91547">
      <w:pPr>
        <w:rPr>
          <w:sz w:val="16"/>
        </w:rPr>
      </w:pPr>
      <w:r w:rsidRPr="001437D0">
        <w:rPr>
          <w:sz w:val="16"/>
        </w:rPr>
        <w:t xml:space="preserve">(New York) – </w:t>
      </w:r>
      <w:r w:rsidRPr="001437D0">
        <w:rPr>
          <w:rStyle w:val="StyleUnderline"/>
          <w:highlight w:val="cyan"/>
        </w:rPr>
        <w:t>The Chinese government is committing crimes against</w:t>
      </w:r>
      <w:r w:rsidRPr="001437D0">
        <w:rPr>
          <w:rStyle w:val="StyleUnderline"/>
        </w:rPr>
        <w:t xml:space="preserve"> humanity against </w:t>
      </w:r>
      <w:r w:rsidRPr="001437D0">
        <w:rPr>
          <w:rStyle w:val="StyleUnderline"/>
          <w:highlight w:val="cyan"/>
        </w:rPr>
        <w:t>Uyghurs</w:t>
      </w:r>
      <w:r w:rsidRPr="001437D0">
        <w:rPr>
          <w:rStyle w:val="StyleUnderline"/>
        </w:rPr>
        <w:t xml:space="preserve"> and other Turkic Muslims </w:t>
      </w:r>
      <w:r w:rsidRPr="001437D0">
        <w:rPr>
          <w:rStyle w:val="StyleUnderline"/>
          <w:highlight w:val="cyan"/>
        </w:rPr>
        <w:t>in</w:t>
      </w:r>
      <w:r w:rsidRPr="001437D0">
        <w:rPr>
          <w:rStyle w:val="StyleUnderline"/>
        </w:rPr>
        <w:t xml:space="preserve"> the northwest region of </w:t>
      </w:r>
      <w:r w:rsidRPr="001437D0">
        <w:rPr>
          <w:rStyle w:val="StyleUnderline"/>
          <w:highlight w:val="cyan"/>
        </w:rPr>
        <w:t>Xinjiang</w:t>
      </w:r>
      <w:r w:rsidRPr="001437D0">
        <w:rPr>
          <w:rStyle w:val="StyleUnderline"/>
        </w:rPr>
        <w:t xml:space="preserve">, Human Rights Watch said in a report released today. The Chinese </w:t>
      </w:r>
      <w:r w:rsidRPr="001437D0">
        <w:rPr>
          <w:rStyle w:val="StyleUnderline"/>
          <w:highlight w:val="cyan"/>
        </w:rPr>
        <w:t>leadership is responsible for</w:t>
      </w:r>
      <w:r w:rsidRPr="001437D0">
        <w:rPr>
          <w:rStyle w:val="StyleUnderline"/>
        </w:rPr>
        <w:t xml:space="preserve"> widespread and </w:t>
      </w:r>
      <w:r w:rsidRPr="001437D0">
        <w:rPr>
          <w:rStyle w:val="StyleUnderline"/>
          <w:highlight w:val="cyan"/>
        </w:rPr>
        <w:t>systematic policies of mass detention, torture, and</w:t>
      </w:r>
      <w:r w:rsidRPr="001437D0">
        <w:rPr>
          <w:rStyle w:val="StyleUnderline"/>
        </w:rPr>
        <w:t xml:space="preserve"> cultural </w:t>
      </w:r>
      <w:r w:rsidRPr="001437D0">
        <w:rPr>
          <w:rStyle w:val="StyleUnderline"/>
          <w:highlight w:val="cyan"/>
        </w:rPr>
        <w:t>persecution</w:t>
      </w:r>
      <w:r w:rsidRPr="001437D0">
        <w:rPr>
          <w:rStyle w:val="StyleUnderline"/>
        </w:rPr>
        <w:t>, among other offenses.</w:t>
      </w:r>
      <w:r w:rsidRPr="001437D0">
        <w:rPr>
          <w:sz w:val="16"/>
        </w:rPr>
        <w:t xml:space="preserve"> Coordinated international action is needed to sanction those responsible, advance accountability, and press the Chinese government to reverse course.</w:t>
      </w:r>
    </w:p>
    <w:p w14:paraId="55ED21B1" w14:textId="77777777" w:rsidR="00A91547" w:rsidRDefault="00A91547" w:rsidP="00A91547">
      <w:pPr>
        <w:pStyle w:val="Heading4"/>
      </w:pPr>
      <w:r>
        <w:t>Standards:</w:t>
      </w:r>
    </w:p>
    <w:p w14:paraId="05326C48" w14:textId="77777777" w:rsidR="00A91547" w:rsidRDefault="00A91547" w:rsidP="00A91547">
      <w:pPr>
        <w:pStyle w:val="Heading4"/>
      </w:pPr>
      <w:r>
        <w:t xml:space="preserve">[1] Precision – The counter-interp justifies arbitrarily doing away with words in the res, which </w:t>
      </w:r>
      <w:r w:rsidRPr="005F3BCD">
        <w:t>decks neg ground and prep because the aff is no longer</w:t>
      </w:r>
      <w:r>
        <w:t xml:space="preserve"> bounded to a topical advocacy</w:t>
      </w:r>
      <w:r w:rsidRPr="005F3BCD">
        <w:t>.</w:t>
      </w:r>
      <w:r>
        <w:t xml:space="preserve"> The judge doesn’t have the jurisdiction to vote aff if there wasn’t a legitimate aff.</w:t>
      </w:r>
    </w:p>
    <w:p w14:paraId="7A70BCA0" w14:textId="77777777" w:rsidR="00A91547" w:rsidRDefault="00A91547" w:rsidP="00A91547">
      <w:pPr>
        <w:pStyle w:val="Heading4"/>
      </w:pPr>
      <w:r>
        <w:rPr>
          <w:rFonts w:cs="Calibri"/>
        </w:rPr>
        <w:t>[2] Limits and ground</w:t>
      </w:r>
      <w:r>
        <w:t xml:space="preserve"> – They can literally defend anything, which explodes my prep burden because there are infinite potential affs. Uniquely harms small school debaters who are incapable of cutting large backfiles which harms inclusion – that’s a voter since we </w:t>
      </w:r>
      <w:proofErr w:type="gramStart"/>
      <w:r>
        <w:t>have to</w:t>
      </w:r>
      <w:proofErr w:type="gramEnd"/>
      <w:r>
        <w:t xml:space="preserve"> make the debate space safe, and it’s a pre-requisite to debate.</w:t>
      </w:r>
    </w:p>
    <w:p w14:paraId="52014859" w14:textId="77777777" w:rsidR="00A91547" w:rsidRPr="00D66092" w:rsidRDefault="00A91547" w:rsidP="00A91547">
      <w:pPr>
        <w:pStyle w:val="Heading4"/>
      </w:pPr>
      <w:r>
        <w:t xml:space="preserve">[3] Inclusion – defending China as just is exclusionary to those who suffer from its violence – they try to hide authoritarianism </w:t>
      </w:r>
      <w:proofErr w:type="gramStart"/>
      <w:r>
        <w:t>in spite of</w:t>
      </w:r>
      <w:proofErr w:type="gramEnd"/>
      <w:r>
        <w:t xml:space="preserve"> clear systemic oppression. [Extemp] that comes first bc prereq to debate, </w:t>
      </w:r>
      <w:proofErr w:type="gramStart"/>
      <w:r>
        <w:t>cant</w:t>
      </w:r>
      <w:proofErr w:type="gramEnd"/>
      <w:r>
        <w:t xml:space="preserve"> access </w:t>
      </w:r>
      <w:proofErr w:type="spellStart"/>
      <w:r>
        <w:t>fairenss</w:t>
      </w:r>
      <w:proofErr w:type="spellEnd"/>
    </w:p>
    <w:p w14:paraId="164172D9" w14:textId="77777777" w:rsidR="00A91547" w:rsidRDefault="00A91547" w:rsidP="00A91547">
      <w:pPr>
        <w:pStyle w:val="Heading4"/>
      </w:pPr>
      <w:r>
        <w:t>TVA: use ideal theory – a) promotes philosophical clash unique to LD whereas we can debate policy in any other instance, b) solves their offense because they can argue these problems exist with a just government.</w:t>
      </w:r>
    </w:p>
    <w:p w14:paraId="67DFB39D" w14:textId="77777777" w:rsidR="00A91547" w:rsidRPr="00081F99" w:rsidRDefault="00A91547" w:rsidP="00A91547">
      <w:pPr>
        <w:pStyle w:val="Heading4"/>
      </w:pPr>
      <w:r>
        <w:t>Voters:</w:t>
      </w:r>
    </w:p>
    <w:p w14:paraId="0BFA8480" w14:textId="77777777" w:rsidR="00A91547" w:rsidRPr="005D5A6E" w:rsidRDefault="00A91547" w:rsidP="00A91547">
      <w:pPr>
        <w:pStyle w:val="Heading4"/>
      </w:pPr>
      <w:r w:rsidRPr="005D5A6E">
        <w:t>Fairness</w:t>
      </w:r>
      <w:r>
        <w:t xml:space="preserve"> </w:t>
      </w:r>
      <w:r w:rsidRPr="005D5A6E">
        <w:t xml:space="preserve">– a) </w:t>
      </w:r>
      <w:r>
        <w:t>d</w:t>
      </w:r>
      <w:r w:rsidRPr="005D5A6E">
        <w:t xml:space="preserve">ebate is a competitive activity that objective evaluation to function, and b) </w:t>
      </w:r>
      <w:r>
        <w:t>d</w:t>
      </w:r>
      <w:r w:rsidRPr="005D5A6E">
        <w:t>ebaters quit if it’s unfair</w:t>
      </w:r>
      <w:r>
        <w:t>, which makes it an internal link to all other impacts.</w:t>
      </w:r>
    </w:p>
    <w:p w14:paraId="24B9DCA5" w14:textId="77777777" w:rsidR="00A91547" w:rsidRDefault="00A91547" w:rsidP="00A91547">
      <w:pPr>
        <w:pStyle w:val="Heading4"/>
      </w:pPr>
      <w:r>
        <w:t>DTD – a) deters future abuse so they won’t reviolate, and b) T indicts the entire aff.</w:t>
      </w:r>
    </w:p>
    <w:p w14:paraId="09527DFC" w14:textId="77777777" w:rsidR="00A91547" w:rsidRPr="005501E0" w:rsidRDefault="00A91547" w:rsidP="00A91547">
      <w:pPr>
        <w:pStyle w:val="Heading4"/>
        <w:rPr>
          <w:lang w:val="en"/>
        </w:rPr>
      </w:pPr>
      <w:r>
        <w:rPr>
          <w:lang w:val="en"/>
        </w:rPr>
        <w:t>Prefer competing interps – a) you can’t be “reasonably topical,” b) reasonability is arbitrary, and c) collapses because brightlines concede offense-defense paradigm.</w:t>
      </w:r>
    </w:p>
    <w:p w14:paraId="3CB7F06F" w14:textId="77777777" w:rsidR="00A91547" w:rsidRDefault="00A91547" w:rsidP="00A91547">
      <w:pPr>
        <w:pStyle w:val="Heading4"/>
        <w:rPr>
          <w:lang w:val="en"/>
        </w:rPr>
      </w:pPr>
      <w:r>
        <w:rPr>
          <w:lang w:val="en"/>
        </w:rPr>
        <w:t>No RVIs – a) you don’t win for being fair, b) people will bait theory to win on the RVI, which causes abuse, c) people will be scared to call out real abuse for fear of being out-teched on the RVI, and d) norming – I can’t concede the counterinterp if I realize I’m wrong, which forces me to argue for bad norms.</w:t>
      </w:r>
    </w:p>
    <w:p w14:paraId="585526F5" w14:textId="1B8C791F" w:rsidR="00C415D5" w:rsidRDefault="00C415D5" w:rsidP="00C415D5">
      <w:pPr>
        <w:pStyle w:val="Heading2"/>
      </w:pPr>
      <w:r>
        <w:t>2 - Korsgaard</w:t>
      </w:r>
    </w:p>
    <w:p w14:paraId="1A2DF942" w14:textId="3966104F" w:rsidR="00C415D5" w:rsidRDefault="00C415D5" w:rsidP="00C415D5">
      <w:pPr>
        <w:pStyle w:val="Heading4"/>
      </w:pPr>
      <w:r>
        <w:t>I negate, resolved: A just government ought to recognize an unconditional right of workers to strike.</w:t>
      </w:r>
    </w:p>
    <w:p w14:paraId="0179146A" w14:textId="4AFE55CA" w:rsidR="00C415D5" w:rsidRDefault="00C415D5" w:rsidP="00C415D5">
      <w:pPr>
        <w:pStyle w:val="Heading3"/>
      </w:pPr>
      <w:r>
        <w:t>Framework</w:t>
      </w:r>
    </w:p>
    <w:p w14:paraId="48B306BB" w14:textId="3BDF52D2"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17160190"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[1] Is-ought gap – we only perceive what is, not what ought to be. It’s impossible to derive prescriptive obligation from descriptive premises.</w:t>
      </w:r>
    </w:p>
    <w:p w14:paraId="4246ABAF" w14:textId="77777777" w:rsidR="00C415D5" w:rsidRPr="005449FE" w:rsidRDefault="00C415D5" w:rsidP="00C415D5">
      <w:pPr>
        <w:keepNext/>
        <w:keepLines/>
        <w:spacing w:before="40" w:after="0" w:line="256" w:lineRule="auto"/>
        <w:outlineLvl w:val="3"/>
        <w:rPr>
          <w:rFonts w:eastAsia="SimSun" w:cs="Calibri"/>
          <w:b/>
          <w:iCs/>
        </w:rPr>
      </w:pPr>
      <w:r w:rsidRPr="005449FE">
        <w:rPr>
          <w:rFonts w:eastAsia="SimSun" w:cs="Calibri"/>
          <w:b/>
          <w:iCs/>
        </w:rPr>
        <w:t xml:space="preserve">[2] Transcendental idealism – we see our representations of reality – only a priori knowledge is a lane to truth. If we remove the subject, constitution </w:t>
      </w:r>
      <w:proofErr w:type="gramStart"/>
      <w:r w:rsidRPr="005449FE">
        <w:rPr>
          <w:rFonts w:eastAsia="SimSun" w:cs="Calibri"/>
          <w:b/>
          <w:iCs/>
        </w:rPr>
        <w:t>would</w:t>
      </w:r>
      <w:proofErr w:type="gramEnd"/>
      <w:r w:rsidRPr="005449FE">
        <w:rPr>
          <w:rFonts w:eastAsia="SimSun" w:cs="Calibri"/>
          <w:b/>
          <w:iCs/>
        </w:rPr>
        <w:t xml:space="preserve"> disappear as objects exist only in us and are unknown abstracted from sensibility.</w:t>
      </w:r>
    </w:p>
    <w:p w14:paraId="2C351F29"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[3] Uncertainty – a posteriori ethics is subject to uncertainty. We could be dreaming, hallucinating, or being deceived by an evil demon. Infinitely outweighs because it would be escapable and therefore pointless.</w:t>
      </w:r>
    </w:p>
    <w:p w14:paraId="0CF91F6B"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4C371633"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785B838E"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[2] Bindingness – experience is subjective; only practical reason unifies and creates a moral theory.</w:t>
      </w:r>
    </w:p>
    <w:p w14:paraId="69D2E767"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5B044E55"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[4] Infinite regress – we can always ask “why should I follow this framework,” leading to infinite regress, but asking for a reason for reason concedes its authority. Only self-justified frameworks are epistemically sound.</w:t>
      </w:r>
    </w:p>
    <w:p w14:paraId="4F3DECA4"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[5] Knowledge interpretation – only reason can interpret a priori knowledge since it relies on abstract concepts.</w:t>
      </w:r>
    </w:p>
    <w:p w14:paraId="15AC40A6"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That entails universal maxims.</w:t>
      </w:r>
    </w:p>
    <w:p w14:paraId="0C38D775"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[1] Arbitrariness – absent universal ethics, morality is arbitrary and can’t guide action, making it useless.</w:t>
      </w:r>
    </w:p>
    <w:p w14:paraId="7BAE4AFD" w14:textId="77777777" w:rsidR="00C415D5" w:rsidRPr="005449FE" w:rsidRDefault="00C415D5" w:rsidP="00C415D5">
      <w:pPr>
        <w:keepNext/>
        <w:keepLines/>
        <w:tabs>
          <w:tab w:val="left" w:pos="10043"/>
        </w:tabs>
        <w:spacing w:before="40" w:after="0"/>
        <w:outlineLvl w:val="3"/>
        <w:rPr>
          <w:rFonts w:eastAsiaTheme="majorEastAsia" w:cstheme="majorBidi"/>
          <w:b/>
          <w:iCs/>
        </w:rPr>
      </w:pPr>
      <w:r w:rsidRPr="005449FE">
        <w:rPr>
          <w:rFonts w:eastAsiaTheme="majorEastAsia" w:cstheme="majorBidi"/>
          <w:b/>
          <w:iCs/>
        </w:rPr>
        <w:t xml:space="preserve">[2] </w:t>
      </w:r>
      <w:proofErr w:type="gramStart"/>
      <w:r w:rsidRPr="005449FE">
        <w:rPr>
          <w:rFonts w:eastAsiaTheme="majorEastAsia" w:cstheme="majorBidi"/>
          <w:b/>
          <w:iCs/>
        </w:rPr>
        <w:t>Non-contradiction</w:t>
      </w:r>
      <w:proofErr w:type="gramEnd"/>
      <w:r w:rsidRPr="005449FE">
        <w:rPr>
          <w:rFonts w:eastAsiaTheme="majorEastAsia" w:cstheme="majorBidi"/>
          <w:b/>
          <w:iCs/>
        </w:rPr>
        <w:t xml:space="preserve"> – there is no world in which p and ~p are both true. Acting recognizes the validity of others to take the action, which makes universal maxims a logical side constraint to other frameworks.</w:t>
      </w:r>
    </w:p>
    <w:p w14:paraId="687FC18C"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[3] Reason implies universalizability.</w:t>
      </w:r>
    </w:p>
    <w:p w14:paraId="0830F898" w14:textId="77777777" w:rsidR="00C415D5" w:rsidRPr="005449FE" w:rsidRDefault="00C415D5" w:rsidP="00C415D5">
      <w:pPr>
        <w:rPr>
          <w:b/>
          <w:bCs/>
        </w:rPr>
      </w:pPr>
      <w:r w:rsidRPr="005449FE">
        <w:rPr>
          <w:rStyle w:val="Style13ptBold"/>
        </w:rPr>
        <w:t>Korsgaard 85</w:t>
      </w:r>
      <w:r w:rsidRPr="005449F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59BDA5CD" w14:textId="77777777" w:rsidR="00C415D5" w:rsidRPr="005449FE" w:rsidRDefault="00C415D5" w:rsidP="00C415D5">
      <w:pPr>
        <w:rPr>
          <w:b/>
          <w:u w:val="single"/>
        </w:rPr>
      </w:pPr>
      <w:r w:rsidRPr="005449F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5449FE">
        <w:rPr>
          <w:b/>
          <w:u w:val="single"/>
        </w:rPr>
        <w:t xml:space="preserve">Since </w:t>
      </w:r>
      <w:r w:rsidRPr="005449FE">
        <w:rPr>
          <w:b/>
          <w:highlight w:val="cyan"/>
          <w:u w:val="single"/>
        </w:rPr>
        <w:t>the will is</w:t>
      </w:r>
      <w:r w:rsidRPr="005449FE">
        <w:rPr>
          <w:b/>
          <w:u w:val="single"/>
        </w:rPr>
        <w:t xml:space="preserve"> practical </w:t>
      </w:r>
      <w:r w:rsidRPr="005449FE">
        <w:rPr>
          <w:b/>
          <w:highlight w:val="cyan"/>
          <w:u w:val="single"/>
        </w:rPr>
        <w:t>reason, and</w:t>
      </w:r>
      <w:r w:rsidRPr="005449FE">
        <w:rPr>
          <w:b/>
          <w:u w:val="single"/>
        </w:rPr>
        <w:t xml:space="preserve"> since </w:t>
      </w:r>
      <w:r w:rsidRPr="005449FE">
        <w:rPr>
          <w:b/>
          <w:highlight w:val="cyan"/>
          <w:u w:val="single"/>
        </w:rPr>
        <w:t>everyone must arrive at the same conclusions in</w:t>
      </w:r>
      <w:r w:rsidRPr="005449FE">
        <w:rPr>
          <w:b/>
          <w:u w:val="single"/>
        </w:rPr>
        <w:t xml:space="preserve"> matters of </w:t>
      </w:r>
      <w:r w:rsidRPr="005449FE">
        <w:rPr>
          <w:b/>
          <w:highlight w:val="cyan"/>
          <w:u w:val="single"/>
        </w:rPr>
        <w:t>duty</w:t>
      </w:r>
      <w:r w:rsidRPr="005449FE">
        <w:rPr>
          <w:b/>
          <w:u w:val="single"/>
        </w:rPr>
        <w:t xml:space="preserve">, </w:t>
      </w:r>
      <w:r w:rsidRPr="005449FE">
        <w:rPr>
          <w:b/>
          <w:highlight w:val="cyan"/>
          <w:u w:val="single"/>
        </w:rPr>
        <w:t>it cannot be</w:t>
      </w:r>
      <w:r w:rsidRPr="005449FE">
        <w:rPr>
          <w:b/>
          <w:u w:val="single"/>
        </w:rPr>
        <w:t xml:space="preserve"> the case </w:t>
      </w:r>
      <w:r w:rsidRPr="005449FE">
        <w:rPr>
          <w:b/>
          <w:highlight w:val="cyan"/>
          <w:u w:val="single"/>
        </w:rPr>
        <w:t>that</w:t>
      </w:r>
      <w:r w:rsidRPr="005449FE">
        <w:rPr>
          <w:b/>
          <w:u w:val="single"/>
        </w:rPr>
        <w:t xml:space="preserve"> what you are able to </w:t>
      </w:r>
      <w:r w:rsidRPr="005449FE">
        <w:rPr>
          <w:b/>
          <w:highlight w:val="cyan"/>
          <w:u w:val="single"/>
        </w:rPr>
        <w:t>will is</w:t>
      </w:r>
      <w:r w:rsidRPr="005449FE">
        <w:rPr>
          <w:b/>
          <w:u w:val="single"/>
        </w:rPr>
        <w:t xml:space="preserve"> a matter of personal taste, or relative to your </w:t>
      </w:r>
      <w:r w:rsidRPr="005449FE">
        <w:rPr>
          <w:b/>
          <w:highlight w:val="cyan"/>
          <w:u w:val="single"/>
        </w:rPr>
        <w:t>individual desire</w:t>
      </w:r>
      <w:r w:rsidRPr="005449FE">
        <w:rPr>
          <w:b/>
          <w:u w:val="single"/>
        </w:rPr>
        <w:t xml:space="preserve">s. Rather, </w:t>
      </w:r>
      <w:r w:rsidRPr="005449FE">
        <w:rPr>
          <w:b/>
          <w:highlight w:val="cyan"/>
          <w:u w:val="single"/>
        </w:rPr>
        <w:t>the question</w:t>
      </w:r>
      <w:r w:rsidRPr="005449FE">
        <w:rPr>
          <w:b/>
          <w:u w:val="single"/>
        </w:rPr>
        <w:t xml:space="preserve"> of what you </w:t>
      </w:r>
      <w:proofErr w:type="gramStart"/>
      <w:r w:rsidRPr="005449FE">
        <w:rPr>
          <w:b/>
          <w:u w:val="single"/>
        </w:rPr>
        <w:t>can will</w:t>
      </w:r>
      <w:proofErr w:type="gramEnd"/>
      <w:r w:rsidRPr="005449FE">
        <w:rPr>
          <w:b/>
          <w:u w:val="single"/>
        </w:rPr>
        <w:t xml:space="preserve"> </w:t>
      </w:r>
      <w:r w:rsidRPr="005449FE">
        <w:rPr>
          <w:b/>
          <w:highlight w:val="cyan"/>
          <w:u w:val="single"/>
        </w:rPr>
        <w:t>is</w:t>
      </w:r>
      <w:r w:rsidRPr="005449FE">
        <w:rPr>
          <w:b/>
          <w:u w:val="single"/>
        </w:rPr>
        <w:t xml:space="preserve"> a question of </w:t>
      </w:r>
      <w:r w:rsidRPr="005449FE">
        <w:rPr>
          <w:b/>
          <w:highlight w:val="cyan"/>
          <w:u w:val="single"/>
        </w:rPr>
        <w:t>what you can will without contradiction.</w:t>
      </w:r>
    </w:p>
    <w:p w14:paraId="5B8E875B" w14:textId="77777777" w:rsidR="00C415D5" w:rsidRPr="005449FE" w:rsidRDefault="00C415D5" w:rsidP="00C415D5">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05EB9EC1" w14:textId="77777777" w:rsidR="00C415D5" w:rsidRPr="005449FE" w:rsidRDefault="00C415D5" w:rsidP="00C415D5">
      <w:pPr>
        <w:keepNext/>
        <w:keepLines/>
        <w:spacing w:before="40" w:after="0" w:line="256" w:lineRule="auto"/>
        <w:outlineLvl w:val="3"/>
        <w:rPr>
          <w:rFonts w:eastAsia="SimSun"/>
          <w:b/>
          <w:iCs/>
        </w:rPr>
      </w:pPr>
      <w:r w:rsidRPr="005449FE">
        <w:rPr>
          <w:rFonts w:eastAsia="SimSun"/>
          <w:b/>
          <w:iCs/>
        </w:rPr>
        <w:t>Prefer additionally:</w:t>
      </w:r>
    </w:p>
    <w:p w14:paraId="3B360CC8" w14:textId="77777777" w:rsidR="00C415D5" w:rsidRPr="005449FE" w:rsidRDefault="00C415D5" w:rsidP="00C415D5">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 making it incoherent to justify a standard without willing ours.</w:t>
      </w:r>
    </w:p>
    <w:p w14:paraId="2395371D" w14:textId="77777777" w:rsidR="00C415D5" w:rsidRPr="005449FE" w:rsidRDefault="00C415D5" w:rsidP="00C415D5">
      <w:pPr>
        <w:keepNext/>
        <w:keepLines/>
        <w:spacing w:before="40" w:after="0"/>
        <w:outlineLvl w:val="3"/>
        <w:rPr>
          <w:rFonts w:eastAsiaTheme="majorEastAsia" w:cstheme="majorBidi"/>
          <w:b/>
          <w:iCs/>
        </w:rPr>
      </w:pPr>
      <w:r w:rsidRPr="005449FE">
        <w:rPr>
          <w:rFonts w:eastAsiaTheme="majorEastAsia" w:cstheme="majorBidi"/>
          <w:b/>
          <w:iCs/>
        </w:rPr>
        <w:t>[2] Other frameworks collapse – they contain conditional obligations which derive authority from the categorical imperative.</w:t>
      </w:r>
    </w:p>
    <w:p w14:paraId="2E7020F0" w14:textId="77777777" w:rsidR="00C415D5" w:rsidRPr="005449FE" w:rsidRDefault="00C415D5" w:rsidP="00C415D5">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1EAC6304" w14:textId="77777777" w:rsidR="00C415D5" w:rsidRDefault="00C415D5" w:rsidP="00C415D5">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 those principles</w:t>
      </w:r>
      <w:r w:rsidRPr="005449FE">
        <w:rPr>
          <w:sz w:val="16"/>
        </w:rPr>
        <w:t>, principles which are themselves laws. Kant continues:</w:t>
      </w:r>
    </w:p>
    <w:p w14:paraId="565F6366" w14:textId="76D11080" w:rsidR="00C415D5" w:rsidRDefault="00C415D5" w:rsidP="00C415D5">
      <w:pPr>
        <w:pStyle w:val="Heading4"/>
      </w:pPr>
      <w:r>
        <w:t>[3] Resource disparities – focus on evidence and statistics puts small school debaters without huge files at a disadvantage, but my framework can be won without prep, which means it’s theoretically preferable.</w:t>
      </w:r>
    </w:p>
    <w:p w14:paraId="4EE459AC" w14:textId="77777777" w:rsidR="00D718C1" w:rsidRDefault="00D718C1" w:rsidP="00D718C1">
      <w:pPr>
        <w:pStyle w:val="Heading4"/>
      </w:pPr>
      <w:r>
        <w:t>Permissibility negates:</w:t>
      </w:r>
    </w:p>
    <w:p w14:paraId="2950FF4A" w14:textId="77777777" w:rsidR="00D718C1" w:rsidRDefault="00D718C1" w:rsidP="00D718C1">
      <w:pPr>
        <w:pStyle w:val="Heading4"/>
      </w:pPr>
      <w:r>
        <w:t xml:space="preserve">[1] The </w:t>
      </w:r>
      <w:r w:rsidRPr="005933A5">
        <w:t xml:space="preserve">res says </w:t>
      </w:r>
      <w:r>
        <w:t>they</w:t>
      </w:r>
      <w:r w:rsidRPr="005933A5">
        <w:t xml:space="preserve"> </w:t>
      </w:r>
      <w:proofErr w:type="gramStart"/>
      <w:r w:rsidRPr="005933A5">
        <w:t>have to</w:t>
      </w:r>
      <w:proofErr w:type="gramEnd"/>
      <w:r w:rsidRPr="005933A5">
        <w:t xml:space="preserve"> prove obligation</w:t>
      </w:r>
      <w:r>
        <w:t>. Permissibility is sufficient to negate because y</w:t>
      </w:r>
      <w:r w:rsidRPr="005933A5">
        <w:t>ou can</w:t>
      </w:r>
      <w:r>
        <w:t>’</w:t>
      </w:r>
      <w:r w:rsidRPr="005933A5">
        <w:t>t be obligated and lack an obligation simultaneously</w:t>
      </w:r>
      <w:r>
        <w:t>.</w:t>
      </w:r>
    </w:p>
    <w:p w14:paraId="235E91A0" w14:textId="77777777" w:rsidR="00D718C1" w:rsidRDefault="00D718C1" w:rsidP="00D718C1">
      <w:pPr>
        <w:pStyle w:val="Heading4"/>
      </w:pPr>
      <w:r>
        <w:t>[2] Moral statements are more often false than true since I can prove something false in infinite ways but true in only one.</w:t>
      </w:r>
    </w:p>
    <w:p w14:paraId="24751CD1" w14:textId="77777777" w:rsidR="00C415D5" w:rsidRDefault="00C415D5" w:rsidP="00C415D5">
      <w:pPr>
        <w:pStyle w:val="Heading3"/>
      </w:pPr>
      <w:r>
        <w:t>Offense</w:t>
      </w:r>
    </w:p>
    <w:p w14:paraId="5671AD16" w14:textId="77777777" w:rsidR="00C415D5" w:rsidRPr="00457A2B" w:rsidRDefault="00C415D5" w:rsidP="00C415D5">
      <w:pPr>
        <w:pStyle w:val="Heading4"/>
        <w:rPr>
          <w:rStyle w:val="Style13ptBold"/>
          <w:b/>
          <w:bCs w:val="0"/>
          <w:color w:val="C00000"/>
        </w:rPr>
      </w:pPr>
      <w:r>
        <w:rPr>
          <w:rStyle w:val="Style13ptBold"/>
          <w:b/>
          <w:bCs w:val="0"/>
        </w:rPr>
        <w:t>[1] Striking intrinsically violates the contractual relationship workers agree to – it justifies employees’ ability to violate contract but enforces employers’ duty to uphold it.</w:t>
      </w:r>
    </w:p>
    <w:p w14:paraId="620A0C04" w14:textId="77777777" w:rsidR="00C415D5" w:rsidRPr="00ED291B" w:rsidRDefault="00C415D5" w:rsidP="00C415D5">
      <w:pPr>
        <w:rPr>
          <w:sz w:val="16"/>
        </w:rPr>
      </w:pPr>
      <w:bookmarkStart w:id="0" w:name="_Hlk85659124"/>
      <w:proofErr w:type="spellStart"/>
      <w:r w:rsidRPr="00ED291B">
        <w:rPr>
          <w:rStyle w:val="Style13ptBold"/>
        </w:rPr>
        <w:t>Gourevitch</w:t>
      </w:r>
      <w:proofErr w:type="spellEnd"/>
      <w:r w:rsidRPr="00ED291B">
        <w:rPr>
          <w:rStyle w:val="Style13ptBold"/>
        </w:rPr>
        <w:t xml:space="preserve"> 16</w:t>
      </w:r>
      <w:r w:rsidRPr="00ED291B">
        <w:t xml:space="preserve"> </w:t>
      </w:r>
      <w:r w:rsidRPr="00ED291B">
        <w:rPr>
          <w:sz w:val="16"/>
        </w:rPr>
        <w:t xml:space="preserve">Alex </w:t>
      </w:r>
      <w:proofErr w:type="spellStart"/>
      <w:r w:rsidRPr="00ED291B">
        <w:rPr>
          <w:sz w:val="16"/>
        </w:rPr>
        <w:t>Gourevitch</w:t>
      </w:r>
      <w:proofErr w:type="spellEnd"/>
      <w:r w:rsidRPr="00ED291B">
        <w:rPr>
          <w:sz w:val="16"/>
        </w:rPr>
        <w:t xml:space="preserve">, assistant professor of political science at Brown University, “Quitting Work but Not the Job: Liberty and the Right to Strike,” 2016, American Political Science Association, accessed 20 October 2021, Pg. 309, </w:t>
      </w:r>
      <w:hyperlink r:id="rId6" w:history="1">
        <w:r w:rsidRPr="00ED291B">
          <w:rPr>
            <w:rStyle w:val="Hyperlink"/>
            <w:sz w:val="16"/>
          </w:rPr>
          <w:t>https://sci-hub.do/10.1017/S1537592716000049</w:t>
        </w:r>
      </w:hyperlink>
      <w:r w:rsidRPr="00ED291B">
        <w:rPr>
          <w:sz w:val="16"/>
        </w:rPr>
        <w:t xml:space="preserve"> ~ST~</w:t>
      </w:r>
      <w:r>
        <w:rPr>
          <w:sz w:val="16"/>
        </w:rPr>
        <w:t xml:space="preserve"> </w:t>
      </w:r>
      <w:proofErr w:type="spellStart"/>
      <w:r>
        <w:rPr>
          <w:sz w:val="16"/>
        </w:rPr>
        <w:t>Gourevitch</w:t>
      </w:r>
      <w:proofErr w:type="spellEnd"/>
      <w:r>
        <w:rPr>
          <w:sz w:val="16"/>
        </w:rPr>
        <w:t xml:space="preserve"> does not agree with the terminal conclusion of the aff</w:t>
      </w:r>
    </w:p>
    <w:bookmarkEnd w:id="0"/>
    <w:p w14:paraId="367BEC4A" w14:textId="77777777" w:rsidR="00C415D5" w:rsidRPr="00ED291B" w:rsidRDefault="00C415D5" w:rsidP="00C415D5">
      <w:pPr>
        <w:rPr>
          <w:sz w:val="16"/>
        </w:rPr>
      </w:pPr>
      <w:r w:rsidRPr="00ED291B">
        <w:rPr>
          <w:rStyle w:val="StyleUnderline"/>
          <w:highlight w:val="cyan"/>
        </w:rPr>
        <w:t>The right to strike</w:t>
      </w:r>
      <w:r w:rsidRPr="00ED291B">
        <w:rPr>
          <w:rStyle w:val="StyleUnderline"/>
        </w:rPr>
        <w:t xml:space="preserve"> is peculiar. It </w:t>
      </w:r>
      <w:r w:rsidRPr="00ED291B">
        <w:rPr>
          <w:rStyle w:val="StyleUnderline"/>
          <w:highlight w:val="cyan"/>
        </w:rPr>
        <w:t>is not a right to quit.</w:t>
      </w:r>
      <w:r w:rsidRPr="00ED291B">
        <w:rPr>
          <w:rStyle w:val="StyleUnderline"/>
        </w:rPr>
        <w:t xml:space="preserve"> The right </w:t>
      </w:r>
      <w:r w:rsidRPr="00ED291B">
        <w:rPr>
          <w:rStyle w:val="StyleUnderline"/>
          <w:highlight w:val="cyan"/>
        </w:rPr>
        <w:t>to quit is</w:t>
      </w:r>
      <w:r w:rsidRPr="00ED291B">
        <w:rPr>
          <w:rStyle w:val="StyleUnderline"/>
        </w:rPr>
        <w:t xml:space="preserve"> part of </w:t>
      </w:r>
      <w:r w:rsidRPr="00ED291B">
        <w:rPr>
          <w:rStyle w:val="StyleUnderline"/>
          <w:highlight w:val="cyan"/>
        </w:rPr>
        <w:t>freedom of contract</w:t>
      </w:r>
      <w:r w:rsidRPr="00ED291B">
        <w:rPr>
          <w:rStyle w:val="StyleUnderline"/>
        </w:rPr>
        <w:t xml:space="preserve"> </w:t>
      </w:r>
      <w:r w:rsidRPr="000D0F70">
        <w:rPr>
          <w:rStyle w:val="StyleUnderline"/>
        </w:rPr>
        <w:t xml:space="preserve">and the mirror of employment-at-will. </w:t>
      </w:r>
      <w:r w:rsidRPr="000D0F70">
        <w:rPr>
          <w:rStyle w:val="StyleUnderline"/>
          <w:highlight w:val="cyan"/>
        </w:rPr>
        <w:t>Workers</w:t>
      </w:r>
      <w:r w:rsidRPr="000D0F70">
        <w:rPr>
          <w:rStyle w:val="StyleUnderline"/>
        </w:rPr>
        <w:t xml:space="preserve"> may </w:t>
      </w:r>
      <w:r w:rsidRPr="000D0F70">
        <w:rPr>
          <w:rStyle w:val="StyleUnderline"/>
          <w:highlight w:val="cyan"/>
        </w:rPr>
        <w:t>quit when they no longer wish to work</w:t>
      </w:r>
      <w:r w:rsidRPr="00022445">
        <w:rPr>
          <w:rStyle w:val="StyleUnderline"/>
        </w:rPr>
        <w:t xml:space="preserve"> for an employer; </w:t>
      </w:r>
      <w:r w:rsidRPr="000D0F70">
        <w:rPr>
          <w:rStyle w:val="StyleUnderline"/>
          <w:highlight w:val="cyan"/>
        </w:rPr>
        <w:t>employers</w:t>
      </w:r>
      <w:r w:rsidRPr="000D0F70">
        <w:rPr>
          <w:rStyle w:val="StyleUnderline"/>
        </w:rPr>
        <w:t xml:space="preserve"> may </w:t>
      </w:r>
      <w:r w:rsidRPr="000D0F70">
        <w:rPr>
          <w:rStyle w:val="StyleUnderline"/>
          <w:highlight w:val="cyan"/>
        </w:rPr>
        <w:t>fire</w:t>
      </w:r>
      <w:r w:rsidRPr="000D0F70">
        <w:rPr>
          <w:rStyle w:val="StyleUnderline"/>
        </w:rPr>
        <w:t xml:space="preserve"> their </w:t>
      </w:r>
      <w:r w:rsidRPr="000D0F70">
        <w:rPr>
          <w:rStyle w:val="StyleUnderline"/>
          <w:highlight w:val="cyan"/>
        </w:rPr>
        <w:t>employees when they no longer want to employ</w:t>
      </w:r>
      <w:r w:rsidRPr="00022445">
        <w:rPr>
          <w:rStyle w:val="StyleUnderline"/>
        </w:rPr>
        <w:t xml:space="preserve"> them.</w:t>
      </w:r>
      <w:r w:rsidRPr="000D0F70">
        <w:rPr>
          <w:rStyle w:val="StyleUnderline"/>
        </w:rPr>
        <w:t xml:space="preserve"> Either of </w:t>
      </w:r>
      <w:r w:rsidRPr="000D0F70">
        <w:rPr>
          <w:rStyle w:val="StyleUnderline"/>
          <w:highlight w:val="cyan"/>
        </w:rPr>
        <w:t>those acts sever</w:t>
      </w:r>
      <w:r w:rsidRPr="000D0F70">
        <w:rPr>
          <w:rStyle w:val="StyleUnderline"/>
        </w:rPr>
        <w:t xml:space="preserve">s </w:t>
      </w:r>
      <w:r w:rsidRPr="000D0F70">
        <w:rPr>
          <w:rStyle w:val="StyleUnderline"/>
          <w:highlight w:val="cyan"/>
        </w:rPr>
        <w:t>the contractual relationship</w:t>
      </w:r>
      <w:r w:rsidRPr="000D0F70">
        <w:rPr>
          <w:rStyle w:val="StyleUnderline"/>
        </w:rPr>
        <w:t xml:space="preserve"> and the two parties are no longer assumed to be in any relationship at all. The right </w:t>
      </w:r>
      <w:r w:rsidRPr="000D0F70">
        <w:rPr>
          <w:rStyle w:val="StyleUnderline"/>
          <w:highlight w:val="cyan"/>
        </w:rPr>
        <w:t>to strike, however, assumes</w:t>
      </w:r>
      <w:r w:rsidRPr="000D0F70">
        <w:rPr>
          <w:rStyle w:val="StyleUnderline"/>
        </w:rPr>
        <w:t xml:space="preserve"> the </w:t>
      </w:r>
      <w:r w:rsidRPr="000D0F70">
        <w:rPr>
          <w:rStyle w:val="StyleUnderline"/>
          <w:highlight w:val="cyan"/>
        </w:rPr>
        <w:t>continuity of the</w:t>
      </w:r>
      <w:r w:rsidRPr="000D0F70">
        <w:rPr>
          <w:rStyle w:val="StyleUnderline"/>
        </w:rPr>
        <w:t xml:space="preserve"> very </w:t>
      </w:r>
      <w:r w:rsidRPr="000D0F70">
        <w:rPr>
          <w:rStyle w:val="StyleUnderline"/>
          <w:highlight w:val="cyan"/>
        </w:rPr>
        <w:t>relationship that is suspended.</w:t>
      </w:r>
      <w:r w:rsidRPr="000D0F70">
        <w:rPr>
          <w:rStyle w:val="StyleUnderline"/>
        </w:rPr>
        <w:t xml:space="preserve"> Workers on</w:t>
      </w:r>
      <w:r w:rsidRPr="00ED291B">
        <w:rPr>
          <w:rStyle w:val="StyleUnderline"/>
        </w:rPr>
        <w:t xml:space="preserve"> strike refuse to work but do not claim to have left the job. After all, the whole point of a strike is that it is a collective work stoppage, not a collective quitting of the job.</w:t>
      </w:r>
      <w:r w:rsidRPr="00ED291B">
        <w:rPr>
          <w:sz w:val="16"/>
        </w:rPr>
        <w:t xml:space="preserve"> This is the feature of the strike that has marked it out from other forms of social action.</w:t>
      </w:r>
    </w:p>
    <w:p w14:paraId="4B24AFDE" w14:textId="77777777" w:rsidR="00C415D5" w:rsidRDefault="00C415D5" w:rsidP="00C415D5">
      <w:pPr>
        <w:rPr>
          <w:sz w:val="16"/>
        </w:rPr>
      </w:pPr>
      <w:r w:rsidRPr="00ED291B">
        <w:rPr>
          <w:rStyle w:val="StyleUnderline"/>
        </w:rPr>
        <w:t xml:space="preserve">If a right to strike is not a right to quit, what is it? It is the right that </w:t>
      </w:r>
      <w:r w:rsidRPr="00ED291B">
        <w:rPr>
          <w:rStyle w:val="StyleUnderline"/>
          <w:highlight w:val="cyan"/>
        </w:rPr>
        <w:t>workers</w:t>
      </w:r>
      <w:r w:rsidRPr="00ED291B">
        <w:rPr>
          <w:rStyle w:val="StyleUnderline"/>
        </w:rPr>
        <w:t xml:space="preserve"> claim to </w:t>
      </w:r>
      <w:r w:rsidRPr="00ED291B">
        <w:rPr>
          <w:rStyle w:val="StyleUnderline"/>
          <w:highlight w:val="cyan"/>
        </w:rPr>
        <w:t>refuse to perform work they</w:t>
      </w:r>
      <w:r w:rsidRPr="00ED291B">
        <w:rPr>
          <w:rStyle w:val="StyleUnderline"/>
        </w:rPr>
        <w:t xml:space="preserve"> have </w:t>
      </w:r>
      <w:r w:rsidRPr="00ED291B">
        <w:rPr>
          <w:rStyle w:val="StyleUnderline"/>
          <w:highlight w:val="cyan"/>
        </w:rPr>
        <w:t xml:space="preserve">agreed to do while </w:t>
      </w:r>
      <w:r w:rsidRPr="000D0F70">
        <w:rPr>
          <w:rStyle w:val="StyleUnderline"/>
          <w:highlight w:val="cyan"/>
        </w:rPr>
        <w:t xml:space="preserve">retaining a right to the </w:t>
      </w:r>
      <w:r w:rsidRPr="00ED291B">
        <w:rPr>
          <w:rStyle w:val="StyleUnderline"/>
          <w:highlight w:val="cyan"/>
        </w:rPr>
        <w:t>job.</w:t>
      </w:r>
      <w:r w:rsidRPr="00ED291B">
        <w:rPr>
          <w:sz w:val="16"/>
        </w:rPr>
        <w:t xml:space="preserve"> Most of what is peculiar, not to mention fraught, about a strike is contained in that latter clause. Yet, surprisingly, few commentators recognize just how central and yet peculiar this claim is.16 Opponents of the right to strike are sometimes more alive to its distinctive features than defenders. One critic, for instance, makes the distinction between quitting and striking the basis of his entire argument:</w:t>
      </w:r>
    </w:p>
    <w:p w14:paraId="597BC172" w14:textId="77777777" w:rsidR="00C415D5" w:rsidRDefault="00C415D5" w:rsidP="00C415D5">
      <w:pPr>
        <w:pStyle w:val="Heading4"/>
      </w:pPr>
      <w:r>
        <w:t>Breaking work contracts, which are promises of labor, is non-universalizable.</w:t>
      </w:r>
    </w:p>
    <w:p w14:paraId="7BB91E88" w14:textId="77777777" w:rsidR="00C415D5" w:rsidRPr="006C67B3" w:rsidRDefault="00C415D5" w:rsidP="00C415D5">
      <w:pPr>
        <w:rPr>
          <w:sz w:val="16"/>
        </w:rPr>
      </w:pPr>
      <w:r w:rsidRPr="006C67B3">
        <w:rPr>
          <w:rStyle w:val="Style13ptBold"/>
        </w:rPr>
        <w:t>Lumen no date</w:t>
      </w:r>
      <w:r>
        <w:t xml:space="preserve"> </w:t>
      </w:r>
      <w:r w:rsidRPr="006C67B3">
        <w:rPr>
          <w:sz w:val="16"/>
        </w:rPr>
        <w:t xml:space="preserve">Lumen Learning, “Kantian Ethics (Main Concepts),” no date, Lumen Learning, accessed 20 October 2021, </w:t>
      </w:r>
      <w:hyperlink r:id="rId7" w:history="1">
        <w:r w:rsidRPr="006C67B3">
          <w:rPr>
            <w:rStyle w:val="Hyperlink"/>
            <w:sz w:val="16"/>
          </w:rPr>
          <w:t>https://courses.lumenlearning.com/sanjacinto-philosophy/chapter/kantian-ethics-main-concepts/</w:t>
        </w:r>
      </w:hyperlink>
      <w:r w:rsidRPr="006C67B3">
        <w:rPr>
          <w:sz w:val="16"/>
        </w:rPr>
        <w:t xml:space="preserve"> ~ST~</w:t>
      </w:r>
    </w:p>
    <w:p w14:paraId="07D54BBC" w14:textId="77777777" w:rsidR="00C415D5" w:rsidRPr="006C67B3" w:rsidRDefault="00C415D5" w:rsidP="00C415D5">
      <w:pPr>
        <w:rPr>
          <w:sz w:val="16"/>
        </w:rPr>
      </w:pPr>
      <w:r w:rsidRPr="006C67B3">
        <w:rPr>
          <w:sz w:val="16"/>
        </w:rPr>
        <w:t xml:space="preserve">When someone acts, it is according to a rule, or maxim. For Kant, an act is only permissible if one is willing for the maxim that allows the action to be a universal law by which everyone acts.[15] Maxims fail this test if they produce either a contradiction in conception or a contradiction in the will when universalized. A contradiction in conception happens when, if a maxim were to be universalized, it ceases to make sense because the “…maxim would necessarily destroy itself as soon as it was made a universal law.”[16] For example, </w:t>
      </w:r>
      <w:r w:rsidRPr="006C67B3">
        <w:rPr>
          <w:rStyle w:val="StyleUnderline"/>
          <w:highlight w:val="cyan"/>
        </w:rPr>
        <w:t>if</w:t>
      </w:r>
      <w:r w:rsidRPr="006C67B3">
        <w:rPr>
          <w:rStyle w:val="StyleUnderline"/>
        </w:rPr>
        <w:t xml:space="preserve"> the maxim </w:t>
      </w:r>
      <w:r w:rsidRPr="006C67B3">
        <w:rPr>
          <w:rStyle w:val="StyleUnderline"/>
          <w:highlight w:val="cyan"/>
        </w:rPr>
        <w:t>‘It is permissible to break promises’ was universalized</w:t>
      </w:r>
      <w:r w:rsidRPr="006C67B3">
        <w:rPr>
          <w:rStyle w:val="StyleUnderline"/>
        </w:rPr>
        <w:t xml:space="preserve">, no one would trust any promises made, so the idea of a promise would become meaningless; </w:t>
      </w:r>
      <w:r w:rsidRPr="006C67B3">
        <w:rPr>
          <w:rStyle w:val="StyleUnderline"/>
          <w:highlight w:val="cyan"/>
        </w:rPr>
        <w:t>the maxim would be self-contradictory because</w:t>
      </w:r>
      <w:r w:rsidRPr="006C67B3">
        <w:rPr>
          <w:rStyle w:val="StyleUnderline"/>
        </w:rPr>
        <w:t xml:space="preserve">, when universalized, </w:t>
      </w:r>
      <w:r w:rsidRPr="006C67B3">
        <w:rPr>
          <w:rStyle w:val="StyleUnderline"/>
          <w:highlight w:val="cyan"/>
        </w:rPr>
        <w:t>promises cease to be meaningful. The maxim is</w:t>
      </w:r>
      <w:r w:rsidRPr="006C67B3">
        <w:rPr>
          <w:rStyle w:val="StyleUnderline"/>
        </w:rPr>
        <w:t xml:space="preserve"> not moral because it is </w:t>
      </w:r>
      <w:r w:rsidRPr="006C67B3">
        <w:rPr>
          <w:rStyle w:val="StyleUnderline"/>
          <w:highlight w:val="cyan"/>
        </w:rPr>
        <w:t>logically impossible to universalize</w:t>
      </w:r>
      <w:r w:rsidRPr="006C67B3">
        <w:rPr>
          <w:rStyle w:val="StyleUnderline"/>
        </w:rPr>
        <w:t>—we could not conceive of a world where this maxim was universalized.</w:t>
      </w:r>
      <w:r w:rsidRPr="006C67B3">
        <w:rPr>
          <w:sz w:val="16"/>
        </w:rPr>
        <w:t xml:space="preserve">[17]A maxim can also be immoral if it creates a contradiction in the will when universalized. This does not mean a logical contradiction, but that universalizing the maxim leads to a </w:t>
      </w:r>
      <w:proofErr w:type="gramStart"/>
      <w:r w:rsidRPr="006C67B3">
        <w:rPr>
          <w:sz w:val="16"/>
        </w:rPr>
        <w:t>state of affairs</w:t>
      </w:r>
      <w:proofErr w:type="gramEnd"/>
      <w:r w:rsidRPr="006C67B3">
        <w:rPr>
          <w:sz w:val="16"/>
        </w:rPr>
        <w:t xml:space="preserve"> that no rational being would desire. For example, Driver argues that the maxim ‘I will not give to charity’ produces a contradiction in the will when universalized because a world where no one gives to charity would be undesirable for the person who acts by that maxim.[18]</w:t>
      </w:r>
    </w:p>
    <w:p w14:paraId="1CC71662" w14:textId="77777777" w:rsidR="00C415D5" w:rsidRPr="00C81523" w:rsidRDefault="00C415D5" w:rsidP="00C415D5">
      <w:pPr>
        <w:pStyle w:val="Heading4"/>
      </w:pPr>
      <w:r>
        <w:t>[2]</w:t>
      </w:r>
      <w:r>
        <w:rPr>
          <w:rFonts w:cs="Arial"/>
        </w:rPr>
        <w:t xml:space="preserve"> A </w:t>
      </w:r>
      <w:r w:rsidRPr="0050067E">
        <w:rPr>
          <w:rFonts w:cs="Arial"/>
        </w:rPr>
        <w:t xml:space="preserve">strike uses </w:t>
      </w:r>
      <w:r>
        <w:rPr>
          <w:rFonts w:cs="Arial"/>
        </w:rPr>
        <w:t>the employer and society</w:t>
      </w:r>
      <w:r w:rsidRPr="0050067E">
        <w:rPr>
          <w:rFonts w:cs="Arial"/>
        </w:rPr>
        <w:t xml:space="preserve"> </w:t>
      </w:r>
      <w:proofErr w:type="gramStart"/>
      <w:r w:rsidRPr="0050067E">
        <w:rPr>
          <w:rFonts w:cs="Arial"/>
        </w:rPr>
        <w:t>as a means to</w:t>
      </w:r>
      <w:proofErr w:type="gramEnd"/>
      <w:r w:rsidRPr="0050067E">
        <w:rPr>
          <w:rFonts w:cs="Arial"/>
        </w:rPr>
        <w:t xml:space="preserve"> an end.</w:t>
      </w:r>
    </w:p>
    <w:p w14:paraId="1CB27217" w14:textId="77777777" w:rsidR="00C415D5" w:rsidRPr="00135C28" w:rsidRDefault="00C415D5" w:rsidP="00C415D5">
      <w:pPr>
        <w:rPr>
          <w:sz w:val="16"/>
        </w:rPr>
      </w:pPr>
      <w:r w:rsidRPr="00D84E5D">
        <w:rPr>
          <w:rStyle w:val="Style13ptBold"/>
        </w:rPr>
        <w:t>Fourie 17</w:t>
      </w:r>
      <w:r w:rsidRPr="00D84E5D">
        <w:t xml:space="preserve"> </w:t>
      </w:r>
      <w:r w:rsidRPr="00135C28">
        <w:rPr>
          <w:sz w:val="16"/>
        </w:rPr>
        <w:t xml:space="preserve">Johan Fourie, professor of Economics and History at Stellenbosch University, "Ethicality of Labor-Strike Demonstrates by Social Workers," 30 November 2017, accessed 19 October 2021, Other Papers, </w:t>
      </w:r>
      <w:hyperlink r:id="rId8" w:history="1">
        <w:r w:rsidRPr="00135C28">
          <w:rPr>
            <w:rStyle w:val="Hyperlink"/>
            <w:sz w:val="16"/>
          </w:rPr>
          <w:t>https://www.otherpapers.com/essay/Ethicality-of-Labor-Strike-Demonstrates-by-Social-Workers/62694.html</w:t>
        </w:r>
      </w:hyperlink>
      <w:r w:rsidRPr="00135C28">
        <w:rPr>
          <w:sz w:val="16"/>
        </w:rPr>
        <w:t xml:space="preserve"> JG recut</w:t>
      </w:r>
    </w:p>
    <w:p w14:paraId="04CF9096" w14:textId="77777777" w:rsidR="00C415D5" w:rsidRPr="00C81523" w:rsidRDefault="00C415D5" w:rsidP="00C415D5">
      <w:pPr>
        <w:rPr>
          <w:sz w:val="16"/>
        </w:rPr>
      </w:pPr>
      <w:r w:rsidRPr="00135C28">
        <w:rPr>
          <w:sz w:val="16"/>
        </w:rPr>
        <w:t xml:space="preserve">A further formula of the Categorical Imperative is "so, act as to treat humanity, whether in your own person or in that of any other context, never solely </w:t>
      </w:r>
      <w:proofErr w:type="gramStart"/>
      <w:r w:rsidRPr="00135C28">
        <w:rPr>
          <w:sz w:val="16"/>
        </w:rPr>
        <w:t>as a means to</w:t>
      </w:r>
      <w:proofErr w:type="gramEnd"/>
      <w:r w:rsidRPr="00135C28">
        <w:rPr>
          <w:sz w:val="16"/>
        </w:rPr>
        <w:t xml:space="preserve"> an end but always as an end within itself' (Parrott, 2006, p. 51). By this Kant meant </w:t>
      </w:r>
      <w:r w:rsidRPr="00D0357A">
        <w:rPr>
          <w:rStyle w:val="StyleUnderline"/>
          <w:highlight w:val="cyan"/>
        </w:rPr>
        <w:t>people should be valued</w:t>
      </w:r>
      <w:r w:rsidRPr="00D0357A">
        <w:rPr>
          <w:rStyle w:val="StyleUnderline"/>
        </w:rPr>
        <w:t xml:space="preserve"> and respected as an individual </w:t>
      </w:r>
      <w:r w:rsidRPr="00D0357A">
        <w:rPr>
          <w:rStyle w:val="StyleUnderline"/>
          <w:highlight w:val="cyan"/>
        </w:rPr>
        <w:t>and not used for</w:t>
      </w:r>
      <w:r w:rsidRPr="00D0357A">
        <w:rPr>
          <w:rStyle w:val="StyleUnderline"/>
        </w:rPr>
        <w:t xml:space="preserve"> the </w:t>
      </w:r>
      <w:r w:rsidRPr="00D0357A">
        <w:rPr>
          <w:rStyle w:val="StyleUnderline"/>
          <w:highlight w:val="cyan"/>
        </w:rPr>
        <w:t>benefit</w:t>
      </w:r>
      <w:r w:rsidRPr="00D0357A">
        <w:rPr>
          <w:rStyle w:val="StyleUnderline"/>
        </w:rPr>
        <w:t xml:space="preserve"> of others. </w:t>
      </w:r>
      <w:r w:rsidRPr="00D84E5D">
        <w:rPr>
          <w:rStyle w:val="StyleUnderline"/>
        </w:rPr>
        <w:t xml:space="preserve">Participating in </w:t>
      </w:r>
      <w:r w:rsidRPr="00D0357A">
        <w:rPr>
          <w:rStyle w:val="StyleUnderline"/>
          <w:highlight w:val="cyan"/>
        </w:rPr>
        <w:t>a labor-strike</w:t>
      </w:r>
      <w:r w:rsidRPr="00D0357A">
        <w:rPr>
          <w:rStyle w:val="StyleUnderline"/>
        </w:rPr>
        <w:t xml:space="preserve"> demonstration/action </w:t>
      </w:r>
      <w:r w:rsidRPr="00D0357A">
        <w:rPr>
          <w:rStyle w:val="StyleUnderline"/>
          <w:highlight w:val="cyan"/>
        </w:rPr>
        <w:t>is a direct violation</w:t>
      </w:r>
      <w:r w:rsidRPr="00D84E5D">
        <w:rPr>
          <w:rStyle w:val="StyleUnderline"/>
        </w:rPr>
        <w:t xml:space="preserve"> of this categorical</w:t>
      </w:r>
      <w:r w:rsidRPr="00D0357A">
        <w:rPr>
          <w:rStyle w:val="StyleUnderline"/>
        </w:rPr>
        <w:t xml:space="preserve"> perspective as it would not be ethically permissible </w:t>
      </w:r>
      <w:r w:rsidRPr="00D0357A">
        <w:rPr>
          <w:rStyle w:val="StyleUnderline"/>
          <w:highlight w:val="cyan"/>
        </w:rPr>
        <w:t>because</w:t>
      </w:r>
      <w:r w:rsidRPr="00135C28">
        <w:rPr>
          <w:rStyle w:val="StyleUnderline"/>
        </w:rPr>
        <w:t xml:space="preserve"> the</w:t>
      </w:r>
      <w:r w:rsidRPr="00D84E5D">
        <w:rPr>
          <w:rStyle w:val="StyleUnderline"/>
        </w:rPr>
        <w:t xml:space="preserve"> severe dependence and well-being of clients, </w:t>
      </w:r>
      <w:r w:rsidRPr="00D0357A">
        <w:rPr>
          <w:rStyle w:val="StyleUnderline"/>
          <w:highlight w:val="cyan"/>
        </w:rPr>
        <w:t>the effective functioning of the</w:t>
      </w:r>
      <w:r w:rsidRPr="00D0357A">
        <w:rPr>
          <w:rStyle w:val="StyleUnderline"/>
        </w:rPr>
        <w:t xml:space="preserve"> </w:t>
      </w:r>
      <w:r w:rsidRPr="00D84E5D">
        <w:rPr>
          <w:rStyle w:val="StyleUnderline"/>
        </w:rPr>
        <w:t xml:space="preserve">employer </w:t>
      </w:r>
      <w:r w:rsidRPr="00D0357A">
        <w:rPr>
          <w:rStyle w:val="StyleUnderline"/>
          <w:highlight w:val="cyan"/>
        </w:rPr>
        <w:t>organization, and society is used to</w:t>
      </w:r>
      <w:r w:rsidRPr="00D84E5D">
        <w:rPr>
          <w:rStyle w:val="StyleUnderline"/>
        </w:rPr>
        <w:t xml:space="preserve"> </w:t>
      </w:r>
      <w:proofErr w:type="gramStart"/>
      <w:r w:rsidRPr="00D84E5D">
        <w:rPr>
          <w:rStyle w:val="StyleUnderline"/>
        </w:rPr>
        <w:t xml:space="preserve">duly and unduly influence the </w:t>
      </w:r>
      <w:r w:rsidRPr="00D0357A">
        <w:rPr>
          <w:rStyle w:val="StyleUnderline"/>
          <w:highlight w:val="cyan"/>
        </w:rPr>
        <w:t>bargain</w:t>
      </w:r>
      <w:r w:rsidRPr="00D84E5D">
        <w:rPr>
          <w:rStyle w:val="StyleUnderline"/>
        </w:rPr>
        <w:t>ing process</w:t>
      </w:r>
      <w:proofErr w:type="gramEnd"/>
      <w:r w:rsidRPr="00D84E5D">
        <w:rPr>
          <w:rStyle w:val="StyleUnderline"/>
        </w:rPr>
        <w:t xml:space="preserve"> for better </w:t>
      </w:r>
      <w:r w:rsidRPr="00D0357A">
        <w:rPr>
          <w:rStyle w:val="StyleUnderline"/>
          <w:highlight w:val="cyan"/>
        </w:rPr>
        <w:t>working conditions.</w:t>
      </w:r>
      <w:r w:rsidRPr="00D84E5D">
        <w:rPr>
          <w:rStyle w:val="StyleUnderline"/>
        </w:rPr>
        <w:t xml:space="preserve"> In participating in the labor strike</w:t>
      </w:r>
      <w:r w:rsidRPr="00D0357A">
        <w:rPr>
          <w:rStyle w:val="StyleUnderline"/>
        </w:rPr>
        <w:t xml:space="preserve"> demonstration, </w:t>
      </w:r>
      <w:r w:rsidRPr="00D0357A">
        <w:rPr>
          <w:rStyle w:val="StyleUnderline"/>
          <w:highlight w:val="cyan"/>
        </w:rPr>
        <w:t>the humanity</w:t>
      </w:r>
      <w:r w:rsidRPr="00D0357A">
        <w:rPr>
          <w:rStyle w:val="StyleUnderline"/>
        </w:rPr>
        <w:t xml:space="preserve">, and well-being </w:t>
      </w:r>
      <w:r w:rsidRPr="00D0357A">
        <w:rPr>
          <w:rStyle w:val="StyleUnderline"/>
          <w:highlight w:val="cyan"/>
        </w:rPr>
        <w:t>of clients and society is not seen</w:t>
      </w:r>
      <w:r w:rsidRPr="00D84E5D">
        <w:rPr>
          <w:rStyle w:val="StyleUnderline"/>
        </w:rPr>
        <w:t xml:space="preserve"> as crucial and </w:t>
      </w:r>
      <w:r w:rsidRPr="00D84E5D">
        <w:rPr>
          <w:rStyle w:val="StyleUnderline"/>
          <w:highlight w:val="cyan"/>
        </w:rPr>
        <w:t>as an 'end', but</w:t>
      </w:r>
      <w:r w:rsidRPr="00D0357A">
        <w:rPr>
          <w:rStyle w:val="StyleUnderline"/>
        </w:rPr>
        <w:t xml:space="preserve"> rather </w:t>
      </w:r>
      <w:r w:rsidRPr="00D84E5D">
        <w:rPr>
          <w:rStyle w:val="StyleUnderline"/>
          <w:highlight w:val="cyan"/>
        </w:rPr>
        <w:t>used to demonstrate the</w:t>
      </w:r>
      <w:r w:rsidRPr="00D0357A">
        <w:rPr>
          <w:rStyle w:val="StyleUnderline"/>
        </w:rPr>
        <w:t xml:space="preserve"> undeniable </w:t>
      </w:r>
      <w:r w:rsidRPr="00D84E5D">
        <w:rPr>
          <w:rStyle w:val="StyleUnderline"/>
          <w:highlight w:val="cyan"/>
        </w:rPr>
        <w:t>need for</w:t>
      </w:r>
      <w:r w:rsidRPr="00D0357A">
        <w:rPr>
          <w:rStyle w:val="StyleUnderline"/>
        </w:rPr>
        <w:t xml:space="preserve"> the skills and expertise of social </w:t>
      </w:r>
      <w:r w:rsidRPr="00D84E5D">
        <w:rPr>
          <w:rStyle w:val="StyleUnderline"/>
          <w:highlight w:val="cyan"/>
        </w:rPr>
        <w:t>workers.</w:t>
      </w:r>
      <w:r w:rsidRPr="00135C28">
        <w:rPr>
          <w:sz w:val="16"/>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29EA6EC2" w14:textId="77777777" w:rsidR="00C415D5" w:rsidRPr="00D84E5D" w:rsidRDefault="00C415D5" w:rsidP="00C415D5">
      <w:pPr>
        <w:pStyle w:val="Heading4"/>
        <w:rPr>
          <w:color w:val="C00000"/>
        </w:rPr>
      </w:pPr>
      <w:r>
        <w:t xml:space="preserve">Strikes specifically in essential services reduces society to a mere </w:t>
      </w:r>
      <w:r w:rsidRPr="00384BFB">
        <w:t>means</w:t>
      </w:r>
      <w:r>
        <w:t>.</w:t>
      </w:r>
    </w:p>
    <w:p w14:paraId="21A7DF05" w14:textId="77777777" w:rsidR="00C415D5" w:rsidRPr="009C29D4" w:rsidRDefault="00C415D5" w:rsidP="00C415D5">
      <w:pPr>
        <w:rPr>
          <w:sz w:val="16"/>
        </w:rPr>
      </w:pPr>
      <w:r w:rsidRPr="009C29D4">
        <w:rPr>
          <w:rStyle w:val="Style13ptBold"/>
        </w:rPr>
        <w:t>Loewy 2000</w:t>
      </w:r>
      <w:r w:rsidRPr="00135C28">
        <w:t xml:space="preserve"> </w:t>
      </w:r>
      <w:r w:rsidRPr="009C29D4">
        <w:rPr>
          <w:sz w:val="16"/>
        </w:rPr>
        <w:t>Erich H. Lowey, professor of bioethics at University of California, "Of healthcare professionals, ethics, and strikes," Cambridge Q. Healthcare Ethics 9 (2000): 513. Accessed 19 October 2021, Pg. 516-517, sci-hub.se/10.1017/S0963180100904092 JG recut</w:t>
      </w:r>
    </w:p>
    <w:p w14:paraId="402394CA" w14:textId="77777777" w:rsidR="00C415D5" w:rsidRPr="009C29D4" w:rsidRDefault="00C415D5" w:rsidP="00C415D5">
      <w:pPr>
        <w:rPr>
          <w:sz w:val="16"/>
        </w:rPr>
      </w:pPr>
      <w:r w:rsidRPr="00135C28">
        <w:rPr>
          <w:rStyle w:val="StyleUnderline"/>
          <w:highlight w:val="cyan"/>
        </w:rPr>
        <w:t>In the medical setting</w:t>
      </w:r>
      <w:r w:rsidRPr="00135C28">
        <w:rPr>
          <w:rStyle w:val="StyleUnderline"/>
        </w:rPr>
        <w:t xml:space="preserve">, furthermore, workers are much more apt to deal with identified lives: they know their patients and often have known them for some time. </w:t>
      </w:r>
      <w:r w:rsidRPr="00135C28">
        <w:rPr>
          <w:rStyle w:val="StyleUnderline"/>
          <w:highlight w:val="cyan"/>
        </w:rPr>
        <w:t xml:space="preserve">Striking </w:t>
      </w:r>
      <w:r w:rsidRPr="00135C28">
        <w:rPr>
          <w:rStyle w:val="StyleUnderline"/>
        </w:rPr>
        <w:t xml:space="preserve">against their employer (even if it is done in part to benefit the patient) </w:t>
      </w:r>
      <w:r w:rsidRPr="00135C28">
        <w:rPr>
          <w:rStyle w:val="StyleUnderline"/>
          <w:highlight w:val="cyan"/>
        </w:rPr>
        <w:t>is denying</w:t>
      </w:r>
      <w:r w:rsidRPr="00E54D6F">
        <w:rPr>
          <w:rStyle w:val="StyleUnderline"/>
        </w:rPr>
        <w:t xml:space="preserve"> meaningful</w:t>
      </w:r>
      <w:r w:rsidRPr="00135C28">
        <w:rPr>
          <w:rStyle w:val="StyleUnderline"/>
        </w:rPr>
        <w:t xml:space="preserve"> and often </w:t>
      </w:r>
      <w:r w:rsidRPr="00135C28">
        <w:rPr>
          <w:rStyle w:val="StyleUnderline"/>
          <w:highlight w:val="cyan"/>
        </w:rPr>
        <w:t>essential services</w:t>
      </w:r>
      <w:r w:rsidRPr="00135C28">
        <w:rPr>
          <w:rStyle w:val="StyleUnderline"/>
        </w:rPr>
        <w:t xml:space="preserve"> to some of these identified lives.</w:t>
      </w:r>
      <w:r w:rsidRPr="009C29D4">
        <w:rPr>
          <w:sz w:val="16"/>
        </w:rPr>
        <w:t xml:space="preserve"> We tend to relate differently with those lives we know and therefore call “identified” from those whom we consider “unidentified” or statistical lives, in part, because we have obligations as a result of relationships; in part because we fail to recognize that these so-called unidentified lives are not in fact unidentified but are merely not identified by us.4 When strikes are called by healthcare professionals, both types of lives are apt to be injured or, at least, severely inconvenienced.</w:t>
      </w:r>
    </w:p>
    <w:p w14:paraId="300FD849" w14:textId="77777777" w:rsidR="00C415D5" w:rsidRPr="00135C28" w:rsidRDefault="00C415D5" w:rsidP="00C415D5">
      <w:pPr>
        <w:rPr>
          <w:rStyle w:val="StyleUnderline"/>
        </w:rPr>
      </w:pPr>
      <w:r w:rsidRPr="009C29D4">
        <w:rPr>
          <w:sz w:val="16"/>
        </w:rPr>
        <w:t xml:space="preserve">Except in the pocketbook, </w:t>
      </w:r>
      <w:r w:rsidRPr="00135C28">
        <w:rPr>
          <w:rStyle w:val="StyleUnderline"/>
          <w:highlight w:val="cyan"/>
        </w:rPr>
        <w:t>strikes</w:t>
      </w:r>
      <w:r w:rsidRPr="00135C28">
        <w:rPr>
          <w:rStyle w:val="StyleUnderline"/>
        </w:rPr>
        <w:t xml:space="preserve"> in the healthcare setting generally </w:t>
      </w:r>
      <w:r w:rsidRPr="00135C28">
        <w:rPr>
          <w:rStyle w:val="StyleUnderline"/>
          <w:highlight w:val="cyan"/>
        </w:rPr>
        <w:t>do not directly hurt the employer. The employer is hurt through the patient. The patient</w:t>
      </w:r>
      <w:r w:rsidRPr="00135C28">
        <w:rPr>
          <w:rStyle w:val="StyleUnderline"/>
        </w:rPr>
        <w:t xml:space="preserve"> thus </w:t>
      </w:r>
      <w:r w:rsidRPr="00135C28">
        <w:rPr>
          <w:rStyle w:val="StyleUnderline"/>
          <w:highlight w:val="cyan"/>
        </w:rPr>
        <w:t>becomes a means toward</w:t>
      </w:r>
      <w:r w:rsidRPr="00135C28">
        <w:rPr>
          <w:rStyle w:val="StyleUnderline"/>
        </w:rPr>
        <w:t xml:space="preserve"> the </w:t>
      </w:r>
      <w:r w:rsidRPr="00135C28">
        <w:rPr>
          <w:rStyle w:val="StyleUnderline"/>
          <w:highlight w:val="cyan"/>
        </w:rPr>
        <w:t>employees’ ends, a</w:t>
      </w:r>
      <w:r w:rsidRPr="00135C28">
        <w:rPr>
          <w:rStyle w:val="StyleUnderline"/>
        </w:rPr>
        <w:t xml:space="preserve"> foot</w:t>
      </w:r>
      <w:r w:rsidRPr="00135C28">
        <w:rPr>
          <w:rStyle w:val="StyleUnderline"/>
          <w:highlight w:val="cyan"/>
        </w:rPr>
        <w:t>ball</w:t>
      </w:r>
      <w:r w:rsidRPr="00135C28">
        <w:rPr>
          <w:rStyle w:val="StyleUnderline"/>
        </w:rPr>
        <w:t xml:space="preserve"> being </w:t>
      </w:r>
      <w:r w:rsidRPr="00135C28">
        <w:rPr>
          <w:rStyle w:val="StyleUnderline"/>
          <w:highlight w:val="cyan"/>
        </w:rPr>
        <w:t>kicked between two</w:t>
      </w:r>
      <w:r w:rsidRPr="00135C28">
        <w:rPr>
          <w:rStyle w:val="StyleUnderline"/>
        </w:rPr>
        <w:t xml:space="preserve"> contending </w:t>
      </w:r>
      <w:r w:rsidRPr="00135C28">
        <w:rPr>
          <w:rStyle w:val="StyleUnderline"/>
          <w:highlight w:val="cyan"/>
        </w:rPr>
        <w:t>parties</w:t>
      </w:r>
      <w:r w:rsidRPr="00135C28">
        <w:rPr>
          <w:rStyle w:val="StyleUnderline"/>
        </w:rPr>
        <w:t xml:space="preserve">—even if one of the employees’ goals is to serve the good of patients in general.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135C28">
        <w:rPr>
          <w:rStyle w:val="StyleUnderline"/>
        </w:rPr>
        <w:t>effected</w:t>
      </w:r>
      <w:proofErr w:type="spellEnd"/>
      <w:proofErr w:type="gramEnd"/>
      <w:r w:rsidRPr="00135C28">
        <w:rPr>
          <w:rStyle w:val="StyleUnderline"/>
        </w:rPr>
        <w:t xml:space="preserve">. </w:t>
      </w:r>
      <w:r w:rsidRPr="00135C28">
        <w:rPr>
          <w:rStyle w:val="StyleUnderline"/>
          <w:highlight w:val="cyan"/>
        </w:rPr>
        <w:t>To be effective, a strike</w:t>
      </w:r>
      <w:r w:rsidRPr="00135C28">
        <w:rPr>
          <w:rStyle w:val="StyleUnderline"/>
        </w:rPr>
        <w:t xml:space="preserve"> of healthcare professionals </w:t>
      </w:r>
      <w:proofErr w:type="gramStart"/>
      <w:r w:rsidRPr="00135C28">
        <w:rPr>
          <w:rStyle w:val="StyleUnderline"/>
          <w:highlight w:val="cyan"/>
        </w:rPr>
        <w:t>has to</w:t>
      </w:r>
      <w:proofErr w:type="gramEnd"/>
      <w:r w:rsidRPr="00135C28">
        <w:rPr>
          <w:rStyle w:val="StyleUnderline"/>
          <w:highlight w:val="cyan"/>
        </w:rPr>
        <w:t xml:space="preserve"> “hurt” patients</w:t>
      </w:r>
      <w:r w:rsidRPr="00135C28">
        <w:rPr>
          <w:rStyle w:val="StyleUnderline"/>
        </w:rPr>
        <w:t xml:space="preserve"> and often patients known to the healthcare professionals.</w:t>
      </w:r>
    </w:p>
    <w:p w14:paraId="45EED136" w14:textId="01DA8CCC" w:rsidR="00D11008" w:rsidRPr="008221C2" w:rsidRDefault="00C415D5" w:rsidP="008221C2">
      <w:pPr>
        <w:pStyle w:val="Heading4"/>
        <w:rPr>
          <w:rFonts w:cs="Arial"/>
        </w:rPr>
      </w:pPr>
      <w:r w:rsidRPr="0050067E">
        <w:rPr>
          <w:rFonts w:cs="Arial"/>
        </w:rPr>
        <w:t xml:space="preserve">Using people </w:t>
      </w:r>
      <w:proofErr w:type="gramStart"/>
      <w:r w:rsidRPr="0050067E">
        <w:rPr>
          <w:rFonts w:cs="Arial"/>
        </w:rPr>
        <w:t>as a means to</w:t>
      </w:r>
      <w:proofErr w:type="gramEnd"/>
      <w:r w:rsidRPr="0050067E">
        <w:rPr>
          <w:rFonts w:cs="Arial"/>
        </w:rPr>
        <w:t xml:space="preserve"> an end ignores their intrinsic freedom as a rational agent and is therefore non-universalizable.</w:t>
      </w:r>
    </w:p>
    <w:sectPr w:rsidR="00D11008" w:rsidRPr="00822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4605EA"/>
    <w:rsid w:val="000139A3"/>
    <w:rsid w:val="00074205"/>
    <w:rsid w:val="00100833"/>
    <w:rsid w:val="001019CB"/>
    <w:rsid w:val="00104529"/>
    <w:rsid w:val="00105942"/>
    <w:rsid w:val="00107396"/>
    <w:rsid w:val="001268F7"/>
    <w:rsid w:val="00144A4C"/>
    <w:rsid w:val="00176AB0"/>
    <w:rsid w:val="00177B7D"/>
    <w:rsid w:val="0018322D"/>
    <w:rsid w:val="001B5776"/>
    <w:rsid w:val="001C20F7"/>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05EA"/>
    <w:rsid w:val="00465711"/>
    <w:rsid w:val="004C60E8"/>
    <w:rsid w:val="004E3579"/>
    <w:rsid w:val="004E728B"/>
    <w:rsid w:val="004F39E0"/>
    <w:rsid w:val="00537BD5"/>
    <w:rsid w:val="00546DA6"/>
    <w:rsid w:val="0057268A"/>
    <w:rsid w:val="00596E9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827F0"/>
    <w:rsid w:val="007A2226"/>
    <w:rsid w:val="007F5B66"/>
    <w:rsid w:val="008221C2"/>
    <w:rsid w:val="00823A1C"/>
    <w:rsid w:val="00845B9D"/>
    <w:rsid w:val="0085783A"/>
    <w:rsid w:val="00860984"/>
    <w:rsid w:val="008B3ECB"/>
    <w:rsid w:val="008B4E85"/>
    <w:rsid w:val="008C1B2E"/>
    <w:rsid w:val="0091627E"/>
    <w:rsid w:val="00963C27"/>
    <w:rsid w:val="0097032B"/>
    <w:rsid w:val="009D2EAD"/>
    <w:rsid w:val="009D54B2"/>
    <w:rsid w:val="009E1922"/>
    <w:rsid w:val="009F7ED2"/>
    <w:rsid w:val="00A91547"/>
    <w:rsid w:val="00A93661"/>
    <w:rsid w:val="00A95652"/>
    <w:rsid w:val="00AC0AB8"/>
    <w:rsid w:val="00AC5D4E"/>
    <w:rsid w:val="00B33C6D"/>
    <w:rsid w:val="00B4508F"/>
    <w:rsid w:val="00B55AD5"/>
    <w:rsid w:val="00B8057C"/>
    <w:rsid w:val="00BA3048"/>
    <w:rsid w:val="00BD6238"/>
    <w:rsid w:val="00BF1FD8"/>
    <w:rsid w:val="00BF593B"/>
    <w:rsid w:val="00BF773A"/>
    <w:rsid w:val="00BF7E81"/>
    <w:rsid w:val="00C13773"/>
    <w:rsid w:val="00C17CC8"/>
    <w:rsid w:val="00C415D5"/>
    <w:rsid w:val="00C83417"/>
    <w:rsid w:val="00C9604F"/>
    <w:rsid w:val="00CA19AA"/>
    <w:rsid w:val="00CA2AC0"/>
    <w:rsid w:val="00CC5298"/>
    <w:rsid w:val="00CD736E"/>
    <w:rsid w:val="00CD798D"/>
    <w:rsid w:val="00CE161E"/>
    <w:rsid w:val="00CF59A8"/>
    <w:rsid w:val="00D012A9"/>
    <w:rsid w:val="00D11008"/>
    <w:rsid w:val="00D325A9"/>
    <w:rsid w:val="00D36A8A"/>
    <w:rsid w:val="00D61409"/>
    <w:rsid w:val="00D6691E"/>
    <w:rsid w:val="00D71170"/>
    <w:rsid w:val="00D718C1"/>
    <w:rsid w:val="00DA1C92"/>
    <w:rsid w:val="00DA25D4"/>
    <w:rsid w:val="00DA6538"/>
    <w:rsid w:val="00E00C0C"/>
    <w:rsid w:val="00E107EC"/>
    <w:rsid w:val="00E15E75"/>
    <w:rsid w:val="00E5262C"/>
    <w:rsid w:val="00E535C8"/>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3644"/>
  <w15:chartTrackingRefBased/>
  <w15:docId w15:val="{ED5EFC71-A493-4487-845C-76A91DEA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21C2"/>
    <w:rPr>
      <w:rFonts w:ascii="Arial" w:hAnsi="Arial" w:cs="Arial"/>
      <w:sz w:val="24"/>
    </w:rPr>
  </w:style>
  <w:style w:type="paragraph" w:styleId="Heading1">
    <w:name w:val="heading 1"/>
    <w:aliases w:val="Pocket"/>
    <w:basedOn w:val="Normal"/>
    <w:next w:val="Normal"/>
    <w:link w:val="Heading1Char"/>
    <w:qFormat/>
    <w:rsid w:val="008221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21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21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8221C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221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1C2"/>
  </w:style>
  <w:style w:type="character" w:customStyle="1" w:styleId="Heading1Char">
    <w:name w:val="Heading 1 Char"/>
    <w:aliases w:val="Pocket Char"/>
    <w:basedOn w:val="DefaultParagraphFont"/>
    <w:link w:val="Heading1"/>
    <w:rsid w:val="008221C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221C2"/>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8221C2"/>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8221C2"/>
    <w:rPr>
      <w:rFonts w:ascii="Arial" w:eastAsiaTheme="majorEastAsia" w:hAnsi="Arial" w:cstheme="majorBidi"/>
      <w:b/>
      <w:iCs/>
      <w:sz w:val="24"/>
    </w:rPr>
  </w:style>
  <w:style w:type="character" w:styleId="Emphasis">
    <w:name w:val="Emphasis"/>
    <w:basedOn w:val="DefaultParagraphFont"/>
    <w:uiPriority w:val="7"/>
    <w:qFormat/>
    <w:rsid w:val="008221C2"/>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21C2"/>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8221C2"/>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221C2"/>
    <w:rPr>
      <w:color w:val="auto"/>
      <w:u w:val="none"/>
    </w:rPr>
  </w:style>
  <w:style w:type="character" w:styleId="FollowedHyperlink">
    <w:name w:val="FollowedHyperlink"/>
    <w:basedOn w:val="DefaultParagraphFont"/>
    <w:uiPriority w:val="99"/>
    <w:semiHidden/>
    <w:unhideWhenUsed/>
    <w:rsid w:val="008221C2"/>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C415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3" Type="http://schemas.openxmlformats.org/officeDocument/2006/relationships/styles" Target="styles.xml"/><Relationship Id="rId7" Type="http://schemas.openxmlformats.org/officeDocument/2006/relationships/hyperlink" Target="https://courses.lumenlearning.com/sanjacinto-philosophy/chapter/kantian-ethics-main-concep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do/10.1017/S153759271600004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2513</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7</cp:revision>
  <dcterms:created xsi:type="dcterms:W3CDTF">2021-11-20T14:35:00Z</dcterms:created>
  <dcterms:modified xsi:type="dcterms:W3CDTF">2021-11-21T03:23:00Z</dcterms:modified>
</cp:coreProperties>
</file>