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F89B" w14:textId="36A0D135" w:rsidR="003E3F36" w:rsidRDefault="003E3F36" w:rsidP="003E3F36">
      <w:pPr>
        <w:pStyle w:val="Heading2"/>
      </w:pPr>
      <w:bookmarkStart w:id="0" w:name="_Hlk87047188"/>
      <w:r>
        <w:t>1</w:t>
      </w:r>
      <w:r w:rsidR="007B3EE0">
        <w:t xml:space="preserve"> – Theory</w:t>
      </w:r>
    </w:p>
    <w:p w14:paraId="457E0C71" w14:textId="77777777" w:rsidR="00CF0CF7" w:rsidRPr="00A12585" w:rsidRDefault="00CF0CF7" w:rsidP="00CF0CF7">
      <w:pPr>
        <w:pStyle w:val="Heading4"/>
        <w:rPr>
          <w:color w:val="FF0000"/>
        </w:rPr>
      </w:pPr>
      <w:r>
        <w:t>Interpretation: debaters must include page numbers from which they quote in citations for their evidence if the original source has pages.</w:t>
      </w:r>
    </w:p>
    <w:p w14:paraId="0FB019A7" w14:textId="5AE7CC17" w:rsidR="00CF0CF7" w:rsidRDefault="00CF0CF7" w:rsidP="00CF0CF7">
      <w:pPr>
        <w:pStyle w:val="Heading4"/>
      </w:pPr>
      <w:r>
        <w:t xml:space="preserve">Violation: they didn’t – examples include their </w:t>
      </w:r>
      <w:r w:rsidR="00690E34">
        <w:t xml:space="preserve">NLRB 85 </w:t>
      </w:r>
      <w:r w:rsidR="00665402">
        <w:t xml:space="preserve">and </w:t>
      </w:r>
      <w:r w:rsidR="007B3EE0">
        <w:t>Macmillan</w:t>
      </w:r>
      <w:r>
        <w:t xml:space="preserve"> card(s).</w:t>
      </w:r>
    </w:p>
    <w:p w14:paraId="71D4E3E5" w14:textId="77777777" w:rsidR="00CF0CF7" w:rsidRDefault="00CF0CF7" w:rsidP="00CF0CF7">
      <w:pPr>
        <w:pStyle w:val="Heading4"/>
        <w:tabs>
          <w:tab w:val="left" w:pos="4002"/>
          <w:tab w:val="left" w:pos="5660"/>
        </w:tabs>
      </w:pPr>
      <w:r>
        <w:t>Standards:</w:t>
      </w:r>
    </w:p>
    <w:p w14:paraId="0F37CC4B" w14:textId="77777777" w:rsidR="00CF0CF7" w:rsidRPr="00F66A5B" w:rsidRDefault="00CF0CF7" w:rsidP="00CF0CF7">
      <w:pPr>
        <w:pStyle w:val="Heading4"/>
        <w:rPr>
          <w:color w:val="FF0000"/>
        </w:rPr>
      </w:pPr>
      <w:r>
        <w:t>[1] NSDA rules – the unified manual says to include page numbers.</w:t>
      </w:r>
    </w:p>
    <w:p w14:paraId="6AA515B6" w14:textId="77777777" w:rsidR="00CF0CF7" w:rsidRPr="00503A91" w:rsidRDefault="00CF0CF7" w:rsidP="00CF0CF7">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6"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5A3ED75C" w14:textId="77777777" w:rsidR="00CF0CF7" w:rsidRPr="005526DB" w:rsidRDefault="00CF0CF7" w:rsidP="00CF0CF7">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37D8C202" w14:textId="77777777" w:rsidR="00CF0CF7" w:rsidRPr="000036FA" w:rsidRDefault="00CF0CF7" w:rsidP="00CF0CF7">
      <w:pPr>
        <w:rPr>
          <w:sz w:val="16"/>
        </w:rPr>
      </w:pPr>
      <w:r w:rsidRPr="000036FA">
        <w:rPr>
          <w:sz w:val="16"/>
        </w:rPr>
        <w:t>1. Full name of primary author and/or editor</w:t>
      </w:r>
    </w:p>
    <w:p w14:paraId="11979B8C" w14:textId="77777777" w:rsidR="00CF0CF7" w:rsidRPr="000036FA" w:rsidRDefault="00CF0CF7" w:rsidP="00CF0CF7">
      <w:pPr>
        <w:rPr>
          <w:sz w:val="16"/>
        </w:rPr>
      </w:pPr>
      <w:r w:rsidRPr="000036FA">
        <w:rPr>
          <w:sz w:val="16"/>
        </w:rPr>
        <w:t>2. Publication date</w:t>
      </w:r>
    </w:p>
    <w:p w14:paraId="00371504" w14:textId="77777777" w:rsidR="00CF0CF7" w:rsidRPr="000036FA" w:rsidRDefault="00CF0CF7" w:rsidP="00CF0CF7">
      <w:pPr>
        <w:rPr>
          <w:sz w:val="16"/>
        </w:rPr>
      </w:pPr>
      <w:r w:rsidRPr="000036FA">
        <w:rPr>
          <w:sz w:val="16"/>
        </w:rPr>
        <w:t>3. Source</w:t>
      </w:r>
    </w:p>
    <w:p w14:paraId="5C2DF50C" w14:textId="77777777" w:rsidR="00CF0CF7" w:rsidRPr="000036FA" w:rsidRDefault="00CF0CF7" w:rsidP="00CF0CF7">
      <w:pPr>
        <w:rPr>
          <w:sz w:val="16"/>
        </w:rPr>
      </w:pPr>
      <w:r w:rsidRPr="000036FA">
        <w:rPr>
          <w:sz w:val="16"/>
        </w:rPr>
        <w:t>4. Title of article</w:t>
      </w:r>
    </w:p>
    <w:p w14:paraId="6A1EA8D9" w14:textId="77777777" w:rsidR="00CF0CF7" w:rsidRPr="000036FA" w:rsidRDefault="00CF0CF7" w:rsidP="00CF0CF7">
      <w:pPr>
        <w:rPr>
          <w:sz w:val="16"/>
        </w:rPr>
      </w:pPr>
      <w:r w:rsidRPr="000036FA">
        <w:rPr>
          <w:sz w:val="16"/>
        </w:rPr>
        <w:t>5. Date accessed for digital evidence</w:t>
      </w:r>
    </w:p>
    <w:p w14:paraId="35406CBE" w14:textId="77777777" w:rsidR="00CF0CF7" w:rsidRPr="000036FA" w:rsidRDefault="00CF0CF7" w:rsidP="00CF0CF7">
      <w:pPr>
        <w:rPr>
          <w:sz w:val="16"/>
        </w:rPr>
      </w:pPr>
      <w:r w:rsidRPr="000036FA">
        <w:rPr>
          <w:sz w:val="16"/>
        </w:rPr>
        <w:t>6. Full URL, if applicable</w:t>
      </w:r>
    </w:p>
    <w:p w14:paraId="03987BAF" w14:textId="77777777" w:rsidR="00CF0CF7" w:rsidRPr="000036FA" w:rsidRDefault="00CF0CF7" w:rsidP="00CF0CF7">
      <w:pPr>
        <w:rPr>
          <w:sz w:val="16"/>
        </w:rPr>
      </w:pPr>
      <w:r w:rsidRPr="000036FA">
        <w:rPr>
          <w:sz w:val="16"/>
        </w:rPr>
        <w:t>7. Author qualifications</w:t>
      </w:r>
    </w:p>
    <w:p w14:paraId="0BCDA711" w14:textId="77777777" w:rsidR="00CF0CF7" w:rsidRPr="007E48C4" w:rsidRDefault="00CF0CF7" w:rsidP="00CF0CF7">
      <w:pPr>
        <w:rPr>
          <w:rStyle w:val="StyleUnderline"/>
        </w:rPr>
      </w:pPr>
      <w:r w:rsidRPr="007E48C4">
        <w:rPr>
          <w:rStyle w:val="StyleUnderline"/>
        </w:rPr>
        <w:t xml:space="preserve">8. </w:t>
      </w:r>
      <w:r w:rsidRPr="007E48C4">
        <w:rPr>
          <w:rStyle w:val="StyleUnderline"/>
          <w:highlight w:val="cyan"/>
        </w:rPr>
        <w:t>Page number(s)</w:t>
      </w:r>
    </w:p>
    <w:p w14:paraId="6B8EFD62" w14:textId="77777777" w:rsidR="00CF0CF7" w:rsidRPr="003A2B2F" w:rsidRDefault="00CF0CF7" w:rsidP="00CF0CF7">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679B7A02" w14:textId="77777777" w:rsidR="00CF0CF7" w:rsidRDefault="00CF0CF7" w:rsidP="00CF0CF7">
      <w:pPr>
        <w:pStyle w:val="Heading4"/>
      </w:pPr>
      <w:r>
        <w:t xml:space="preserve">[2] Evidence ethics – no way to check whether their quote exists because we can’t find it in the book – they can just make up whatever “evidence” they want, and there’s not enough time for us to verify that it is </w:t>
      </w:r>
      <w:proofErr w:type="gramStart"/>
      <w:r>
        <w:t>actually legit</w:t>
      </w:r>
      <w:proofErr w:type="gramEnd"/>
      <w:r>
        <w:t xml:space="preserve"> evidence. Ctrl + f doesn’t solve – many articles have weird formatting that prevents it from functioning. That’s a voter – a) debate is meaningless if we’re academically dishonest and have no argument credibility, b) uncredible evidence means we don’t know if their claims are true, which also serves as a substantive indict, and c) debate should prepare for the real world, in which small ev ethics violations are punished severely – large repercussions the control internal link to other impacts.</w:t>
      </w:r>
    </w:p>
    <w:p w14:paraId="52A47DA9" w14:textId="77777777" w:rsidR="00CF0CF7" w:rsidRPr="00F052C5" w:rsidRDefault="00CF0CF7" w:rsidP="00CF0CF7">
      <w:pPr>
        <w:pStyle w:val="Heading4"/>
      </w:pPr>
      <w:r>
        <w:t>Also links to inclusion – small school debaters tend to use cards from the wiki. Bad citations negatively impact their research. That’s a voter because inclusion is a prereq to debate.</w:t>
      </w:r>
    </w:p>
    <w:p w14:paraId="0B759B8F" w14:textId="77777777" w:rsidR="00CF0CF7" w:rsidRDefault="00CF0CF7" w:rsidP="00CF0CF7">
      <w:pPr>
        <w:pStyle w:val="Heading4"/>
        <w:rPr>
          <w:lang w:val="en"/>
        </w:rPr>
      </w:pPr>
      <w:r>
        <w:rPr>
          <w:lang w:val="en"/>
        </w:rPr>
        <w:t>DTD – a) in real life, you don’t get a quote cut out of your essay; you get a 0 on it – it’s best to teach good norms now, and b) deters future abuse.</w:t>
      </w:r>
    </w:p>
    <w:p w14:paraId="39DD644A" w14:textId="77777777" w:rsidR="00CF0CF7" w:rsidRPr="00611FFC" w:rsidRDefault="00CF0CF7" w:rsidP="00CF0CF7">
      <w:pPr>
        <w:pStyle w:val="Heading4"/>
        <w:rPr>
          <w:color w:val="FF0000"/>
          <w:lang w:val="en"/>
        </w:rPr>
      </w:pPr>
      <w:bookmarkStart w:id="1" w:name="_Hlk81349863"/>
      <w:r>
        <w:rPr>
          <w:lang w:val="en"/>
        </w:rPr>
        <w:t xml:space="preserve">Competing interps – a) reasonability is arbitrary, b) collapses because brightlines concede offense-defense paradigm, c) only CI prevents abuse since it can set norms, not decide rounds on a case-by-case basis. </w:t>
      </w:r>
    </w:p>
    <w:p w14:paraId="7D5D2C38" w14:textId="77777777" w:rsidR="00CF0CF7" w:rsidRDefault="00CF0CF7" w:rsidP="00CF0CF7">
      <w:pPr>
        <w:pStyle w:val="Heading4"/>
        <w:rPr>
          <w:lang w:val="en"/>
        </w:rPr>
      </w:pPr>
      <w:r>
        <w:rPr>
          <w:lang w:val="en"/>
        </w:rPr>
        <w:t>No RVIs – a) you don’t win for being academically honest, b) people will bait theory to win on the RVI, which causes abuse.</w:t>
      </w:r>
    </w:p>
    <w:bookmarkEnd w:id="1"/>
    <w:p w14:paraId="711F30FA" w14:textId="12B7235E" w:rsidR="003E3F36" w:rsidRDefault="003E3F36" w:rsidP="003E3F36">
      <w:pPr>
        <w:pStyle w:val="Heading2"/>
        <w:rPr>
          <w:lang w:val="en"/>
        </w:rPr>
      </w:pPr>
      <w:r>
        <w:rPr>
          <w:lang w:val="en"/>
        </w:rPr>
        <w:t>2</w:t>
      </w:r>
      <w:r w:rsidR="007B3EE0">
        <w:rPr>
          <w:lang w:val="en"/>
        </w:rPr>
        <w:t xml:space="preserve"> – Korsgaard</w:t>
      </w:r>
    </w:p>
    <w:p w14:paraId="1859D505" w14:textId="728D330F" w:rsidR="003E3F36" w:rsidRPr="003E3F36" w:rsidRDefault="003E3F36" w:rsidP="003E3F36">
      <w:pPr>
        <w:pStyle w:val="Heading3"/>
        <w:rPr>
          <w:lang w:val="en"/>
        </w:rPr>
      </w:pPr>
      <w:r>
        <w:rPr>
          <w:lang w:val="en"/>
        </w:rPr>
        <w:t>Framework</w:t>
      </w:r>
    </w:p>
    <w:p w14:paraId="7A77010C" w14:textId="77777777" w:rsidR="003E3F36" w:rsidRPr="005449FE" w:rsidRDefault="003E3F36" w:rsidP="003E3F36">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r>
        <w:rPr>
          <w:rFonts w:eastAsiaTheme="majorEastAsia" w:cstheme="majorBidi"/>
          <w:b/>
          <w:iCs/>
        </w:rPr>
        <w:t xml:space="preserve"> – ethics are derived from a priori principles.</w:t>
      </w:r>
    </w:p>
    <w:p w14:paraId="427021C5" w14:textId="77777777" w:rsidR="003E3F36" w:rsidRPr="00D84E5D" w:rsidRDefault="003E3F36" w:rsidP="003E3F36">
      <w:pPr>
        <w:keepNext/>
        <w:keepLines/>
        <w:spacing w:before="40" w:after="0"/>
        <w:outlineLvl w:val="3"/>
        <w:rPr>
          <w:rFonts w:eastAsiaTheme="majorEastAsia" w:cstheme="majorBidi"/>
          <w:b/>
          <w:iCs/>
          <w:color w:val="C00000"/>
        </w:rPr>
      </w:pPr>
      <w:r w:rsidRPr="005449FE">
        <w:rPr>
          <w:rFonts w:eastAsiaTheme="majorEastAsia" w:cstheme="majorBidi"/>
          <w:b/>
          <w:iCs/>
        </w:rPr>
        <w:t>[1] Is-ought gap – we only perceive</w:t>
      </w:r>
      <w:r>
        <w:rPr>
          <w:rFonts w:eastAsiaTheme="majorEastAsia" w:cstheme="majorBidi"/>
          <w:b/>
          <w:iCs/>
        </w:rPr>
        <w:t xml:space="preserve"> what is</w:t>
      </w:r>
      <w:r w:rsidRPr="005449FE">
        <w:rPr>
          <w:rFonts w:eastAsiaTheme="majorEastAsia" w:cstheme="majorBidi"/>
          <w:b/>
          <w:iCs/>
        </w:rPr>
        <w:t xml:space="preserve">, not what ought to be. It’s impossible to derive prescriptive </w:t>
      </w:r>
      <w:r>
        <w:rPr>
          <w:rFonts w:eastAsiaTheme="majorEastAsia" w:cstheme="majorBidi"/>
          <w:b/>
          <w:iCs/>
        </w:rPr>
        <w:t xml:space="preserve">moral </w:t>
      </w:r>
      <w:r w:rsidRPr="005449FE">
        <w:rPr>
          <w:rFonts w:eastAsiaTheme="majorEastAsia" w:cstheme="majorBidi"/>
          <w:b/>
          <w:iCs/>
        </w:rPr>
        <w:t>obligation from descriptive premises.</w:t>
      </w:r>
    </w:p>
    <w:p w14:paraId="546C5A2D" w14:textId="22E284CA" w:rsidR="003E3F36" w:rsidRPr="005449FE" w:rsidRDefault="00CF0CF7" w:rsidP="003E3F36">
      <w:pPr>
        <w:keepNext/>
        <w:keepLines/>
        <w:spacing w:before="40" w:after="0"/>
        <w:outlineLvl w:val="3"/>
        <w:rPr>
          <w:rFonts w:eastAsiaTheme="majorEastAsia" w:cstheme="majorBidi"/>
          <w:b/>
          <w:iCs/>
        </w:rPr>
      </w:pPr>
      <w:r>
        <w:rPr>
          <w:rFonts w:eastAsiaTheme="majorEastAsia" w:cstheme="majorBidi"/>
          <w:b/>
          <w:iCs/>
        </w:rPr>
        <w:t>[2</w:t>
      </w:r>
      <w:r w:rsidR="003E3F36" w:rsidRPr="005449FE">
        <w:rPr>
          <w:rFonts w:eastAsiaTheme="majorEastAsia" w:cstheme="majorBidi"/>
          <w:b/>
          <w:iCs/>
        </w:rPr>
        <w:t>] Infinite regress – we can always ask “why should I follow this framework,” leading to infinite regress, but asking for a reason for reason concedes its authority</w:t>
      </w:r>
      <w:r w:rsidR="003E3F36">
        <w:rPr>
          <w:rFonts w:eastAsiaTheme="majorEastAsia" w:cstheme="majorBidi"/>
          <w:b/>
          <w:iCs/>
        </w:rPr>
        <w:t>, meaning only my framework solves for regress</w:t>
      </w:r>
    </w:p>
    <w:p w14:paraId="5BCC6037" w14:textId="77777777" w:rsidR="003E3F36" w:rsidRPr="005449FE" w:rsidRDefault="003E3F36" w:rsidP="003E3F36">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4A93FF16" w14:textId="77777777" w:rsidR="003E3F36" w:rsidRPr="005449FE" w:rsidRDefault="003E3F36" w:rsidP="003E3F36">
      <w:pPr>
        <w:keepNext/>
        <w:keepLines/>
        <w:tabs>
          <w:tab w:val="left" w:pos="10043"/>
        </w:tab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1</w:t>
      </w:r>
      <w:r w:rsidRPr="005449FE">
        <w:rPr>
          <w:rFonts w:eastAsiaTheme="majorEastAsia" w:cstheme="majorBidi"/>
          <w:b/>
          <w:iCs/>
        </w:rPr>
        <w:t xml:space="preserve">]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2208B9F0" w14:textId="77777777" w:rsidR="003E3F36" w:rsidRPr="005449FE" w:rsidRDefault="003E3F36" w:rsidP="003E3F36">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1D7DD52D" w14:textId="77777777" w:rsidR="003E3F36" w:rsidRPr="005449FE" w:rsidRDefault="003E3F36" w:rsidP="003E3F36">
      <w:pPr>
        <w:keepNext/>
        <w:keepLines/>
        <w:spacing w:before="40" w:after="0"/>
        <w:outlineLvl w:val="3"/>
        <w:rPr>
          <w:rFonts w:eastAsiaTheme="majorEastAsia" w:cstheme="majorBidi"/>
          <w:b/>
          <w:iCs/>
        </w:rPr>
      </w:pPr>
      <w:bookmarkStart w:id="2" w:name="_Hlk81828350"/>
      <w:r w:rsidRPr="005449FE">
        <w:rPr>
          <w:rFonts w:eastAsiaTheme="majorEastAsia" w:cstheme="majorBidi"/>
          <w:b/>
          <w:iCs/>
        </w:rPr>
        <w:t>[2] Other frameworks collapse – they contain conditional obligations which derive authority from the categorical imperative.</w:t>
      </w:r>
    </w:p>
    <w:p w14:paraId="7F67E1E1" w14:textId="77777777" w:rsidR="003E3F36" w:rsidRPr="005449FE" w:rsidRDefault="003E3F36" w:rsidP="003E3F36">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4F518054" w14:textId="77777777" w:rsidR="003E3F36" w:rsidRDefault="003E3F36" w:rsidP="003E3F36">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w:t>
      </w:r>
      <w:r w:rsidRPr="00D106C8">
        <w:rPr>
          <w:b/>
          <w:u w:val="single"/>
        </w:rPr>
        <w:t>one should do so - the law would then "contain the condition" that our maxims should conform to the will of God</w:t>
      </w:r>
      <w:r w:rsidRPr="00D106C8">
        <w:rPr>
          <w:sz w:val="16"/>
        </w:rPr>
        <w:t>. This would yield</w:t>
      </w:r>
      <w:r w:rsidRPr="005449FE">
        <w:rPr>
          <w:sz w:val="16"/>
        </w:rPr>
        <w:t xml:space="preserve">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w:t>
      </w:r>
      <w:r w:rsidRPr="00D106C8">
        <w:rPr>
          <w:b/>
          <w:u w:val="single"/>
        </w:rPr>
        <w:t xml:space="preserve"> those principles</w:t>
      </w:r>
      <w:r w:rsidRPr="005449FE">
        <w:rPr>
          <w:sz w:val="16"/>
        </w:rPr>
        <w:t>, principles which are themselves laws. Kant continues:</w:t>
      </w:r>
    </w:p>
    <w:bookmarkEnd w:id="2"/>
    <w:p w14:paraId="798EE869" w14:textId="40B3F5E4" w:rsidR="003E3F36" w:rsidRDefault="003E3F36" w:rsidP="003E3F36">
      <w:pPr>
        <w:pStyle w:val="Heading3"/>
      </w:pPr>
      <w:r>
        <w:t>Offense</w:t>
      </w:r>
    </w:p>
    <w:p w14:paraId="37A6C86C" w14:textId="77777777" w:rsidR="003E3F36" w:rsidRPr="00457A2B" w:rsidRDefault="003E3F36" w:rsidP="003E3F36">
      <w:pPr>
        <w:pStyle w:val="Heading4"/>
        <w:rPr>
          <w:rStyle w:val="Style13ptBold"/>
          <w:b/>
          <w:bCs w:val="0"/>
          <w:color w:val="C00000"/>
        </w:rPr>
      </w:pPr>
      <w:r>
        <w:rPr>
          <w:rStyle w:val="Style13ptBold"/>
          <w:b/>
          <w:bCs w:val="0"/>
        </w:rPr>
        <w:t>[1] Striking intrinsically violates the contractual relationship workers agree to – it justifies employees’ ability to violate contract but enforces employers’ duty to uphold it.</w:t>
      </w:r>
    </w:p>
    <w:p w14:paraId="1463A3E4" w14:textId="77777777" w:rsidR="003E3F36" w:rsidRPr="00ED291B" w:rsidRDefault="003E3F36" w:rsidP="003E3F36">
      <w:pPr>
        <w:rPr>
          <w:sz w:val="16"/>
        </w:rPr>
      </w:pPr>
      <w:bookmarkStart w:id="3" w:name="_Hlk85659124"/>
      <w:proofErr w:type="spellStart"/>
      <w:r w:rsidRPr="00ED291B">
        <w:rPr>
          <w:rStyle w:val="Style13ptBold"/>
        </w:rPr>
        <w:t>Gourevitch</w:t>
      </w:r>
      <w:proofErr w:type="spellEnd"/>
      <w:r w:rsidRPr="00ED291B">
        <w:rPr>
          <w:rStyle w:val="Style13ptBold"/>
        </w:rPr>
        <w:t xml:space="preserve"> 16</w:t>
      </w:r>
      <w:r w:rsidRPr="00ED291B">
        <w:t xml:space="preserve"> </w:t>
      </w:r>
      <w:r w:rsidRPr="00ED291B">
        <w:rPr>
          <w:sz w:val="16"/>
        </w:rPr>
        <w:t xml:space="preserve">Alex </w:t>
      </w:r>
      <w:proofErr w:type="spellStart"/>
      <w:r w:rsidRPr="00ED291B">
        <w:rPr>
          <w:sz w:val="16"/>
        </w:rPr>
        <w:t>Gourevitch</w:t>
      </w:r>
      <w:proofErr w:type="spellEnd"/>
      <w:r w:rsidRPr="00ED291B">
        <w:rPr>
          <w:sz w:val="16"/>
        </w:rPr>
        <w:t xml:space="preserve">, assistant professor of political science at Brown University, “Quitting Work but Not the Job: Liberty and the Right to Strike,” 2016, American Political Science Association, accessed 20 October 2021, Pg. 309, </w:t>
      </w:r>
      <w:hyperlink r:id="rId7" w:history="1">
        <w:r w:rsidRPr="00ED291B">
          <w:rPr>
            <w:rStyle w:val="Hyperlink"/>
            <w:sz w:val="16"/>
          </w:rPr>
          <w:t>https://sci-hub.do/10.1017/S1537592716000049</w:t>
        </w:r>
      </w:hyperlink>
      <w:r w:rsidRPr="00ED291B">
        <w:rPr>
          <w:sz w:val="16"/>
        </w:rPr>
        <w:t xml:space="preserve"> ~ST~</w:t>
      </w:r>
      <w:r>
        <w:rPr>
          <w:sz w:val="16"/>
        </w:rPr>
        <w:t xml:space="preserve"> </w:t>
      </w:r>
      <w:proofErr w:type="spellStart"/>
      <w:r>
        <w:rPr>
          <w:sz w:val="16"/>
        </w:rPr>
        <w:t>Gourevitch</w:t>
      </w:r>
      <w:proofErr w:type="spellEnd"/>
      <w:r>
        <w:rPr>
          <w:sz w:val="16"/>
        </w:rPr>
        <w:t xml:space="preserve"> does not agree with the terminal conclusion of the aff</w:t>
      </w:r>
    </w:p>
    <w:bookmarkEnd w:id="3"/>
    <w:p w14:paraId="4D930E56" w14:textId="77777777" w:rsidR="003E3F36" w:rsidRPr="00ED291B" w:rsidRDefault="003E3F36" w:rsidP="003E3F36">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1D99CF0A" w14:textId="77777777" w:rsidR="003E3F36" w:rsidRDefault="003E3F36" w:rsidP="003E3F36">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30A86549" w14:textId="77777777" w:rsidR="003E3F36" w:rsidRDefault="003E3F36" w:rsidP="003E3F36">
      <w:pPr>
        <w:pStyle w:val="Heading4"/>
      </w:pPr>
      <w:r>
        <w:t>Breaking work contracts, which are promises of labor, is non-universalizable.</w:t>
      </w:r>
    </w:p>
    <w:p w14:paraId="47427344" w14:textId="77777777" w:rsidR="003E3F36" w:rsidRPr="006C67B3" w:rsidRDefault="003E3F36" w:rsidP="003E3F36">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8" w:history="1">
        <w:r w:rsidRPr="006C67B3">
          <w:rPr>
            <w:rStyle w:val="Hyperlink"/>
            <w:sz w:val="16"/>
          </w:rPr>
          <w:t>https://courses.lumenlearning.com/sanjacinto-philosophy/chapter/kantian-ethics-main-concepts/</w:t>
        </w:r>
      </w:hyperlink>
      <w:r w:rsidRPr="006C67B3">
        <w:rPr>
          <w:sz w:val="16"/>
        </w:rPr>
        <w:t xml:space="preserve"> ~ST~</w:t>
      </w:r>
    </w:p>
    <w:p w14:paraId="5B4CD80F" w14:textId="77777777" w:rsidR="003E3F36" w:rsidRPr="006C67B3" w:rsidRDefault="003E3F36" w:rsidP="003E3F36">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A contradiction in conception happens when, if a maxim were to be universalized, it ceases to make sense because the “…maxim would necessarily destroy itself as soon as it was made a universal law.”[16] For example, </w:t>
      </w:r>
      <w:r w:rsidRPr="006C67B3">
        <w:rPr>
          <w:rStyle w:val="StyleUnderline"/>
          <w:highlight w:val="cyan"/>
        </w:rPr>
        <w:t>if</w:t>
      </w:r>
      <w:r w:rsidRPr="006C67B3">
        <w:rPr>
          <w:rStyle w:val="StyleUnderline"/>
        </w:rPr>
        <w:t xml:space="preserve"> the maxim </w:t>
      </w:r>
      <w:r w:rsidRPr="006C67B3">
        <w:rPr>
          <w:rStyle w:val="StyleUnderline"/>
          <w:highlight w:val="cyan"/>
        </w:rPr>
        <w:t>‘It is permissible to break promises’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 xml:space="preserve">[17]A maxim can also be immoral if it creates a contradiction in the will when universalized. This does not mean a logical contradiction, but that universalizing the maxim leads to a </w:t>
      </w:r>
      <w:proofErr w:type="gramStart"/>
      <w:r w:rsidRPr="006C67B3">
        <w:rPr>
          <w:sz w:val="16"/>
        </w:rPr>
        <w:t>state of affairs</w:t>
      </w:r>
      <w:proofErr w:type="gramEnd"/>
      <w:r w:rsidRPr="006C67B3">
        <w:rPr>
          <w:sz w:val="16"/>
        </w:rPr>
        <w:t xml:space="preserve">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437BAE80" w14:textId="5A5E2777" w:rsidR="003E3F36" w:rsidRPr="00D84E5D" w:rsidRDefault="003E3F36" w:rsidP="003E3F36">
      <w:pPr>
        <w:pStyle w:val="Heading4"/>
        <w:rPr>
          <w:rFonts w:cs="Arial"/>
          <w:color w:val="C00000"/>
        </w:rPr>
      </w:pPr>
      <w:r>
        <w:rPr>
          <w:rFonts w:cs="Arial"/>
        </w:rPr>
        <w:t xml:space="preserve">[2] A </w:t>
      </w:r>
      <w:r w:rsidRPr="0050067E">
        <w:rPr>
          <w:rFonts w:cs="Arial"/>
        </w:rPr>
        <w:t xml:space="preserve">strike uses </w:t>
      </w:r>
      <w:r>
        <w:rPr>
          <w:rFonts w:cs="Arial"/>
        </w:rPr>
        <w:t>the employer and society</w:t>
      </w:r>
      <w:r w:rsidRPr="0050067E">
        <w:rPr>
          <w:rFonts w:cs="Arial"/>
        </w:rPr>
        <w:t xml:space="preserve"> </w:t>
      </w:r>
      <w:proofErr w:type="gramStart"/>
      <w:r w:rsidRPr="0050067E">
        <w:rPr>
          <w:rFonts w:cs="Arial"/>
        </w:rPr>
        <w:t>as a means to</w:t>
      </w:r>
      <w:proofErr w:type="gramEnd"/>
      <w:r w:rsidRPr="0050067E">
        <w:rPr>
          <w:rFonts w:cs="Arial"/>
        </w:rPr>
        <w:t xml:space="preserve"> an end.</w:t>
      </w:r>
    </w:p>
    <w:p w14:paraId="7AE22CF4" w14:textId="77777777" w:rsidR="003E3F36" w:rsidRPr="00135C28" w:rsidRDefault="003E3F36" w:rsidP="003E3F36">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9" w:history="1">
        <w:r w:rsidRPr="00135C28">
          <w:rPr>
            <w:rStyle w:val="Hyperlink"/>
            <w:sz w:val="16"/>
          </w:rPr>
          <w:t>https://www.otherpapers.com/essay/Ethicality-of-Labor-Strike-Demonstrates-by-Social-Workers/62694.html</w:t>
        </w:r>
      </w:hyperlink>
      <w:r w:rsidRPr="00135C28">
        <w:rPr>
          <w:sz w:val="16"/>
        </w:rPr>
        <w:t xml:space="preserve"> JG recut</w:t>
      </w:r>
    </w:p>
    <w:p w14:paraId="51E37F48" w14:textId="77777777" w:rsidR="003E3F36" w:rsidRPr="00135C28" w:rsidRDefault="003E3F36" w:rsidP="003E3F36">
      <w:pPr>
        <w:rPr>
          <w:sz w:val="16"/>
        </w:rPr>
      </w:pPr>
      <w:r w:rsidRPr="00135C28">
        <w:rPr>
          <w:sz w:val="16"/>
        </w:rPr>
        <w:t xml:space="preserve">A further formula of the Categorical Imperative is "so, act as to treat humanity, whether in your own person or in that of any other context, never solely </w:t>
      </w:r>
      <w:proofErr w:type="gramStart"/>
      <w:r w:rsidRPr="00135C28">
        <w:rPr>
          <w:sz w:val="16"/>
        </w:rPr>
        <w:t>as a means to</w:t>
      </w:r>
      <w:proofErr w:type="gramEnd"/>
      <w:r w:rsidRPr="00135C28">
        <w:rPr>
          <w:sz w:val="16"/>
        </w:rPr>
        <w:t xml:space="preserve">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w:t>
      </w:r>
      <w:proofErr w:type="gramStart"/>
      <w:r w:rsidRPr="00D84E5D">
        <w:rPr>
          <w:rStyle w:val="StyleUnderline"/>
        </w:rPr>
        <w:t xml:space="preserve">duly and unduly influence the </w:t>
      </w:r>
      <w:r w:rsidRPr="00D0357A">
        <w:rPr>
          <w:rStyle w:val="StyleUnderline"/>
          <w:highlight w:val="cyan"/>
        </w:rPr>
        <w:t>bargain</w:t>
      </w:r>
      <w:r w:rsidRPr="00D84E5D">
        <w:rPr>
          <w:rStyle w:val="StyleUnderline"/>
        </w:rPr>
        <w:t>ing process</w:t>
      </w:r>
      <w:proofErr w:type="gramEnd"/>
      <w:r w:rsidRPr="00D84E5D">
        <w:rPr>
          <w:rStyle w:val="StyleUnderline"/>
        </w:rPr>
        <w:t xml:space="preserve">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1F96C3B3" w14:textId="5E8D5E0C" w:rsidR="003E3F36" w:rsidRPr="00D84E5D" w:rsidRDefault="003E3F36" w:rsidP="003E3F36">
      <w:pPr>
        <w:pStyle w:val="Heading4"/>
        <w:rPr>
          <w:color w:val="C00000"/>
        </w:rPr>
      </w:pPr>
      <w:r>
        <w:t xml:space="preserve">Strikes in essential services reduces society to a mere </w:t>
      </w:r>
      <w:r w:rsidRPr="00384BFB">
        <w:t>means</w:t>
      </w:r>
      <w:r>
        <w:t xml:space="preserve"> to an </w:t>
      </w:r>
      <w:r w:rsidRPr="00384BFB">
        <w:t>end</w:t>
      </w:r>
      <w:r>
        <w:t>.</w:t>
      </w:r>
    </w:p>
    <w:p w14:paraId="75DE7BFF" w14:textId="77777777" w:rsidR="003E3F36" w:rsidRPr="009C29D4" w:rsidRDefault="003E3F36" w:rsidP="003E3F36">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7347DAE6" w14:textId="77777777" w:rsidR="003E3F36" w:rsidRPr="009C29D4" w:rsidRDefault="003E3F36" w:rsidP="003E3F36">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 xml:space="preserve">Striking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26A58DBC" w14:textId="77777777" w:rsidR="003E3F36" w:rsidRPr="00135C28" w:rsidRDefault="003E3F36" w:rsidP="003E3F36">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135C28">
        <w:rPr>
          <w:rStyle w:val="StyleUnderline"/>
        </w:rPr>
        <w:t>effected</w:t>
      </w:r>
      <w:proofErr w:type="spellEnd"/>
      <w:proofErr w:type="gramEnd"/>
      <w:r w:rsidRPr="00135C28">
        <w:rPr>
          <w:rStyle w:val="StyleUnderline"/>
        </w:rPr>
        <w:t xml:space="preserve">. </w:t>
      </w:r>
      <w:r w:rsidRPr="00135C28">
        <w:rPr>
          <w:rStyle w:val="StyleUnderline"/>
          <w:highlight w:val="cyan"/>
        </w:rPr>
        <w:t>To be effective, a strike</w:t>
      </w:r>
      <w:r w:rsidRPr="00135C28">
        <w:rPr>
          <w:rStyle w:val="StyleUnderline"/>
        </w:rPr>
        <w:t xml:space="preserve"> of healthcare professionals </w:t>
      </w:r>
      <w:proofErr w:type="gramStart"/>
      <w:r w:rsidRPr="00135C28">
        <w:rPr>
          <w:rStyle w:val="StyleUnderline"/>
          <w:highlight w:val="cyan"/>
        </w:rPr>
        <w:t>has to</w:t>
      </w:r>
      <w:proofErr w:type="gramEnd"/>
      <w:r w:rsidRPr="00135C28">
        <w:rPr>
          <w:rStyle w:val="StyleUnderline"/>
          <w:highlight w:val="cyan"/>
        </w:rPr>
        <w:t xml:space="preserve"> “hurt” patients</w:t>
      </w:r>
      <w:r w:rsidRPr="00135C28">
        <w:rPr>
          <w:rStyle w:val="StyleUnderline"/>
        </w:rPr>
        <w:t xml:space="preserve"> and often patients known to the healthcare professionals.</w:t>
      </w:r>
    </w:p>
    <w:p w14:paraId="383B3998" w14:textId="77777777" w:rsidR="003E3F36" w:rsidRDefault="003E3F36" w:rsidP="003E3F36">
      <w:pPr>
        <w:pStyle w:val="Heading4"/>
        <w:rPr>
          <w:rFonts w:cs="Arial"/>
        </w:rPr>
      </w:pPr>
      <w:r w:rsidRPr="0050067E">
        <w:rPr>
          <w:rFonts w:cs="Arial"/>
        </w:rPr>
        <w:t xml:space="preserve">Using people </w:t>
      </w:r>
      <w:proofErr w:type="gramStart"/>
      <w:r w:rsidRPr="0050067E">
        <w:rPr>
          <w:rFonts w:cs="Arial"/>
        </w:rPr>
        <w:t>as a means to</w:t>
      </w:r>
      <w:proofErr w:type="gramEnd"/>
      <w:r w:rsidRPr="0050067E">
        <w:rPr>
          <w:rFonts w:cs="Arial"/>
        </w:rPr>
        <w:t xml:space="preserve"> an end ignores their intrinsic freedom as a rational agent and is therefore non-universalizable.</w:t>
      </w:r>
    </w:p>
    <w:p w14:paraId="23B85A73" w14:textId="278695DC" w:rsidR="003E3F36" w:rsidRPr="0050067E" w:rsidRDefault="003E3F36" w:rsidP="003E3F36">
      <w:pPr>
        <w:pStyle w:val="Heading4"/>
        <w:rPr>
          <w:rFonts w:cs="Arial"/>
        </w:rPr>
      </w:pPr>
      <w:r>
        <w:rPr>
          <w:rFonts w:cs="Arial"/>
        </w:rPr>
        <w:t>[3] The role of the state is to uphold the standard by hindering rights violations – the state striking neglects their obligation</w:t>
      </w:r>
      <w:r w:rsidRPr="0050067E">
        <w:rPr>
          <w:rFonts w:cs="Arial"/>
        </w:rPr>
        <w:t>.</w:t>
      </w:r>
    </w:p>
    <w:p w14:paraId="7272A047" w14:textId="77777777" w:rsidR="003E3F36" w:rsidRPr="00617669" w:rsidRDefault="003E3F36" w:rsidP="003E3F36">
      <w:pPr>
        <w:rPr>
          <w:sz w:val="16"/>
        </w:rPr>
      </w:pPr>
      <w:r w:rsidRPr="00617669">
        <w:rPr>
          <w:rStyle w:val="Style13ptBold"/>
        </w:rPr>
        <w:t>Williams no date</w:t>
      </w:r>
      <w:r w:rsidRPr="00617669">
        <w:t xml:space="preserve"> </w:t>
      </w:r>
      <w:proofErr w:type="spellStart"/>
      <w:r w:rsidRPr="00617669">
        <w:rPr>
          <w:sz w:val="16"/>
        </w:rPr>
        <w:t>Garrath</w:t>
      </w:r>
      <w:proofErr w:type="spellEnd"/>
      <w:r w:rsidRPr="00617669">
        <w:rPr>
          <w:sz w:val="16"/>
        </w:rPr>
        <w:t xml:space="preserve"> Williams, senior lecturer and researcher at Lancaster University, “Hobbes, Thomas: Moral and Political Philosophy,” no date, Internet Encyclopedia of Philosophy, accessed 24 June 2021, https://iep.utm.edu/hobmoral/</w:t>
      </w:r>
    </w:p>
    <w:p w14:paraId="03D350FA" w14:textId="14EDE948" w:rsidR="00995A9C" w:rsidRPr="007B3EE0" w:rsidRDefault="003E3F36" w:rsidP="007B3EE0">
      <w:pPr>
        <w:rPr>
          <w:sz w:val="16"/>
        </w:rPr>
      </w:pPr>
      <w:r w:rsidRPr="00617669">
        <w:rPr>
          <w:sz w:val="16"/>
        </w:rPr>
        <w:t xml:space="preserve">Thus, </w:t>
      </w:r>
      <w:proofErr w:type="gramStart"/>
      <w:r w:rsidRPr="00617669">
        <w:rPr>
          <w:sz w:val="16"/>
        </w:rPr>
        <w:t>as long as</w:t>
      </w:r>
      <w:proofErr w:type="gramEnd"/>
      <w:r w:rsidRPr="00617669">
        <w:rPr>
          <w:sz w:val="16"/>
        </w:rPr>
        <w:t xml:space="preserve"> human beings have not successfully arranged some form of government, they live in Hobbes’s state of nature. Such a condition might occur at the “beginning of time” (see Hobbes’s comments on Cain and Abel, Leviathan, xiii.11, Latin version only), or in “primitive” societies (Hobbes thought the American Indians lived in such a condition). But the real point for Hobbes is that </w:t>
      </w:r>
      <w:r w:rsidRPr="00617669">
        <w:rPr>
          <w:rStyle w:val="StyleUnderline"/>
          <w:highlight w:val="cyan"/>
        </w:rPr>
        <w:t>a state of nature</w:t>
      </w:r>
      <w:r w:rsidRPr="00617669">
        <w:rPr>
          <w:rStyle w:val="StyleUnderline"/>
        </w:rPr>
        <w:t xml:space="preserve"> could just as well occur in seventeenth century England, should the King’s authority be successfully undermined. It </w:t>
      </w:r>
      <w:r w:rsidRPr="00617669">
        <w:rPr>
          <w:rStyle w:val="StyleUnderline"/>
          <w:highlight w:val="cyan"/>
        </w:rPr>
        <w:t>could occur tomorrow in every</w:t>
      </w:r>
      <w:r w:rsidRPr="00617669">
        <w:rPr>
          <w:rStyle w:val="StyleUnderline"/>
        </w:rPr>
        <w:t xml:space="preserve"> modern </w:t>
      </w:r>
      <w:r w:rsidRPr="00617669">
        <w:rPr>
          <w:rStyle w:val="StyleUnderline"/>
          <w:highlight w:val="cyan"/>
        </w:rPr>
        <w:t>society</w:t>
      </w:r>
      <w:r w:rsidRPr="00617669">
        <w:rPr>
          <w:rStyle w:val="StyleUnderline"/>
        </w:rPr>
        <w:t xml:space="preserve">, for example, </w:t>
      </w:r>
      <w:r w:rsidRPr="00617669">
        <w:rPr>
          <w:rStyle w:val="StyleUnderline"/>
          <w:highlight w:val="cyan"/>
        </w:rPr>
        <w:t>if the police and army</w:t>
      </w:r>
      <w:r w:rsidRPr="00617669">
        <w:rPr>
          <w:rStyle w:val="StyleUnderline"/>
        </w:rPr>
        <w:t xml:space="preserve"> suddenly </w:t>
      </w:r>
      <w:r w:rsidRPr="00617669">
        <w:rPr>
          <w:rStyle w:val="StyleUnderline"/>
          <w:highlight w:val="cyan"/>
        </w:rPr>
        <w:t>refused to do their jobs</w:t>
      </w:r>
      <w:r w:rsidRPr="00617669">
        <w:rPr>
          <w:rStyle w:val="StyleUnderline"/>
        </w:rPr>
        <w:t xml:space="preserve"> on behalf of government.</w:t>
      </w:r>
      <w:r w:rsidRPr="00617669">
        <w:rPr>
          <w:sz w:val="16"/>
        </w:rPr>
        <w:t xml:space="preserve"> Unless some effective authority stepped into the King’s place (or the place of army and police and government), Hobbes argues the result is doomed to be deeply awful, nothing less than a state of war. Why should peaceful cooperation be impossible without an overarching authority? Hobbes provides a series of powerful arguments that suggest </w:t>
      </w:r>
      <w:r w:rsidRPr="00617669">
        <w:rPr>
          <w:rStyle w:val="StyleUnderline"/>
          <w:highlight w:val="cyan"/>
        </w:rPr>
        <w:t>it is extremely unlikely that human</w:t>
      </w:r>
      <w:r w:rsidRPr="00617669">
        <w:rPr>
          <w:rStyle w:val="StyleUnderline"/>
        </w:rPr>
        <w:t xml:space="preserve"> being</w:t>
      </w:r>
      <w:r w:rsidRPr="00617669">
        <w:rPr>
          <w:rStyle w:val="StyleUnderline"/>
          <w:highlight w:val="cyan"/>
        </w:rPr>
        <w:t>s will live in security and peace</w:t>
      </w:r>
      <w:r w:rsidRPr="00617669">
        <w:rPr>
          <w:rStyle w:val="StyleUnderline"/>
        </w:rPr>
        <w:t xml:space="preserve">ful cooperation </w:t>
      </w:r>
      <w:r w:rsidRPr="00617669">
        <w:rPr>
          <w:rStyle w:val="StyleUnderline"/>
          <w:highlight w:val="cyan"/>
        </w:rPr>
        <w:t>without government.</w:t>
      </w:r>
      <w:r w:rsidRPr="00617669">
        <w:rPr>
          <w:sz w:val="16"/>
        </w:rPr>
        <w:t xml:space="preserve"> (Anarchism, the thesis that we should live without government, of course disputes these arguments.) His most basic argument is threefold. (Leviathan, xiii.3-9) (</w:t>
      </w:r>
      <w:proofErr w:type="spellStart"/>
      <w:r w:rsidRPr="00617669">
        <w:rPr>
          <w:sz w:val="16"/>
        </w:rPr>
        <w:t>i</w:t>
      </w:r>
      <w:proofErr w:type="spellEnd"/>
      <w:r w:rsidRPr="00617669">
        <w:rPr>
          <w:sz w:val="16"/>
        </w:rPr>
        <w:t>)</w:t>
      </w:r>
      <w:r w:rsidRPr="00617669">
        <w:rPr>
          <w:rStyle w:val="StyleUnderline"/>
        </w:rPr>
        <w:t xml:space="preserve">He thinks </w:t>
      </w:r>
      <w:r w:rsidRPr="00617669">
        <w:rPr>
          <w:rStyle w:val="StyleUnderline"/>
          <w:highlight w:val="cyan"/>
        </w:rPr>
        <w:t>we will</w:t>
      </w:r>
      <w:r w:rsidRPr="00617669">
        <w:rPr>
          <w:rStyle w:val="StyleUnderline"/>
        </w:rPr>
        <w:t xml:space="preserve"> compete, </w:t>
      </w:r>
      <w:r w:rsidRPr="00617669">
        <w:rPr>
          <w:rStyle w:val="StyleUnderline"/>
          <w:highlight w:val="cyan"/>
        </w:rPr>
        <w:t>violently compete</w:t>
      </w:r>
      <w:r w:rsidRPr="00617669">
        <w:rPr>
          <w:rStyle w:val="StyleUnderline"/>
        </w:rPr>
        <w:t xml:space="preserve">, to secure the </w:t>
      </w:r>
      <w:proofErr w:type="gramStart"/>
      <w:r w:rsidRPr="00617669">
        <w:rPr>
          <w:rStyle w:val="StyleUnderline"/>
        </w:rPr>
        <w:t>basic necessities</w:t>
      </w:r>
      <w:proofErr w:type="gramEnd"/>
      <w:r w:rsidRPr="00617669">
        <w:rPr>
          <w:rStyle w:val="StyleUnderline"/>
        </w:rPr>
        <w:t xml:space="preserve"> of life </w:t>
      </w:r>
      <w:r w:rsidRPr="00617669">
        <w:rPr>
          <w:rStyle w:val="StyleUnderline"/>
          <w:highlight w:val="cyan"/>
        </w:rPr>
        <w:t>and</w:t>
      </w:r>
      <w:r w:rsidRPr="00617669">
        <w:rPr>
          <w:rStyle w:val="StyleUnderline"/>
        </w:rPr>
        <w:t xml:space="preserve"> perhaps to make other material gains. (ii) He argues that we will challenge others and </w:t>
      </w:r>
      <w:r w:rsidRPr="00617669">
        <w:rPr>
          <w:rStyle w:val="StyleUnderline"/>
          <w:highlight w:val="cyan"/>
        </w:rPr>
        <w:t>fight out of fear</w:t>
      </w:r>
      <w:r w:rsidRPr="00617669">
        <w:rPr>
          <w:rStyle w:val="StyleUnderline"/>
        </w:rPr>
        <w:t xml:space="preserve"> (“diffidence”), </w:t>
      </w:r>
      <w:proofErr w:type="gramStart"/>
      <w:r w:rsidRPr="00617669">
        <w:rPr>
          <w:rStyle w:val="StyleUnderline"/>
        </w:rPr>
        <w:t>so as to</w:t>
      </w:r>
      <w:proofErr w:type="gramEnd"/>
      <w:r w:rsidRPr="00617669">
        <w:rPr>
          <w:rStyle w:val="StyleUnderline"/>
        </w:rPr>
        <w:t xml:space="preserve"> ensure our personal safety.</w:t>
      </w:r>
      <w:r w:rsidRPr="00617669">
        <w:rPr>
          <w:sz w:val="16"/>
        </w:rPr>
        <w:t xml:space="preserve"> (iii) And he believes that we will seek reputation (“glory”), both for its own sake and for its protective effects (for example, so that others will be afraid to challenge us).</w:t>
      </w:r>
      <w:bookmarkEnd w:id="0"/>
    </w:p>
    <w:sectPr w:rsidR="00995A9C" w:rsidRPr="007B3E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0007F0"/>
    <w:rsid w:val="000007F0"/>
    <w:rsid w:val="000139A3"/>
    <w:rsid w:val="00074205"/>
    <w:rsid w:val="00100833"/>
    <w:rsid w:val="001019CB"/>
    <w:rsid w:val="00104529"/>
    <w:rsid w:val="00105942"/>
    <w:rsid w:val="00107396"/>
    <w:rsid w:val="001268F7"/>
    <w:rsid w:val="00144A4C"/>
    <w:rsid w:val="0016267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3F36"/>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65402"/>
    <w:rsid w:val="0068004C"/>
    <w:rsid w:val="00690E34"/>
    <w:rsid w:val="006A2AD0"/>
    <w:rsid w:val="006C2375"/>
    <w:rsid w:val="006D4ECC"/>
    <w:rsid w:val="006E5919"/>
    <w:rsid w:val="00722258"/>
    <w:rsid w:val="007243E5"/>
    <w:rsid w:val="00766EA0"/>
    <w:rsid w:val="007A2226"/>
    <w:rsid w:val="007B3EE0"/>
    <w:rsid w:val="007F5B66"/>
    <w:rsid w:val="00823A1C"/>
    <w:rsid w:val="00845B9D"/>
    <w:rsid w:val="008525EE"/>
    <w:rsid w:val="0085783A"/>
    <w:rsid w:val="00860984"/>
    <w:rsid w:val="008B3ECB"/>
    <w:rsid w:val="008B4E85"/>
    <w:rsid w:val="008C1B2E"/>
    <w:rsid w:val="0091627E"/>
    <w:rsid w:val="0097032B"/>
    <w:rsid w:val="00995A9C"/>
    <w:rsid w:val="009D2EAD"/>
    <w:rsid w:val="009D54B2"/>
    <w:rsid w:val="009E1922"/>
    <w:rsid w:val="009F7ED2"/>
    <w:rsid w:val="00A04940"/>
    <w:rsid w:val="00A93661"/>
    <w:rsid w:val="00A95652"/>
    <w:rsid w:val="00AC0AB8"/>
    <w:rsid w:val="00AC3843"/>
    <w:rsid w:val="00AC5D4E"/>
    <w:rsid w:val="00AD7398"/>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0CF7"/>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86BDB"/>
    <w:rsid w:val="00EC7DC4"/>
    <w:rsid w:val="00ED30CF"/>
    <w:rsid w:val="00EE63B6"/>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F3C9B"/>
  <w15:chartTrackingRefBased/>
  <w15:docId w15:val="{92BE3B6B-1F51-44DF-9F3C-B0A4D172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3EE0"/>
    <w:rPr>
      <w:rFonts w:ascii="Arial" w:hAnsi="Arial" w:cs="Arial"/>
      <w:sz w:val="24"/>
    </w:rPr>
  </w:style>
  <w:style w:type="paragraph" w:styleId="Heading1">
    <w:name w:val="heading 1"/>
    <w:aliases w:val="Pocket"/>
    <w:basedOn w:val="Normal"/>
    <w:next w:val="Normal"/>
    <w:link w:val="Heading1Char"/>
    <w:qFormat/>
    <w:rsid w:val="007B3E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3E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3E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7B3EE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B3E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EE0"/>
  </w:style>
  <w:style w:type="character" w:customStyle="1" w:styleId="Heading1Char">
    <w:name w:val="Heading 1 Char"/>
    <w:aliases w:val="Pocket Char"/>
    <w:basedOn w:val="DefaultParagraphFont"/>
    <w:link w:val="Heading1"/>
    <w:rsid w:val="007B3EE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B3EE0"/>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B3EE0"/>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7B3EE0"/>
    <w:rPr>
      <w:rFonts w:ascii="Arial" w:eastAsiaTheme="majorEastAsia" w:hAnsi="Arial" w:cstheme="majorBidi"/>
      <w:b/>
      <w:iCs/>
      <w:sz w:val="24"/>
    </w:rPr>
  </w:style>
  <w:style w:type="character" w:styleId="Emphasis">
    <w:name w:val="Emphasis"/>
    <w:basedOn w:val="DefaultParagraphFont"/>
    <w:uiPriority w:val="7"/>
    <w:qFormat/>
    <w:rsid w:val="007B3EE0"/>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3EE0"/>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B3EE0"/>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B3EE0"/>
    <w:rPr>
      <w:color w:val="auto"/>
      <w:u w:val="none"/>
    </w:rPr>
  </w:style>
  <w:style w:type="character" w:styleId="FollowedHyperlink">
    <w:name w:val="FollowedHyperlink"/>
    <w:basedOn w:val="DefaultParagraphFont"/>
    <w:uiPriority w:val="99"/>
    <w:semiHidden/>
    <w:unhideWhenUsed/>
    <w:rsid w:val="007B3EE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E3F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sanjacinto-philosophy/chapter/kantian-ethics-main-concepts/" TargetMode="External"/><Relationship Id="rId3" Type="http://schemas.openxmlformats.org/officeDocument/2006/relationships/styles" Target="styles.xml"/><Relationship Id="rId7" Type="http://schemas.openxmlformats.org/officeDocument/2006/relationships/hyperlink" Target="https://sci-hub.do/10.1017/S15375927160000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eechanddebate.org/wp-content/uploads/High-School-Unified-Manual-2021-2022.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155</TotalTime>
  <Pages>1</Pages>
  <Words>2298</Words>
  <Characters>13102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2021-11-06T00:14:00Z</dcterms:created>
  <dcterms:modified xsi:type="dcterms:W3CDTF">2021-11-06T03:26:00Z</dcterms:modified>
</cp:coreProperties>
</file>