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3AFD8" w14:textId="576119ED" w:rsidR="00A95652" w:rsidRDefault="00EB2FF7" w:rsidP="00EB2FF7">
      <w:pPr>
        <w:pStyle w:val="Heading1"/>
        <w:rPr>
          <w:lang w:val="en"/>
        </w:rPr>
      </w:pPr>
      <w:r>
        <w:rPr>
          <w:lang w:val="en"/>
        </w:rPr>
        <w:t>NC</w:t>
      </w:r>
    </w:p>
    <w:p w14:paraId="2DFCE968" w14:textId="51C2A808" w:rsidR="008E38AA" w:rsidRDefault="008E38AA" w:rsidP="008E38AA">
      <w:pPr>
        <w:pStyle w:val="Heading4"/>
        <w:rPr>
          <w:lang w:val="en"/>
        </w:rPr>
      </w:pPr>
      <w:r>
        <w:rPr>
          <w:lang w:val="en"/>
        </w:rPr>
        <w:t>I negate, resolved: A just government ought to recognize an unconditional right of workers to strike.</w:t>
      </w:r>
    </w:p>
    <w:p w14:paraId="25633F7B" w14:textId="3A27D62A" w:rsidR="00FB6E01" w:rsidRDefault="00FB6E01" w:rsidP="00EB2FF7">
      <w:pPr>
        <w:pStyle w:val="Heading2"/>
        <w:rPr>
          <w:lang w:val="en"/>
        </w:rPr>
      </w:pPr>
      <w:r>
        <w:rPr>
          <w:lang w:val="en"/>
        </w:rPr>
        <w:t>1</w:t>
      </w:r>
    </w:p>
    <w:p w14:paraId="165C12FE" w14:textId="77777777" w:rsidR="00FB6E01" w:rsidRPr="003B2DFB" w:rsidRDefault="00FB6E01" w:rsidP="00FB6E01">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65516ABF" w14:textId="77777777" w:rsidR="00FB6E01" w:rsidRPr="003B2DFB" w:rsidRDefault="00FB6E01" w:rsidP="00FB6E01">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sidRPr="003B2DFB">
        <w:rPr>
          <w:rFonts w:eastAsia="Times New Roman" w:cs="Times New Roman"/>
          <w:b/>
          <w:iCs/>
          <w:color w:val="000000"/>
          <w:spacing w:val="3"/>
          <w:shd w:val="clear" w:color="auto" w:fill="FFFFFF"/>
        </w:rPr>
        <w:t xml:space="preserve"> c) Even if another role of the ballot is better for debate, that is not a reason it ought to be the role of the ballot, just a reason we ought to discuss it.</w:t>
      </w:r>
    </w:p>
    <w:p w14:paraId="7F78FE5F" w14:textId="6A6E1F55" w:rsidR="00FB6E01" w:rsidRDefault="00FB6E01" w:rsidP="00FB6E01">
      <w:pPr>
        <w:pStyle w:val="Heading4"/>
      </w:pPr>
      <w:r>
        <w:t>[2] Every statement is a question of truth – for example, saying “the res is false” is the same as saying, “it is true that the res is false.” That means other ROTBs collapse to truth testing.</w:t>
      </w:r>
    </w:p>
    <w:p w14:paraId="27499AA3" w14:textId="4C23D44D" w:rsidR="00AA640C" w:rsidRDefault="000F64D4" w:rsidP="00EB2FF7">
      <w:pPr>
        <w:pStyle w:val="Heading2"/>
        <w:rPr>
          <w:lang w:val="en"/>
        </w:rPr>
      </w:pPr>
      <w:r>
        <w:rPr>
          <w:lang w:val="en"/>
        </w:rPr>
        <w:t>2</w:t>
      </w:r>
    </w:p>
    <w:p w14:paraId="7139F869" w14:textId="77777777" w:rsidR="00AA640C" w:rsidRPr="00A12585" w:rsidRDefault="00AA640C" w:rsidP="00AA640C">
      <w:pPr>
        <w:pStyle w:val="Heading4"/>
        <w:rPr>
          <w:color w:val="FF0000"/>
        </w:rPr>
      </w:pPr>
      <w:r>
        <w:t>Interpretation: debaters must include the URL in citations for their evidence.</w:t>
      </w:r>
    </w:p>
    <w:p w14:paraId="57FBD099" w14:textId="1F5F1E49" w:rsidR="00AA640C" w:rsidRDefault="00AA640C" w:rsidP="00AA640C">
      <w:pPr>
        <w:pStyle w:val="Heading4"/>
      </w:pPr>
      <w:r>
        <w:t>Violation: they didn’t – examples include their Pettit 99 cards.</w:t>
      </w:r>
    </w:p>
    <w:p w14:paraId="727E728B" w14:textId="77777777" w:rsidR="00AA640C" w:rsidRDefault="00AA640C" w:rsidP="00AA640C">
      <w:pPr>
        <w:pStyle w:val="Heading4"/>
        <w:tabs>
          <w:tab w:val="left" w:pos="4002"/>
          <w:tab w:val="left" w:pos="5660"/>
        </w:tabs>
      </w:pPr>
      <w:r>
        <w:t>Standards:</w:t>
      </w:r>
    </w:p>
    <w:p w14:paraId="77FD2D16" w14:textId="77777777" w:rsidR="00AA640C" w:rsidRPr="00F66A5B" w:rsidRDefault="00AA640C" w:rsidP="00AA640C">
      <w:pPr>
        <w:pStyle w:val="Heading4"/>
        <w:rPr>
          <w:color w:val="FF0000"/>
        </w:rPr>
      </w:pPr>
      <w:r>
        <w:t>[1] NSDA rules – the unified manual says to include the URL.</w:t>
      </w:r>
    </w:p>
    <w:p w14:paraId="46B7A917" w14:textId="77777777" w:rsidR="00AA640C" w:rsidRPr="00503A91" w:rsidRDefault="00AA640C" w:rsidP="00AA640C">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8"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0EDEBA30" w14:textId="77777777" w:rsidR="00AA640C" w:rsidRPr="005526DB" w:rsidRDefault="00AA640C" w:rsidP="00AA640C">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11998D52" w14:textId="77777777" w:rsidR="00AA640C" w:rsidRPr="009E05B7" w:rsidRDefault="00AA640C" w:rsidP="00AA640C">
      <w:pPr>
        <w:rPr>
          <w:sz w:val="16"/>
        </w:rPr>
      </w:pPr>
      <w:r w:rsidRPr="009E05B7">
        <w:rPr>
          <w:sz w:val="16"/>
        </w:rPr>
        <w:t>1. Full name of primary author and/or editor</w:t>
      </w:r>
    </w:p>
    <w:p w14:paraId="4ACF3A03" w14:textId="77777777" w:rsidR="00AA640C" w:rsidRPr="009E05B7" w:rsidRDefault="00AA640C" w:rsidP="00AA640C">
      <w:pPr>
        <w:rPr>
          <w:sz w:val="16"/>
        </w:rPr>
      </w:pPr>
      <w:r w:rsidRPr="009E05B7">
        <w:rPr>
          <w:sz w:val="16"/>
        </w:rPr>
        <w:t>2. Publication date</w:t>
      </w:r>
    </w:p>
    <w:p w14:paraId="0AF159EA" w14:textId="77777777" w:rsidR="00AA640C" w:rsidRPr="009E05B7" w:rsidRDefault="00AA640C" w:rsidP="00AA640C">
      <w:pPr>
        <w:rPr>
          <w:sz w:val="16"/>
        </w:rPr>
      </w:pPr>
      <w:r w:rsidRPr="009E05B7">
        <w:rPr>
          <w:sz w:val="16"/>
        </w:rPr>
        <w:t>3. Source</w:t>
      </w:r>
    </w:p>
    <w:p w14:paraId="68130ACC" w14:textId="77777777" w:rsidR="00AA640C" w:rsidRPr="009E05B7" w:rsidRDefault="00AA640C" w:rsidP="00AA640C">
      <w:pPr>
        <w:rPr>
          <w:sz w:val="16"/>
        </w:rPr>
      </w:pPr>
      <w:r w:rsidRPr="009E05B7">
        <w:rPr>
          <w:sz w:val="16"/>
        </w:rPr>
        <w:t>4. Title of article</w:t>
      </w:r>
    </w:p>
    <w:p w14:paraId="3D921511" w14:textId="77777777" w:rsidR="00AA640C" w:rsidRPr="009E05B7" w:rsidRDefault="00AA640C" w:rsidP="00AA640C">
      <w:pPr>
        <w:rPr>
          <w:sz w:val="16"/>
        </w:rPr>
      </w:pPr>
      <w:r w:rsidRPr="009E05B7">
        <w:rPr>
          <w:sz w:val="16"/>
        </w:rPr>
        <w:t>5. Date accessed for digital evidence</w:t>
      </w:r>
    </w:p>
    <w:p w14:paraId="283F08AA" w14:textId="77777777" w:rsidR="00AA640C" w:rsidRPr="005E1F00" w:rsidRDefault="00AA640C" w:rsidP="00AA640C">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153C3348" w14:textId="77777777" w:rsidR="00AA640C" w:rsidRPr="009E05B7" w:rsidRDefault="00AA640C" w:rsidP="00AA640C">
      <w:pPr>
        <w:rPr>
          <w:sz w:val="16"/>
        </w:rPr>
      </w:pPr>
      <w:r w:rsidRPr="009E05B7">
        <w:rPr>
          <w:sz w:val="16"/>
        </w:rPr>
        <w:t>7. Author qualifications</w:t>
      </w:r>
    </w:p>
    <w:p w14:paraId="41881C9C" w14:textId="77777777" w:rsidR="00AA640C" w:rsidRPr="009E05B7" w:rsidRDefault="00AA640C" w:rsidP="00AA640C">
      <w:pPr>
        <w:rPr>
          <w:sz w:val="16"/>
        </w:rPr>
      </w:pPr>
      <w:r w:rsidRPr="009E05B7">
        <w:rPr>
          <w:sz w:val="16"/>
        </w:rPr>
        <w:t>8. Page number(s)</w:t>
      </w:r>
    </w:p>
    <w:p w14:paraId="1DBE6324" w14:textId="77777777" w:rsidR="00AA640C" w:rsidRPr="003A2B2F" w:rsidRDefault="00AA640C" w:rsidP="00AA640C">
      <w:pPr>
        <w:pStyle w:val="Heading4"/>
      </w:pPr>
      <w:r>
        <w:t>That’s a voter – if we can choose what rules to break, I can make speeches however long I want, which is a side constraint to substance. Also proves the shell is reasonable and predictable because it’s a common standard.</w:t>
      </w:r>
    </w:p>
    <w:p w14:paraId="2BEE2715" w14:textId="77777777" w:rsidR="00AA640C" w:rsidRDefault="00AA640C" w:rsidP="00AA640C">
      <w:pPr>
        <w:pStyle w:val="Heading4"/>
      </w:pPr>
      <w:r>
        <w:t>[2] Ev ethics – no way to check whether their quote exists– they can just make up whatever “evidence” they want. Pasting into a search engine doesn’t solve – a) many texts have weird formatting that prevents it from functioning, and b) difficult to find correct version without a paywall. That’s a voter – a) debate’s meaningless if we have no argument credibility, b) uncredible ev means we don’t know if their claims are true, and c) debate should prepare for the real world, in which small ev ethics violations are punished severely.</w:t>
      </w:r>
    </w:p>
    <w:p w14:paraId="6A5E23A6" w14:textId="77777777" w:rsidR="00AA640C" w:rsidRPr="00F052C5" w:rsidRDefault="00AA640C" w:rsidP="00AA640C">
      <w:pPr>
        <w:pStyle w:val="Heading4"/>
      </w:pPr>
      <w:r>
        <w:t>Also links to inclusion – small schoolers use wiki cards, so bad citations negatively impact their research. That’s a voter because inclusion is a prereq to debate.</w:t>
      </w:r>
    </w:p>
    <w:p w14:paraId="388A7B09" w14:textId="77777777" w:rsidR="00AA640C" w:rsidRDefault="00AA640C" w:rsidP="00AA640C">
      <w:pPr>
        <w:pStyle w:val="Heading4"/>
        <w:rPr>
          <w:lang w:val="en"/>
        </w:rPr>
      </w:pPr>
      <w:r>
        <w:rPr>
          <w:lang w:val="en"/>
        </w:rPr>
        <w:t>DTD – a) in real life, you get a 0 on the whole assignment – best to teach good norms now, and b) deters future abuse.</w:t>
      </w:r>
    </w:p>
    <w:p w14:paraId="339ED90B" w14:textId="77777777" w:rsidR="00AA640C" w:rsidRPr="00611FFC" w:rsidRDefault="00AA640C" w:rsidP="00AA640C">
      <w:pPr>
        <w:pStyle w:val="Heading4"/>
        <w:rPr>
          <w:color w:val="FF0000"/>
          <w:lang w:val="en"/>
        </w:rPr>
      </w:pPr>
      <w:r>
        <w:rPr>
          <w:lang w:val="en"/>
        </w:rPr>
        <w:t xml:space="preserve">Competing interps – a) reasonability is arbitrary, b) collapses because brightlines concede offense-defense, c) prevents abuse by setting norms, not a case-by-case basis. </w:t>
      </w:r>
    </w:p>
    <w:p w14:paraId="0F70B0C4" w14:textId="4A1EB416" w:rsidR="00AA640C" w:rsidRPr="00AA640C" w:rsidRDefault="00AA640C" w:rsidP="00AA640C">
      <w:pPr>
        <w:pStyle w:val="Heading4"/>
        <w:rPr>
          <w:lang w:val="en"/>
        </w:rPr>
      </w:pPr>
      <w:r>
        <w:rPr>
          <w:lang w:val="en"/>
        </w:rPr>
        <w:t>No RVIs – a) you don’t win for being academically honest, b) people will bait be abusive to win on the RVI.</w:t>
      </w:r>
    </w:p>
    <w:p w14:paraId="432C6BAB" w14:textId="0427F279" w:rsidR="00EB2FF7" w:rsidRDefault="000F64D4" w:rsidP="00EB2FF7">
      <w:pPr>
        <w:pStyle w:val="Heading2"/>
        <w:rPr>
          <w:lang w:val="en"/>
        </w:rPr>
      </w:pPr>
      <w:r>
        <w:rPr>
          <w:lang w:val="en"/>
        </w:rPr>
        <w:t>3</w:t>
      </w:r>
    </w:p>
    <w:p w14:paraId="4FE4E3DF" w14:textId="77777777" w:rsidR="00AA640C" w:rsidRDefault="00AA640C" w:rsidP="00AA640C">
      <w:pPr>
        <w:pStyle w:val="Heading4"/>
      </w:pPr>
      <w:r>
        <w:t>Determinism negates – lack of free will disproves moral obligations.</w:t>
      </w:r>
    </w:p>
    <w:p w14:paraId="1B06B602" w14:textId="77777777" w:rsidR="00AA640C" w:rsidRPr="001E70CB" w:rsidRDefault="00AA640C" w:rsidP="00AA640C">
      <w:pPr>
        <w:pStyle w:val="Heading4"/>
      </w:pPr>
      <w:r>
        <w:t xml:space="preserve">The 1AC says that morality must begin from free actions derived from practical reason. However, their framework is missing an internal link as to why humans </w:t>
      </w:r>
      <w:proofErr w:type="gramStart"/>
      <w:r>
        <w:t>actually are</w:t>
      </w:r>
      <w:proofErr w:type="gramEnd"/>
      <w:r>
        <w:t xml:space="preserve"> free agents that can choose what actions to take – if we disprove free will, vote neg.</w:t>
      </w:r>
    </w:p>
    <w:p w14:paraId="7D4FC17C" w14:textId="77777777" w:rsidR="00EB2FF7" w:rsidRDefault="00EB2FF7" w:rsidP="00EB2FF7">
      <w:pPr>
        <w:pStyle w:val="Heading4"/>
      </w:pPr>
      <w:r>
        <w:t>First, everything is determined.</w:t>
      </w:r>
    </w:p>
    <w:p w14:paraId="77BEB5B2" w14:textId="77777777" w:rsidR="00EB2FF7" w:rsidRDefault="00EB2FF7" w:rsidP="00EB2FF7">
      <w:pPr>
        <w:pStyle w:val="Heading4"/>
      </w:pPr>
      <w:r>
        <w:t>[1] All effects and causal chains are the necessary result of past causes.</w:t>
      </w:r>
    </w:p>
    <w:p w14:paraId="6A4D5896" w14:textId="77777777" w:rsidR="00EB2FF7" w:rsidRPr="00971AE0" w:rsidRDefault="00EB2FF7" w:rsidP="00EB2FF7">
      <w:pPr>
        <w:rPr>
          <w:sz w:val="16"/>
        </w:rPr>
      </w:pPr>
      <w:r w:rsidRPr="00971AE0">
        <w:rPr>
          <w:rStyle w:val="Style13ptBold"/>
        </w:rPr>
        <w:t>Timpe no date</w:t>
      </w:r>
      <w:r w:rsidRPr="00971AE0">
        <w:rPr>
          <w:sz w:val="16"/>
        </w:rPr>
        <w:t xml:space="preserve">, Kevin Timpe, professor of philosophy at Northwest Nazarene University, "Free Will," no date, Internet Encyclopedia of Philosophy, accessed 21 August 2021, </w:t>
      </w:r>
      <w:hyperlink r:id="rId9" w:history="1">
        <w:r w:rsidRPr="00971AE0">
          <w:rPr>
            <w:rStyle w:val="Hyperlink"/>
            <w:sz w:val="16"/>
          </w:rPr>
          <w:t>https://iep.utm.edu/freewill/</w:t>
        </w:r>
      </w:hyperlink>
      <w:r w:rsidRPr="00971AE0">
        <w:rPr>
          <w:sz w:val="16"/>
        </w:rPr>
        <w:t xml:space="preserve"> ~ST~</w:t>
      </w:r>
    </w:p>
    <w:p w14:paraId="344C5420" w14:textId="77777777" w:rsidR="00EB2FF7" w:rsidRPr="003E6937" w:rsidRDefault="00EB2FF7" w:rsidP="00EB2FF7">
      <w:pPr>
        <w:rPr>
          <w:rStyle w:val="StyleUnderline"/>
        </w:rPr>
      </w:pPr>
      <w:r w:rsidRPr="00971AE0">
        <w:rPr>
          <w:sz w:val="16"/>
        </w:rPr>
        <w:t xml:space="preserve">Most contemporary scholarship on free will focuses on </w:t>
      </w:r>
      <w:proofErr w:type="gramStart"/>
      <w:r w:rsidRPr="00971AE0">
        <w:rPr>
          <w:sz w:val="16"/>
        </w:rPr>
        <w:t>whether or not</w:t>
      </w:r>
      <w:proofErr w:type="gramEnd"/>
      <w:r w:rsidRPr="00971AE0">
        <w:rPr>
          <w:sz w:val="16"/>
        </w:rPr>
        <w:t xml:space="preserve"> it is compatible with causal determinism. Causal determinism is sometimes also called “nomological determinism.” It is important to keep causal determinism distinct from other sorts of determinism, such as logical determinism or theological determinism (to be discussed below). Causal determinism (hereafter, simply “determinism”) is the thesis that the course of the future is entirely determined by the conjunction of the past and the laws of nature. </w:t>
      </w:r>
      <w:r w:rsidRPr="00971AE0">
        <w:rPr>
          <w:rStyle w:val="StyleUnderline"/>
          <w:highlight w:val="cyan"/>
        </w:rPr>
        <w:t>Imagine</w:t>
      </w:r>
      <w:r w:rsidRPr="00971AE0">
        <w:rPr>
          <w:rStyle w:val="StyleUnderline"/>
        </w:rPr>
        <w:t xml:space="preserve"> a proposition that completely describes the way that</w:t>
      </w:r>
      <w:r w:rsidRPr="003E6937">
        <w:rPr>
          <w:rStyle w:val="StyleUnderline"/>
        </w:rPr>
        <w:t xml:space="preserve"> </w:t>
      </w:r>
      <w:r w:rsidRPr="003E6937">
        <w:rPr>
          <w:rStyle w:val="StyleUnderline"/>
          <w:highlight w:val="cyan"/>
        </w:rPr>
        <w:t>the</w:t>
      </w:r>
      <w:r w:rsidRPr="003E6937">
        <w:rPr>
          <w:rStyle w:val="StyleUnderline"/>
        </w:rPr>
        <w:t xml:space="preserve"> entire </w:t>
      </w:r>
      <w:r w:rsidRPr="003E6937">
        <w:rPr>
          <w:rStyle w:val="StyleUnderline"/>
          <w:highlight w:val="cyan"/>
        </w:rPr>
        <w:t>universe</w:t>
      </w:r>
      <w:r w:rsidRPr="003E6937">
        <w:rPr>
          <w:rStyle w:val="StyleUnderline"/>
        </w:rPr>
        <w:t xml:space="preserve"> was </w:t>
      </w:r>
      <w:r w:rsidRPr="00971AE0">
        <w:rPr>
          <w:rStyle w:val="StyleUnderline"/>
          <w:highlight w:val="cyan"/>
        </w:rPr>
        <w:t>at some point in the past</w:t>
      </w:r>
      <w:r w:rsidRPr="003E6937">
        <w:rPr>
          <w:rStyle w:val="StyleUnderline"/>
        </w:rPr>
        <w:t xml:space="preserve">, say 100 million years ago. Let us </w:t>
      </w:r>
      <w:r w:rsidRPr="00971AE0">
        <w:rPr>
          <w:rStyle w:val="StyleUnderline"/>
          <w:highlight w:val="cyan"/>
        </w:rPr>
        <w:t>call this proposition “P.” Also imagine</w:t>
      </w:r>
      <w:r w:rsidRPr="00971AE0">
        <w:rPr>
          <w:rStyle w:val="StyleUnderline"/>
        </w:rPr>
        <w:t xml:space="preserve"> a proposition that expresses the conjunction</w:t>
      </w:r>
      <w:r w:rsidRPr="003E6937">
        <w:rPr>
          <w:rStyle w:val="StyleUnderline"/>
        </w:rPr>
        <w:t xml:space="preserve"> of all </w:t>
      </w:r>
      <w:r w:rsidRPr="00971AE0">
        <w:rPr>
          <w:rStyle w:val="StyleUnderline"/>
          <w:highlight w:val="cyan"/>
        </w:rPr>
        <w:t>the laws of nature; call this proposition “L.”</w:t>
      </w:r>
      <w:r w:rsidRPr="003E6937">
        <w:rPr>
          <w:rStyle w:val="StyleUnderline"/>
        </w:rPr>
        <w:t xml:space="preserve"> Determinism then is the thesis that </w:t>
      </w:r>
      <w:r w:rsidRPr="00971AE0">
        <w:rPr>
          <w:rStyle w:val="StyleUnderline"/>
          <w:highlight w:val="cyan"/>
        </w:rPr>
        <w:t>the conjunction of P and L entails</w:t>
      </w:r>
      <w:r w:rsidRPr="003E6937">
        <w:rPr>
          <w:rStyle w:val="StyleUnderline"/>
        </w:rPr>
        <w:t xml:space="preserve"> a unique future. Given P and L, </w:t>
      </w:r>
      <w:r w:rsidRPr="00971AE0">
        <w:rPr>
          <w:rStyle w:val="StyleUnderline"/>
          <w:highlight w:val="cyan"/>
        </w:rPr>
        <w:t>there is only one possible future</w:t>
      </w:r>
      <w:r w:rsidRPr="003E6937">
        <w:rPr>
          <w:rStyle w:val="StyleUnderline"/>
        </w:rPr>
        <w:t xml:space="preserve">, one possible way for things to end up. To make the same point using possible world semantics, determinism is the thesis that </w:t>
      </w:r>
      <w:r w:rsidRPr="00971AE0">
        <w:rPr>
          <w:rStyle w:val="StyleUnderline"/>
          <w:highlight w:val="cyan"/>
        </w:rPr>
        <w:t>all</w:t>
      </w:r>
      <w:r w:rsidRPr="003E6937">
        <w:rPr>
          <w:rStyle w:val="StyleUnderline"/>
        </w:rPr>
        <w:t xml:space="preserve"> the </w:t>
      </w:r>
      <w:r w:rsidRPr="00971AE0">
        <w:rPr>
          <w:rStyle w:val="StyleUnderline"/>
          <w:highlight w:val="cyan"/>
        </w:rPr>
        <w:t>states</w:t>
      </w:r>
      <w:r w:rsidRPr="003E6937">
        <w:rPr>
          <w:rStyle w:val="StyleUnderline"/>
        </w:rPr>
        <w:t xml:space="preserve"> of affairs that obtain at some time </w:t>
      </w:r>
      <w:r w:rsidRPr="00971AE0">
        <w:rPr>
          <w:rStyle w:val="StyleUnderline"/>
          <w:highlight w:val="cyan"/>
        </w:rPr>
        <w:t>in the past</w:t>
      </w:r>
      <w:r w:rsidRPr="003E6937">
        <w:rPr>
          <w:rStyle w:val="StyleUnderline"/>
        </w:rPr>
        <w:t xml:space="preserve">, when </w:t>
      </w:r>
      <w:r w:rsidRPr="00971AE0">
        <w:rPr>
          <w:rStyle w:val="StyleUnderline"/>
          <w:highlight w:val="cyan"/>
        </w:rPr>
        <w:t>conjoined with</w:t>
      </w:r>
      <w:r w:rsidRPr="00010FF8">
        <w:rPr>
          <w:rStyle w:val="StyleUnderline"/>
        </w:rPr>
        <w:t xml:space="preserve"> the </w:t>
      </w:r>
      <w:r w:rsidRPr="00971AE0">
        <w:rPr>
          <w:rStyle w:val="StyleUnderline"/>
          <w:highlight w:val="cyan"/>
        </w:rPr>
        <w:t>laws of nature, entail</w:t>
      </w:r>
      <w:r w:rsidRPr="003E6937">
        <w:rPr>
          <w:rStyle w:val="StyleUnderline"/>
        </w:rPr>
        <w:t xml:space="preserve"> which possible world is </w:t>
      </w:r>
      <w:r w:rsidRPr="00971AE0">
        <w:rPr>
          <w:rStyle w:val="StyleUnderline"/>
          <w:highlight w:val="cyan"/>
        </w:rPr>
        <w:t xml:space="preserve">the </w:t>
      </w:r>
      <w:r w:rsidRPr="00FD7CAA">
        <w:rPr>
          <w:rStyle w:val="StyleUnderline"/>
          <w:highlight w:val="cyan"/>
        </w:rPr>
        <w:t xml:space="preserve">actual world. Since a possible </w:t>
      </w:r>
      <w:r w:rsidRPr="00971AE0">
        <w:rPr>
          <w:rStyle w:val="StyleUnderline"/>
          <w:highlight w:val="cyan"/>
        </w:rPr>
        <w:t>world includes</w:t>
      </w:r>
      <w:r w:rsidRPr="003E6937">
        <w:rPr>
          <w:rStyle w:val="StyleUnderline"/>
        </w:rPr>
        <w:t xml:space="preserve"> those </w:t>
      </w:r>
      <w:r w:rsidRPr="00971AE0">
        <w:rPr>
          <w:rStyle w:val="StyleUnderline"/>
          <w:highlight w:val="cyan"/>
        </w:rPr>
        <w:t>states</w:t>
      </w:r>
      <w:r w:rsidRPr="00010FF8">
        <w:rPr>
          <w:rStyle w:val="StyleUnderline"/>
        </w:rPr>
        <w:t xml:space="preserve"> of affairs </w:t>
      </w:r>
      <w:r w:rsidRPr="00971AE0">
        <w:rPr>
          <w:rStyle w:val="StyleUnderline"/>
          <w:highlight w:val="cyan"/>
        </w:rPr>
        <w:t>that will obtain</w:t>
      </w:r>
      <w:r w:rsidRPr="003E6937">
        <w:rPr>
          <w:rStyle w:val="StyleUnderline"/>
        </w:rPr>
        <w:t xml:space="preserve">, the truth of determinism amounts to the thesis that the past and the laws of nature entail what states of affairs will obtain in </w:t>
      </w:r>
      <w:r w:rsidRPr="00FD7CAA">
        <w:rPr>
          <w:rStyle w:val="StyleUnderline"/>
        </w:rPr>
        <w:t>the future, and that</w:t>
      </w:r>
      <w:r w:rsidRPr="003E6937">
        <w:rPr>
          <w:rStyle w:val="StyleUnderline"/>
        </w:rPr>
        <w:t xml:space="preserve"> </w:t>
      </w:r>
      <w:r w:rsidRPr="003D33AB">
        <w:rPr>
          <w:rStyle w:val="Emphasis"/>
          <w:highlight w:val="cyan"/>
        </w:rPr>
        <w:t>only</w:t>
      </w:r>
      <w:r w:rsidRPr="00971AE0">
        <w:rPr>
          <w:rStyle w:val="StyleUnderline"/>
          <w:highlight w:val="cyan"/>
        </w:rPr>
        <w:t xml:space="preserve"> those states</w:t>
      </w:r>
      <w:r w:rsidRPr="00010FF8">
        <w:rPr>
          <w:rStyle w:val="StyleUnderline"/>
        </w:rPr>
        <w:t xml:space="preserve"> of affairs entailed</w:t>
      </w:r>
      <w:r w:rsidRPr="003E6937">
        <w:rPr>
          <w:rStyle w:val="StyleUnderline"/>
        </w:rPr>
        <w:t xml:space="preserve"> by the past and the laws </w:t>
      </w:r>
      <w:r w:rsidRPr="00620B6D">
        <w:rPr>
          <w:rStyle w:val="StyleUnderline"/>
          <w:highlight w:val="cyan"/>
        </w:rPr>
        <w:t>will in fact obtain</w:t>
      </w:r>
      <w:r w:rsidRPr="00971AE0">
        <w:rPr>
          <w:rStyle w:val="StyleUnderline"/>
          <w:highlight w:val="cyan"/>
        </w:rPr>
        <w:t>.</w:t>
      </w:r>
    </w:p>
    <w:p w14:paraId="6F441D19" w14:textId="77777777" w:rsidR="00EB2FF7" w:rsidRDefault="00EB2FF7" w:rsidP="00EB2FF7">
      <w:pPr>
        <w:pStyle w:val="Heading4"/>
      </w:pPr>
      <w:r>
        <w:t>Applies to humans – every thought is caused by neurochemical changes.</w:t>
      </w:r>
    </w:p>
    <w:p w14:paraId="231D413E" w14:textId="77777777" w:rsidR="00EB2FF7" w:rsidRPr="00616DF2" w:rsidRDefault="00EB2FF7" w:rsidP="00EB2FF7">
      <w:pPr>
        <w:rPr>
          <w:sz w:val="16"/>
        </w:rPr>
      </w:pPr>
      <w:r w:rsidRPr="00616DF2">
        <w:rPr>
          <w:rStyle w:val="Style13ptBold"/>
        </w:rPr>
        <w:t>Cave 16</w:t>
      </w:r>
      <w:r w:rsidRPr="00616DF2">
        <w:rPr>
          <w:sz w:val="16"/>
        </w:rPr>
        <w:t xml:space="preserve"> Stephen Cave, senior research fellow at the University of Cambridge, "There’s No Such Thing as Free Will," June 2016, The Atlantic, accessed 21 August 2021, </w:t>
      </w:r>
      <w:hyperlink r:id="rId10" w:history="1">
        <w:r w:rsidRPr="00616DF2">
          <w:rPr>
            <w:rStyle w:val="Hyperlink"/>
            <w:sz w:val="16"/>
          </w:rPr>
          <w:t>https://www.theatlantic.com/magazine/archive/2016/06/theres-no-such-thing-as-free-will/480750/</w:t>
        </w:r>
      </w:hyperlink>
      <w:r w:rsidRPr="00616DF2">
        <w:rPr>
          <w:sz w:val="16"/>
        </w:rPr>
        <w:t xml:space="preserve"> ~ST~</w:t>
      </w:r>
    </w:p>
    <w:p w14:paraId="345CB66D" w14:textId="77777777" w:rsidR="00EB2FF7" w:rsidRPr="00616DF2" w:rsidRDefault="00EB2FF7" w:rsidP="00EB2FF7">
      <w:pPr>
        <w:rPr>
          <w:rStyle w:val="StyleUnderline"/>
        </w:rPr>
      </w:pPr>
      <w:r w:rsidRPr="006300EE">
        <w:rPr>
          <w:rStyle w:val="StyleUnderline"/>
        </w:rPr>
        <w:t xml:space="preserve">The sciences have grown steadily bolder in their claim that </w:t>
      </w:r>
      <w:r w:rsidRPr="00616DF2">
        <w:rPr>
          <w:rStyle w:val="StyleUnderline"/>
          <w:highlight w:val="cyan"/>
        </w:rPr>
        <w:t>all</w:t>
      </w:r>
      <w:r w:rsidRPr="00010FF8">
        <w:rPr>
          <w:rStyle w:val="StyleUnderline"/>
        </w:rPr>
        <w:t xml:space="preserve"> human </w:t>
      </w:r>
      <w:r w:rsidRPr="00616DF2">
        <w:rPr>
          <w:rStyle w:val="StyleUnderline"/>
          <w:highlight w:val="cyan"/>
        </w:rPr>
        <w:t>behavior can be explained through</w:t>
      </w:r>
      <w:r w:rsidRPr="006300EE">
        <w:rPr>
          <w:rStyle w:val="StyleUnderline"/>
        </w:rPr>
        <w:t xml:space="preserve"> the clockwork laws of </w:t>
      </w:r>
      <w:r w:rsidRPr="00616DF2">
        <w:rPr>
          <w:rStyle w:val="StyleUnderline"/>
          <w:highlight w:val="cyan"/>
        </w:rPr>
        <w:t>cause and effect.</w:t>
      </w:r>
      <w:r w:rsidRPr="00616DF2">
        <w:rPr>
          <w:sz w:val="16"/>
        </w:rPr>
        <w:t xml:space="preserve"> This shift in perception is the continuation of an intellectual revolution that began about 150 years ago, when Charles Darwin first published On the Origin of Species. Shortly after Darwin put forth his theory of evolution, his cousin Sir Francis Galton began to draw out the implications: If we have evolved, then mental faculties like intelligence must be hereditary. But we use those faculties—which some people have to a greater degree than others—to make decisions. </w:t>
      </w:r>
      <w:proofErr w:type="gramStart"/>
      <w:r w:rsidRPr="00616DF2">
        <w:rPr>
          <w:rStyle w:val="StyleUnderline"/>
        </w:rPr>
        <w:t>So</w:t>
      </w:r>
      <w:proofErr w:type="gramEnd"/>
      <w:r w:rsidRPr="00616DF2">
        <w:rPr>
          <w:rStyle w:val="StyleUnderline"/>
        </w:rPr>
        <w:t xml:space="preserve"> our </w:t>
      </w:r>
      <w:r w:rsidRPr="00616DF2">
        <w:rPr>
          <w:rStyle w:val="StyleUnderline"/>
          <w:highlight w:val="cyan"/>
        </w:rPr>
        <w:t>ability to choose</w:t>
      </w:r>
      <w:r w:rsidRPr="00616DF2">
        <w:rPr>
          <w:rStyle w:val="StyleUnderline"/>
        </w:rPr>
        <w:t xml:space="preserve"> our fate is not free, but </w:t>
      </w:r>
      <w:r w:rsidRPr="00616DF2">
        <w:rPr>
          <w:rStyle w:val="StyleUnderline"/>
          <w:highlight w:val="cyan"/>
        </w:rPr>
        <w:t>depends on</w:t>
      </w:r>
      <w:r w:rsidRPr="00616DF2">
        <w:rPr>
          <w:rStyle w:val="StyleUnderline"/>
        </w:rPr>
        <w:t xml:space="preserve"> our </w:t>
      </w:r>
      <w:r w:rsidRPr="00616DF2">
        <w:rPr>
          <w:rStyle w:val="StyleUnderline"/>
          <w:highlight w:val="cyan"/>
        </w:rPr>
        <w:t>biological inheritance.</w:t>
      </w:r>
    </w:p>
    <w:p w14:paraId="63CF3156" w14:textId="77777777" w:rsidR="00EB2FF7" w:rsidRPr="00616DF2" w:rsidRDefault="00EB2FF7" w:rsidP="00EB2FF7">
      <w:pPr>
        <w:rPr>
          <w:sz w:val="16"/>
        </w:rPr>
      </w:pPr>
      <w:r w:rsidRPr="00616DF2">
        <w:rPr>
          <w:sz w:val="16"/>
        </w:rPr>
        <w:t xml:space="preserve">Galton launched a debate that raged throughout the 20th century over nature versus nurture. Are our actions the unfolding effect of our genetics? Or the outcome of what has been imprinted on us by the environment? Impressive evidence accumulated for the importance of each factor. Whether scientists supported one, the other, or a mix of both, </w:t>
      </w:r>
      <w:r w:rsidRPr="00616DF2">
        <w:rPr>
          <w:rStyle w:val="StyleUnderline"/>
        </w:rPr>
        <w:t xml:space="preserve">they increasingly assumed that </w:t>
      </w:r>
      <w:r w:rsidRPr="00616DF2">
        <w:rPr>
          <w:rStyle w:val="StyleUnderline"/>
          <w:highlight w:val="cyan"/>
        </w:rPr>
        <w:t>our deeds must be determined</w:t>
      </w:r>
      <w:r w:rsidRPr="00616DF2">
        <w:rPr>
          <w:rStyle w:val="StyleUnderline"/>
        </w:rPr>
        <w:t xml:space="preserve"> by something.</w:t>
      </w:r>
    </w:p>
    <w:p w14:paraId="1EA4A3DC" w14:textId="77777777" w:rsidR="00EB2FF7" w:rsidRPr="00616DF2" w:rsidRDefault="00EB2FF7" w:rsidP="00EB2FF7">
      <w:pPr>
        <w:rPr>
          <w:rStyle w:val="StyleUnderline"/>
        </w:rPr>
      </w:pPr>
      <w:r w:rsidRPr="00616DF2">
        <w:rPr>
          <w:rStyle w:val="StyleUnderline"/>
        </w:rPr>
        <w:t xml:space="preserve">In recent decades, </w:t>
      </w:r>
      <w:r w:rsidRPr="00616DF2">
        <w:rPr>
          <w:rStyle w:val="StyleUnderline"/>
          <w:highlight w:val="cyan"/>
        </w:rPr>
        <w:t>research on</w:t>
      </w:r>
      <w:r w:rsidRPr="00616DF2">
        <w:rPr>
          <w:rStyle w:val="StyleUnderline"/>
        </w:rPr>
        <w:t xml:space="preserve"> the inner workings of </w:t>
      </w:r>
      <w:r w:rsidRPr="00616DF2">
        <w:rPr>
          <w:rStyle w:val="StyleUnderline"/>
          <w:highlight w:val="cyan"/>
        </w:rPr>
        <w:t>the brain</w:t>
      </w:r>
      <w:r w:rsidRPr="00616DF2">
        <w:rPr>
          <w:rStyle w:val="StyleUnderline"/>
        </w:rPr>
        <w:t xml:space="preserve"> has helped to resolve the nature-nurture debate—and </w:t>
      </w:r>
      <w:r w:rsidRPr="00616DF2">
        <w:rPr>
          <w:rStyle w:val="StyleUnderline"/>
          <w:highlight w:val="cyan"/>
        </w:rPr>
        <w:t>has dealt a</w:t>
      </w:r>
      <w:r w:rsidRPr="00616DF2">
        <w:rPr>
          <w:rStyle w:val="StyleUnderline"/>
        </w:rPr>
        <w:t xml:space="preserve"> further </w:t>
      </w:r>
      <w:r w:rsidRPr="00616DF2">
        <w:rPr>
          <w:rStyle w:val="StyleUnderline"/>
          <w:highlight w:val="cyan"/>
        </w:rPr>
        <w:t>blow to</w:t>
      </w:r>
      <w:r w:rsidRPr="00616DF2">
        <w:rPr>
          <w:rStyle w:val="StyleUnderline"/>
        </w:rPr>
        <w:t xml:space="preserve"> the idea of </w:t>
      </w:r>
      <w:r w:rsidRPr="00616DF2">
        <w:rPr>
          <w:rStyle w:val="StyleUnderline"/>
          <w:highlight w:val="cyan"/>
        </w:rPr>
        <w:t>free will. Brain scanners</w:t>
      </w:r>
      <w:r w:rsidRPr="00616DF2">
        <w:rPr>
          <w:rStyle w:val="StyleUnderline"/>
        </w:rPr>
        <w:t xml:space="preserve"> have enabled us to peer inside a living person’s skull, </w:t>
      </w:r>
      <w:r w:rsidRPr="00616DF2">
        <w:rPr>
          <w:rStyle w:val="StyleUnderline"/>
          <w:highlight w:val="cyan"/>
        </w:rPr>
        <w:t>reveal</w:t>
      </w:r>
      <w:r w:rsidRPr="00616DF2">
        <w:rPr>
          <w:rStyle w:val="StyleUnderline"/>
        </w:rPr>
        <w:t>ing intricate networks of neurons and allowing scientists</w:t>
      </w:r>
      <w:r w:rsidRPr="00CE039F">
        <w:rPr>
          <w:rStyle w:val="StyleUnderline"/>
        </w:rPr>
        <w:t xml:space="preserve"> to reach broad agreement that these networks are shaped by both genes and environment. But there is also agreement in the scientific community </w:t>
      </w:r>
      <w:r w:rsidRPr="00CE039F">
        <w:rPr>
          <w:rStyle w:val="StyleUnderline"/>
          <w:highlight w:val="cyan"/>
        </w:rPr>
        <w:t>that the firing of neurons determines</w:t>
      </w:r>
      <w:r w:rsidRPr="00CE039F">
        <w:rPr>
          <w:rStyle w:val="StyleUnderline"/>
        </w:rPr>
        <w:t xml:space="preserve"> not just some or most but </w:t>
      </w:r>
      <w:proofErr w:type="gramStart"/>
      <w:r w:rsidRPr="00CE039F">
        <w:rPr>
          <w:rStyle w:val="StyleUnderline"/>
          <w:highlight w:val="cyan"/>
        </w:rPr>
        <w:t>all</w:t>
      </w:r>
      <w:r w:rsidRPr="00CE039F">
        <w:rPr>
          <w:rStyle w:val="StyleUnderline"/>
        </w:rPr>
        <w:t xml:space="preserve"> of</w:t>
      </w:r>
      <w:proofErr w:type="gramEnd"/>
      <w:r w:rsidRPr="00CE039F">
        <w:rPr>
          <w:rStyle w:val="StyleUnderline"/>
        </w:rPr>
        <w:t xml:space="preserve"> </w:t>
      </w:r>
      <w:r w:rsidRPr="00CE039F">
        <w:rPr>
          <w:rStyle w:val="StyleUnderline"/>
          <w:highlight w:val="cyan"/>
        </w:rPr>
        <w:t>our thoughts</w:t>
      </w:r>
      <w:r w:rsidRPr="00CE039F">
        <w:rPr>
          <w:rStyle w:val="StyleUnderline"/>
        </w:rPr>
        <w:t>, hopes, memories</w:t>
      </w:r>
      <w:r w:rsidRPr="00616DF2">
        <w:rPr>
          <w:rStyle w:val="StyleUnderline"/>
        </w:rPr>
        <w:t>, and dreams.</w:t>
      </w:r>
    </w:p>
    <w:p w14:paraId="2D2EECD0" w14:textId="77777777" w:rsidR="00EB2FF7" w:rsidRPr="00CF3397" w:rsidRDefault="00EB2FF7" w:rsidP="00EB2FF7">
      <w:pPr>
        <w:pStyle w:val="Heading4"/>
        <w:rPr>
          <w:color w:val="FF0000"/>
        </w:rPr>
      </w:pPr>
      <w:r>
        <w:t>[2] Brain signals determine action before the conception of choice even arises – means we don’t control our actions</w:t>
      </w:r>
    </w:p>
    <w:p w14:paraId="7C3FC2BF" w14:textId="77777777" w:rsidR="00EB2FF7" w:rsidRPr="00CE039F" w:rsidRDefault="00EB2FF7" w:rsidP="00EB2FF7">
      <w:pPr>
        <w:rPr>
          <w:sz w:val="16"/>
        </w:rPr>
      </w:pPr>
      <w:r w:rsidRPr="00CE039F">
        <w:rPr>
          <w:rStyle w:val="Style13ptBold"/>
        </w:rPr>
        <w:t>Fried et. al 11</w:t>
      </w:r>
      <w:r w:rsidRPr="00CE039F">
        <w:rPr>
          <w:sz w:val="16"/>
        </w:rPr>
        <w:t xml:space="preserve"> Itzhak Fried, professor of neurosurgery, psychiatry and biobehavioral sciences at UCLA, Roy Mukamel, associate professor of psychology at Tel-Aviv University, Gabriel Kreiman, professor of ophthalmology at Harvard, "Internally generated preactivation of single neurons in human medial frontal cortex predicts volition," 10 February 2011, PubMed, accessed 21 August 2021, </w:t>
      </w:r>
      <w:hyperlink r:id="rId11" w:history="1">
        <w:r w:rsidRPr="00CE039F">
          <w:rPr>
            <w:rStyle w:val="Hyperlink"/>
            <w:sz w:val="16"/>
          </w:rPr>
          <w:t>https://pubmed.ncbi.nlm.nih.gov/21315264/</w:t>
        </w:r>
      </w:hyperlink>
      <w:r w:rsidRPr="00CE039F">
        <w:rPr>
          <w:sz w:val="16"/>
        </w:rPr>
        <w:t xml:space="preserve"> ~ST~</w:t>
      </w:r>
    </w:p>
    <w:p w14:paraId="351F1BC3" w14:textId="77777777" w:rsidR="00EB2FF7" w:rsidRPr="00587148" w:rsidRDefault="00EB2FF7" w:rsidP="00EB2FF7">
      <w:r w:rsidRPr="00587148">
        <w:rPr>
          <w:rStyle w:val="StyleUnderline"/>
        </w:rPr>
        <w:t xml:space="preserve">There has been a long debate on the existence of </w:t>
      </w:r>
      <w:r w:rsidRPr="00587148">
        <w:rPr>
          <w:rStyle w:val="StyleUnderline"/>
          <w:highlight w:val="cyan"/>
        </w:rPr>
        <w:t>brain signals</w:t>
      </w:r>
      <w:r w:rsidRPr="00587148">
        <w:rPr>
          <w:rStyle w:val="StyleUnderline"/>
        </w:rPr>
        <w:t xml:space="preserve"> that </w:t>
      </w:r>
      <w:r w:rsidRPr="00587148">
        <w:rPr>
          <w:rStyle w:val="StyleUnderline"/>
          <w:highlight w:val="cyan"/>
        </w:rPr>
        <w:t>precede</w:t>
      </w:r>
      <w:r w:rsidRPr="00010FF8">
        <w:rPr>
          <w:rStyle w:val="StyleUnderline"/>
        </w:rPr>
        <w:t xml:space="preserve"> the outcome of </w:t>
      </w:r>
      <w:r w:rsidRPr="00587148">
        <w:rPr>
          <w:rStyle w:val="StyleUnderline"/>
          <w:highlight w:val="cyan"/>
        </w:rPr>
        <w:t>decisions</w:t>
      </w:r>
      <w:r w:rsidRPr="00587148">
        <w:rPr>
          <w:rStyle w:val="StyleUnderline"/>
        </w:rPr>
        <w:t xml:space="preserve">, even </w:t>
      </w:r>
      <w:r w:rsidRPr="00587148">
        <w:rPr>
          <w:rStyle w:val="StyleUnderline"/>
          <w:highlight w:val="cyan"/>
        </w:rPr>
        <w:t>before subjects believe they</w:t>
      </w:r>
      <w:r w:rsidRPr="00587148">
        <w:rPr>
          <w:rStyle w:val="StyleUnderline"/>
        </w:rPr>
        <w:t xml:space="preserve"> are </w:t>
      </w:r>
      <w:r w:rsidRPr="00587148">
        <w:rPr>
          <w:rStyle w:val="StyleUnderline"/>
          <w:highlight w:val="cyan"/>
        </w:rPr>
        <w:t>consciously mak</w:t>
      </w:r>
      <w:r w:rsidRPr="00587148">
        <w:rPr>
          <w:rStyle w:val="StyleUnderline"/>
        </w:rPr>
        <w:t xml:space="preserve">ing </w:t>
      </w:r>
      <w:r w:rsidRPr="00587148">
        <w:rPr>
          <w:rStyle w:val="StyleUnderline"/>
          <w:highlight w:val="cyan"/>
        </w:rPr>
        <w:t>up their mind.</w:t>
      </w:r>
      <w:r w:rsidRPr="00587148">
        <w:rPr>
          <w:sz w:val="16"/>
        </w:rPr>
        <w:t xml:space="preserve"> The framework of multivariate decoding provides a novel tool for investigating such choice-predictive information contained in neural signals leading up to a decision. </w:t>
      </w:r>
      <w:r w:rsidRPr="00587148">
        <w:rPr>
          <w:rStyle w:val="StyleUnderline"/>
        </w:rPr>
        <w:t xml:space="preserve">New results show that the </w:t>
      </w:r>
      <w:r w:rsidRPr="00587148">
        <w:rPr>
          <w:rStyle w:val="StyleUnderline"/>
          <w:highlight w:val="cyan"/>
        </w:rPr>
        <w:t>specific outcome of</w:t>
      </w:r>
      <w:r w:rsidRPr="00587148">
        <w:rPr>
          <w:rStyle w:val="StyleUnderline"/>
        </w:rPr>
        <w:t xml:space="preserve"> free </w:t>
      </w:r>
      <w:r w:rsidRPr="00587148">
        <w:rPr>
          <w:rStyle w:val="StyleUnderline"/>
          <w:highlight w:val="cyan"/>
        </w:rPr>
        <w:t>choices between</w:t>
      </w:r>
      <w:r w:rsidRPr="00587148">
        <w:rPr>
          <w:rStyle w:val="StyleUnderline"/>
        </w:rPr>
        <w:t xml:space="preserve"> different </w:t>
      </w:r>
      <w:r w:rsidRPr="00587148">
        <w:rPr>
          <w:rStyle w:val="StyleUnderline"/>
          <w:highlight w:val="cyan"/>
        </w:rPr>
        <w:t>plans can be interpreted from brain activity</w:t>
      </w:r>
      <w:r w:rsidRPr="00587148">
        <w:rPr>
          <w:rStyle w:val="StyleUnderline"/>
        </w:rPr>
        <w:t xml:space="preserve">, not only after a decision has been made, but even </w:t>
      </w:r>
      <w:r w:rsidRPr="00010FF8">
        <w:rPr>
          <w:rStyle w:val="Emphasis"/>
          <w:highlight w:val="cyan"/>
        </w:rPr>
        <w:t>several seconds</w:t>
      </w:r>
      <w:r w:rsidRPr="00587148">
        <w:rPr>
          <w:rStyle w:val="StyleUnderline"/>
          <w:highlight w:val="cyan"/>
        </w:rPr>
        <w:t xml:space="preserve"> before it is made.</w:t>
      </w:r>
      <w:r w:rsidRPr="00587148">
        <w:rPr>
          <w:rStyle w:val="StyleUnderline"/>
        </w:rPr>
        <w:t xml:space="preserve"> This suggests that a </w:t>
      </w:r>
      <w:r w:rsidRPr="00CE039F">
        <w:rPr>
          <w:rStyle w:val="Emphasis"/>
          <w:highlight w:val="cyan"/>
        </w:rPr>
        <w:t>causal</w:t>
      </w:r>
      <w:r w:rsidRPr="00CE039F">
        <w:rPr>
          <w:rStyle w:val="Emphasis"/>
        </w:rPr>
        <w:t xml:space="preserve"> chain of </w:t>
      </w:r>
      <w:r w:rsidRPr="00CE039F">
        <w:rPr>
          <w:rStyle w:val="Emphasis"/>
          <w:highlight w:val="cyan"/>
        </w:rPr>
        <w:t>events</w:t>
      </w:r>
      <w:r w:rsidRPr="00CE039F">
        <w:rPr>
          <w:rStyle w:val="Emphasis"/>
        </w:rPr>
        <w:t xml:space="preserve"> can </w:t>
      </w:r>
      <w:r w:rsidRPr="00CE039F">
        <w:rPr>
          <w:rStyle w:val="Emphasis"/>
          <w:highlight w:val="cyan"/>
        </w:rPr>
        <w:t>occur outside subjective awareness</w:t>
      </w:r>
      <w:r w:rsidRPr="00587148">
        <w:rPr>
          <w:rStyle w:val="StyleUnderline"/>
        </w:rPr>
        <w:t xml:space="preserve"> even before a subject makes up his/her mind.</w:t>
      </w:r>
      <w:r w:rsidRPr="00587148">
        <w:rPr>
          <w:sz w:val="16"/>
        </w:rPr>
        <w:t xml:space="preserve"> An important future line of research would be to develop paradigms that allow feedback of real-time predictions of future decisions to reveal whether such decisions can still be reverted. This would shed light on how tight the causal link is between early predictive brain signals and subsequent decisions.</w:t>
      </w:r>
    </w:p>
    <w:p w14:paraId="0578E3C8" w14:textId="77777777" w:rsidR="00EB2FF7" w:rsidRDefault="00EB2FF7" w:rsidP="00EB2FF7">
      <w:pPr>
        <w:pStyle w:val="Heading4"/>
      </w:pPr>
      <w:r>
        <w:t>Next, existence of obligations necessitates alternate possibilities.</w:t>
      </w:r>
    </w:p>
    <w:p w14:paraId="09C71E44" w14:textId="77777777" w:rsidR="00EB2FF7" w:rsidRDefault="00EB2FF7" w:rsidP="00EB2FF7">
      <w:pPr>
        <w:pStyle w:val="Heading4"/>
      </w:pPr>
      <w:r>
        <w:t>[1] Action theory – alternatives distinguish what we do, a.k.a. actions, from what happens to us. Events in your life aren’t something you do without a potential alternate. For example, there’s no alternate if you wake up from a loud noise; it happens to you instead of being actively chosen.</w:t>
      </w:r>
    </w:p>
    <w:p w14:paraId="36E0C96E" w14:textId="77777777" w:rsidR="00EB2FF7" w:rsidRPr="000538A9" w:rsidRDefault="00EB2FF7" w:rsidP="00EB2FF7">
      <w:pPr>
        <w:pStyle w:val="Heading4"/>
      </w:pPr>
      <w:r>
        <w:t xml:space="preserve">[2] You can’t have an obligation to do something impossible; otherwise, we’d have responsibility over everything outside of our </w:t>
      </w:r>
      <w:r w:rsidRPr="000538A9">
        <w:t>control. We can’t be responsible for the aff’s advantages – harms in the squo are outside of our control</w:t>
      </w:r>
      <w:r>
        <w:t>.</w:t>
      </w:r>
    </w:p>
    <w:p w14:paraId="689C59AD" w14:textId="77777777" w:rsidR="00EB2FF7" w:rsidRDefault="00EB2FF7" w:rsidP="00EB2FF7">
      <w:pPr>
        <w:pStyle w:val="Heading4"/>
      </w:pPr>
      <w:r>
        <w:t>[3] Moral language – blaming someone assumes they had the ability to do otherwise – you wouldn’t hold a baby culpable for theft.</w:t>
      </w:r>
    </w:p>
    <w:p w14:paraId="51291E15" w14:textId="77777777" w:rsidR="00EB2FF7" w:rsidRDefault="00EB2FF7" w:rsidP="00EB2FF7">
      <w:pPr>
        <w:pStyle w:val="Heading4"/>
      </w:pPr>
      <w:r>
        <w:t>[4] Dichotomies – morality only exists in opposition to immorality. If there is only one action, then it can’t contain morality.</w:t>
      </w:r>
    </w:p>
    <w:p w14:paraId="3173FC79" w14:textId="77777777" w:rsidR="00EB2FF7" w:rsidRPr="004A007F" w:rsidRDefault="00EB2FF7" w:rsidP="00EB2FF7">
      <w:pPr>
        <w:pStyle w:val="Heading4"/>
        <w:rPr>
          <w:color w:val="FF0000"/>
        </w:rPr>
      </w:pPr>
      <w:r>
        <w:t>[5] Morality is prescriptive, not descriptive; if a subject is not the cause of their action, they can’t be guided by moral principles.</w:t>
      </w:r>
    </w:p>
    <w:p w14:paraId="49A97690" w14:textId="77777777" w:rsidR="00EB2FF7" w:rsidRDefault="00EB2FF7" w:rsidP="00EB2FF7">
      <w:pPr>
        <w:pStyle w:val="Heading4"/>
      </w:pPr>
      <w:r>
        <w:t>The res being requires alternate possibilities since it’s about moral obligation; thus, the res is independently false.</w:t>
      </w:r>
    </w:p>
    <w:p w14:paraId="05364C88" w14:textId="77777777" w:rsidR="00EB2FF7" w:rsidRDefault="00EB2FF7" w:rsidP="00EB2FF7">
      <w:pPr>
        <w:pStyle w:val="Heading4"/>
      </w:pPr>
      <w:r>
        <w:t>Also, permissibility negates:</w:t>
      </w:r>
    </w:p>
    <w:p w14:paraId="0F22A532" w14:textId="244505E4" w:rsidR="00EB2FF7" w:rsidRDefault="00EB2FF7" w:rsidP="00EB2FF7">
      <w:pPr>
        <w:pStyle w:val="Heading4"/>
      </w:pPr>
      <w:r>
        <w:t>[1] Lack of obligation proves the res false. Absent a proactive obligation, you vote neg since there’s a trichotomy between prohibition, obligation, and permissibility. Proving one disproves the other two since you can’t be obligated and lack an obligation simultaneously.</w:t>
      </w:r>
    </w:p>
    <w:p w14:paraId="37D583D0" w14:textId="0701CA21" w:rsidR="009B5C89" w:rsidRPr="009B5C89" w:rsidRDefault="00EB2FF7" w:rsidP="009B5C89">
      <w:pPr>
        <w:pStyle w:val="Heading4"/>
      </w:pPr>
      <w:r>
        <w:t>[2] Statements are more often false than true since I can prove something false in infinite ways but true in only one.</w:t>
      </w:r>
      <w:r w:rsidR="009B5C89">
        <w:t xml:space="preserve"> </w:t>
      </w:r>
    </w:p>
    <w:sectPr w:rsidR="009B5C89" w:rsidRPr="009B5C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5D907" w14:textId="77777777" w:rsidR="00573548" w:rsidRDefault="00573548" w:rsidP="00FB6E01">
      <w:pPr>
        <w:spacing w:after="0" w:line="240" w:lineRule="auto"/>
      </w:pPr>
      <w:r>
        <w:separator/>
      </w:r>
    </w:p>
  </w:endnote>
  <w:endnote w:type="continuationSeparator" w:id="0">
    <w:p w14:paraId="7FF7D4AF" w14:textId="77777777" w:rsidR="00573548" w:rsidRDefault="00573548" w:rsidP="00FB6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191C2" w14:textId="77777777" w:rsidR="00573548" w:rsidRDefault="00573548" w:rsidP="00FB6E01">
      <w:pPr>
        <w:spacing w:after="0" w:line="240" w:lineRule="auto"/>
      </w:pPr>
      <w:r>
        <w:separator/>
      </w:r>
    </w:p>
  </w:footnote>
  <w:footnote w:type="continuationSeparator" w:id="0">
    <w:p w14:paraId="798265D4" w14:textId="77777777" w:rsidR="00573548" w:rsidRDefault="00573548" w:rsidP="00FB6E01">
      <w:pPr>
        <w:spacing w:after="0" w:line="240" w:lineRule="auto"/>
      </w:pPr>
      <w:r>
        <w:continuationSeparator/>
      </w:r>
    </w:p>
  </w:footnote>
  <w:footnote w:id="1">
    <w:p w14:paraId="2B229C40" w14:textId="77777777" w:rsidR="00FB6E01" w:rsidRDefault="00FB6E01" w:rsidP="00FB6E01">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69D1148C" w14:textId="77777777" w:rsidR="00FB6E01" w:rsidRDefault="00573548" w:rsidP="00FB6E01">
      <w:pPr>
        <w:ind w:right="-1440"/>
        <w:rPr>
          <w:sz w:val="16"/>
          <w:szCs w:val="16"/>
        </w:rPr>
      </w:pPr>
      <w:hyperlink r:id="rId2" w:history="1">
        <w:r w:rsidR="00FB6E01" w:rsidRPr="00A7046E">
          <w:rPr>
            <w:rStyle w:val="Hyperlink"/>
            <w:sz w:val="16"/>
            <w:szCs w:val="16"/>
          </w:rPr>
          <w:t>http://www.merriam-webster.com/dictionary/negate</w:t>
        </w:r>
      </w:hyperlink>
      <w:r w:rsidR="00FB6E01">
        <w:rPr>
          <w:sz w:val="16"/>
          <w:szCs w:val="16"/>
        </w:rPr>
        <w:t xml:space="preserve"> (Merriam-Webster, accessed 11 September 2021)</w:t>
      </w:r>
    </w:p>
    <w:p w14:paraId="150E1BC6" w14:textId="77777777" w:rsidR="00FB6E01" w:rsidRDefault="00573548" w:rsidP="00FB6E01">
      <w:pPr>
        <w:ind w:right="-1440"/>
        <w:rPr>
          <w:sz w:val="16"/>
          <w:szCs w:val="16"/>
        </w:rPr>
      </w:pPr>
      <w:hyperlink r:id="rId3" w:history="1">
        <w:r w:rsidR="00FB6E01" w:rsidRPr="00A7046E">
          <w:rPr>
            <w:rStyle w:val="Hyperlink"/>
            <w:sz w:val="16"/>
            <w:szCs w:val="16"/>
          </w:rPr>
          <w:t>http://www.thefreedictionary.com/negate</w:t>
        </w:r>
      </w:hyperlink>
      <w:r w:rsidR="00FB6E01">
        <w:rPr>
          <w:sz w:val="16"/>
          <w:szCs w:val="16"/>
        </w:rPr>
        <w:t xml:space="preserve"> (The Free Dictionary, accessed 11 September 2021)</w:t>
      </w:r>
    </w:p>
    <w:p w14:paraId="594C3765" w14:textId="77777777" w:rsidR="00FB6E01" w:rsidRDefault="00573548" w:rsidP="00FB6E01">
      <w:pPr>
        <w:ind w:right="-1440"/>
        <w:rPr>
          <w:sz w:val="16"/>
          <w:szCs w:val="16"/>
        </w:rPr>
      </w:pPr>
      <w:hyperlink r:id="rId4" w:history="1">
        <w:r w:rsidR="00FB6E01" w:rsidRPr="00A7046E">
          <w:rPr>
            <w:rStyle w:val="Hyperlink"/>
            <w:sz w:val="16"/>
            <w:szCs w:val="16"/>
          </w:rPr>
          <w:t>https://www.vocabulary.com/dictionary/negate</w:t>
        </w:r>
      </w:hyperlink>
      <w:r w:rsidR="00FB6E01">
        <w:rPr>
          <w:sz w:val="16"/>
          <w:szCs w:val="16"/>
        </w:rPr>
        <w:t xml:space="preserve"> (Vocabulary.com, accessed 11 September 2021)</w:t>
      </w:r>
    </w:p>
    <w:p w14:paraId="5BF60DEF" w14:textId="77777777" w:rsidR="00FB6E01" w:rsidRPr="00752E9C" w:rsidRDefault="00573548" w:rsidP="00FB6E01">
      <w:pPr>
        <w:ind w:right="-1440"/>
        <w:rPr>
          <w:sz w:val="16"/>
          <w:szCs w:val="16"/>
        </w:rPr>
      </w:pPr>
      <w:hyperlink r:id="rId5" w:history="1">
        <w:r w:rsidR="00FB6E01" w:rsidRPr="00A7046E">
          <w:rPr>
            <w:rStyle w:val="Hyperlink"/>
            <w:sz w:val="16"/>
            <w:szCs w:val="16"/>
          </w:rPr>
          <w:t>http://www.oxforddictionaries.com/definition/english/negate</w:t>
        </w:r>
      </w:hyperlink>
      <w:r w:rsidR="00FB6E01">
        <w:rPr>
          <w:sz w:val="16"/>
          <w:szCs w:val="16"/>
        </w:rPr>
        <w:t xml:space="preserve"> (Oxford Dictionaries, accessed 11 September 2021)</w:t>
      </w:r>
    </w:p>
  </w:footnote>
  <w:footnote w:id="2">
    <w:p w14:paraId="0981676A" w14:textId="77777777" w:rsidR="00FB6E01" w:rsidRDefault="00FB6E01" w:rsidP="00FB6E01">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468FBF7" w14:textId="77777777" w:rsidR="00FB6E01" w:rsidRPr="00E21CBE" w:rsidRDefault="00573548" w:rsidP="00FB6E01">
      <w:pPr>
        <w:ind w:right="-1440"/>
        <w:rPr>
          <w:sz w:val="16"/>
          <w:szCs w:val="16"/>
        </w:rPr>
      </w:pPr>
      <w:hyperlink r:id="rId7" w:history="1">
        <w:r w:rsidR="00FB6E01" w:rsidRPr="00A7046E">
          <w:rPr>
            <w:rStyle w:val="Hyperlink"/>
            <w:sz w:val="16"/>
          </w:rPr>
          <w:t>https://www.merriam-webster.com/dictionary/affirm</w:t>
        </w:r>
      </w:hyperlink>
      <w:r w:rsidR="00FB6E01">
        <w:rPr>
          <w:sz w:val="16"/>
        </w:rPr>
        <w:t xml:space="preserve"> </w:t>
      </w:r>
      <w:r w:rsidR="00FB6E01">
        <w:rPr>
          <w:sz w:val="16"/>
          <w:szCs w:val="16"/>
        </w:rPr>
        <w:t>(Merriam-Webster, accessed 11 September 2021)</w:t>
      </w:r>
    </w:p>
    <w:p w14:paraId="0A96FDE3" w14:textId="77777777" w:rsidR="00FB6E01" w:rsidRDefault="00573548" w:rsidP="00FB6E01">
      <w:pPr>
        <w:rPr>
          <w:sz w:val="16"/>
        </w:rPr>
      </w:pPr>
      <w:hyperlink r:id="rId8" w:history="1">
        <w:r w:rsidR="00FB6E01" w:rsidRPr="00A7046E">
          <w:rPr>
            <w:rStyle w:val="Hyperlink"/>
            <w:sz w:val="16"/>
          </w:rPr>
          <w:t>http://www.thefreedictionary.com/affirm</w:t>
        </w:r>
      </w:hyperlink>
      <w:r w:rsidR="00FB6E01">
        <w:rPr>
          <w:sz w:val="16"/>
        </w:rPr>
        <w:t xml:space="preserve"> </w:t>
      </w:r>
      <w:r w:rsidR="00FB6E01">
        <w:rPr>
          <w:sz w:val="16"/>
          <w:szCs w:val="16"/>
        </w:rPr>
        <w:t>(The Free Dictionary, accessed 11 September 2021)</w:t>
      </w:r>
    </w:p>
    <w:p w14:paraId="5D96A80F" w14:textId="77777777" w:rsidR="00FB6E01" w:rsidRPr="00E21CBE" w:rsidRDefault="00573548" w:rsidP="00FB6E01">
      <w:pPr>
        <w:ind w:right="-1440"/>
        <w:rPr>
          <w:sz w:val="16"/>
          <w:szCs w:val="16"/>
        </w:rPr>
      </w:pPr>
      <w:hyperlink r:id="rId9" w:history="1">
        <w:r w:rsidR="00FB6E01" w:rsidRPr="00A7046E">
          <w:rPr>
            <w:rStyle w:val="Hyperlink"/>
            <w:sz w:val="16"/>
          </w:rPr>
          <w:t>https://www.vocabulary.com/dictionary/affirm</w:t>
        </w:r>
      </w:hyperlink>
      <w:r w:rsidR="00FB6E01">
        <w:rPr>
          <w:sz w:val="16"/>
        </w:rPr>
        <w:t xml:space="preserve"> </w:t>
      </w:r>
      <w:r w:rsidR="00FB6E01">
        <w:rPr>
          <w:sz w:val="16"/>
          <w:szCs w:val="16"/>
        </w:rPr>
        <w:t>(Vocabulary.com, accessed 11 September 2021)</w:t>
      </w:r>
    </w:p>
    <w:p w14:paraId="77BA22EF" w14:textId="77777777" w:rsidR="00FB6E01" w:rsidRPr="00E21CBE" w:rsidRDefault="00573548" w:rsidP="00FB6E01">
      <w:pPr>
        <w:ind w:right="-1440"/>
        <w:rPr>
          <w:sz w:val="16"/>
          <w:szCs w:val="16"/>
        </w:rPr>
      </w:pPr>
      <w:hyperlink r:id="rId10" w:history="1">
        <w:r w:rsidR="00FB6E01" w:rsidRPr="00A7046E">
          <w:rPr>
            <w:rStyle w:val="Hyperlink"/>
            <w:sz w:val="16"/>
            <w:szCs w:val="16"/>
          </w:rPr>
          <w:t>http://www.oxforddictionaries.com/definition/english/affirm</w:t>
        </w:r>
      </w:hyperlink>
      <w:r w:rsidR="00FB6E01">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4A2C60"/>
    <w:multiLevelType w:val="hybridMultilevel"/>
    <w:tmpl w:val="2A5C9314"/>
    <w:lvl w:ilvl="0" w:tplc="BA2E1E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EB2FF7"/>
    <w:rsid w:val="000139A3"/>
    <w:rsid w:val="00074205"/>
    <w:rsid w:val="000F64D4"/>
    <w:rsid w:val="00100833"/>
    <w:rsid w:val="001019CB"/>
    <w:rsid w:val="00104529"/>
    <w:rsid w:val="00105942"/>
    <w:rsid w:val="00107396"/>
    <w:rsid w:val="001268F7"/>
    <w:rsid w:val="00144A4C"/>
    <w:rsid w:val="00176AB0"/>
    <w:rsid w:val="00177B7D"/>
    <w:rsid w:val="0018322D"/>
    <w:rsid w:val="001A7DA0"/>
    <w:rsid w:val="001B5776"/>
    <w:rsid w:val="001B6E79"/>
    <w:rsid w:val="001E527A"/>
    <w:rsid w:val="001F78CE"/>
    <w:rsid w:val="00251FC7"/>
    <w:rsid w:val="002855A7"/>
    <w:rsid w:val="002B146A"/>
    <w:rsid w:val="002B5E17"/>
    <w:rsid w:val="00315690"/>
    <w:rsid w:val="00316B75"/>
    <w:rsid w:val="00325646"/>
    <w:rsid w:val="003460F2"/>
    <w:rsid w:val="003766F0"/>
    <w:rsid w:val="0038158C"/>
    <w:rsid w:val="003902BA"/>
    <w:rsid w:val="003A09E2"/>
    <w:rsid w:val="003C2DED"/>
    <w:rsid w:val="00407037"/>
    <w:rsid w:val="00454666"/>
    <w:rsid w:val="004605D6"/>
    <w:rsid w:val="00465711"/>
    <w:rsid w:val="004A7417"/>
    <w:rsid w:val="004C60E8"/>
    <w:rsid w:val="004E3579"/>
    <w:rsid w:val="004E728B"/>
    <w:rsid w:val="004F39E0"/>
    <w:rsid w:val="00537BD5"/>
    <w:rsid w:val="00546DA6"/>
    <w:rsid w:val="0057268A"/>
    <w:rsid w:val="00573548"/>
    <w:rsid w:val="005C77B5"/>
    <w:rsid w:val="005D2912"/>
    <w:rsid w:val="006065BD"/>
    <w:rsid w:val="00625B7C"/>
    <w:rsid w:val="00645FA9"/>
    <w:rsid w:val="00647866"/>
    <w:rsid w:val="00665003"/>
    <w:rsid w:val="0068004C"/>
    <w:rsid w:val="006A2AD0"/>
    <w:rsid w:val="006A53DD"/>
    <w:rsid w:val="006C2375"/>
    <w:rsid w:val="006D18C3"/>
    <w:rsid w:val="006D4ECC"/>
    <w:rsid w:val="006E5919"/>
    <w:rsid w:val="00722258"/>
    <w:rsid w:val="007243E5"/>
    <w:rsid w:val="00747D6D"/>
    <w:rsid w:val="00766EA0"/>
    <w:rsid w:val="007A2226"/>
    <w:rsid w:val="007F5B66"/>
    <w:rsid w:val="00823A1C"/>
    <w:rsid w:val="00845B9D"/>
    <w:rsid w:val="0085783A"/>
    <w:rsid w:val="00860984"/>
    <w:rsid w:val="008B3ECB"/>
    <w:rsid w:val="008B4E85"/>
    <w:rsid w:val="008C1B2E"/>
    <w:rsid w:val="008E38AA"/>
    <w:rsid w:val="0091627E"/>
    <w:rsid w:val="0097032B"/>
    <w:rsid w:val="009B5C89"/>
    <w:rsid w:val="009D2EAD"/>
    <w:rsid w:val="009D54B2"/>
    <w:rsid w:val="009E1922"/>
    <w:rsid w:val="009F7ED2"/>
    <w:rsid w:val="00A93661"/>
    <w:rsid w:val="00A95652"/>
    <w:rsid w:val="00AA640C"/>
    <w:rsid w:val="00AA7181"/>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51B58"/>
    <w:rsid w:val="00D61409"/>
    <w:rsid w:val="00D6691E"/>
    <w:rsid w:val="00D71170"/>
    <w:rsid w:val="00DA1C92"/>
    <w:rsid w:val="00DA25D4"/>
    <w:rsid w:val="00DA6538"/>
    <w:rsid w:val="00E00C0C"/>
    <w:rsid w:val="00E107EC"/>
    <w:rsid w:val="00E15BAA"/>
    <w:rsid w:val="00E15E75"/>
    <w:rsid w:val="00E5262C"/>
    <w:rsid w:val="00EB2FF7"/>
    <w:rsid w:val="00EC7DC4"/>
    <w:rsid w:val="00ED30CF"/>
    <w:rsid w:val="00F176EF"/>
    <w:rsid w:val="00F20D36"/>
    <w:rsid w:val="00F45E10"/>
    <w:rsid w:val="00F6364A"/>
    <w:rsid w:val="00F9113A"/>
    <w:rsid w:val="00FB5634"/>
    <w:rsid w:val="00FB6E0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4ED1F"/>
  <w15:chartTrackingRefBased/>
  <w15:docId w15:val="{AFE00723-D4A5-4EA2-BF2A-B298571E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7181"/>
    <w:rPr>
      <w:rFonts w:ascii="Arial" w:hAnsi="Arial" w:cs="Arial"/>
      <w:sz w:val="24"/>
    </w:rPr>
  </w:style>
  <w:style w:type="paragraph" w:styleId="Heading1">
    <w:name w:val="heading 1"/>
    <w:aliases w:val="Pocket"/>
    <w:basedOn w:val="Normal"/>
    <w:next w:val="Normal"/>
    <w:link w:val="Heading1Char"/>
    <w:qFormat/>
    <w:rsid w:val="00AA71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71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71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AA718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AA7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181"/>
  </w:style>
  <w:style w:type="character" w:customStyle="1" w:styleId="Heading1Char">
    <w:name w:val="Heading 1 Char"/>
    <w:aliases w:val="Pocket Char"/>
    <w:basedOn w:val="DefaultParagraphFont"/>
    <w:link w:val="Heading1"/>
    <w:rsid w:val="00AA718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A718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AA7181"/>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AA7181"/>
    <w:rPr>
      <w:rFonts w:ascii="Arial" w:eastAsiaTheme="majorEastAsia" w:hAnsi="Arial" w:cstheme="majorBidi"/>
      <w:b/>
      <w:iCs/>
      <w:sz w:val="24"/>
    </w:rPr>
  </w:style>
  <w:style w:type="character" w:styleId="Emphasis">
    <w:name w:val="Emphasis"/>
    <w:basedOn w:val="DefaultParagraphFont"/>
    <w:uiPriority w:val="7"/>
    <w:qFormat/>
    <w:rsid w:val="00AA718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A7181"/>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A718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A7181"/>
    <w:rPr>
      <w:color w:val="auto"/>
      <w:u w:val="none"/>
    </w:rPr>
  </w:style>
  <w:style w:type="character" w:styleId="FollowedHyperlink">
    <w:name w:val="FollowedHyperlink"/>
    <w:basedOn w:val="DefaultParagraphFont"/>
    <w:uiPriority w:val="99"/>
    <w:semiHidden/>
    <w:unhideWhenUsed/>
    <w:rsid w:val="00AA718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51B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B6E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echanddebate.org/wp-content/uploads/High-School-Unified-Manual-2021-202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1315264/" TargetMode="External"/><Relationship Id="rId5" Type="http://schemas.openxmlformats.org/officeDocument/2006/relationships/webSettings" Target="webSettings.xml"/><Relationship Id="rId10" Type="http://schemas.openxmlformats.org/officeDocument/2006/relationships/hyperlink" Target="https://www.theatlantic.com/magazine/archive/2016/06/theres-no-such-thing-as-free-will/480750/" TargetMode="External"/><Relationship Id="rId4" Type="http://schemas.openxmlformats.org/officeDocument/2006/relationships/settings" Target="settings.xml"/><Relationship Id="rId9" Type="http://schemas.openxmlformats.org/officeDocument/2006/relationships/hyperlink" Target="https://iep.utm.edu/freewil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8</cp:revision>
  <dcterms:created xsi:type="dcterms:W3CDTF">2021-11-05T22:19:00Z</dcterms:created>
  <dcterms:modified xsi:type="dcterms:W3CDTF">2021-11-06T00:05:00Z</dcterms:modified>
</cp:coreProperties>
</file>