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D4A00" w14:textId="7285FB5A" w:rsidR="007C6FC5" w:rsidRDefault="00AE1905" w:rsidP="007C6FC5">
      <w:pPr>
        <w:pStyle w:val="Heading1"/>
        <w:rPr>
          <w:rFonts w:cs="Arial"/>
        </w:rPr>
      </w:pPr>
      <w:r>
        <w:rPr>
          <w:rFonts w:cs="Arial"/>
        </w:rPr>
        <w:t>1AC</w:t>
      </w:r>
    </w:p>
    <w:p w14:paraId="17AD3D2D" w14:textId="5EDB1434" w:rsidR="00722D36" w:rsidRPr="00722D36" w:rsidRDefault="00722D36" w:rsidP="00722D36">
      <w:pPr>
        <w:pStyle w:val="Heading2"/>
      </w:pPr>
      <w:r>
        <w:t>Theory</w:t>
      </w:r>
    </w:p>
    <w:p w14:paraId="3BB5912F" w14:textId="77777777" w:rsidR="00722D36" w:rsidRPr="00B02EF9" w:rsidRDefault="00722D36" w:rsidP="00722D36">
      <w:pPr>
        <w:pStyle w:val="Heading4"/>
        <w:rPr>
          <w:rFonts w:cs="Calibri"/>
        </w:rPr>
      </w:pPr>
      <w:bookmarkStart w:id="0" w:name="_Hlk86951905"/>
      <w:r>
        <w:t>Interpretation: debaters must disclose all round reports on the page with their name and school on the 2021-2022 NCDA LD wiki after the round in which they read them.</w:t>
      </w:r>
    </w:p>
    <w:p w14:paraId="3F8F8600" w14:textId="645B2689" w:rsidR="00722D36" w:rsidRDefault="00722D36" w:rsidP="00722D36">
      <w:pPr>
        <w:pStyle w:val="Heading4"/>
      </w:pPr>
      <w:r>
        <w:t>Violation: they didn’t for Mid America Cup and Apple Valley – see screenshots</w:t>
      </w:r>
    </w:p>
    <w:p w14:paraId="0DC3FE87" w14:textId="77777777" w:rsidR="00722D36" w:rsidRDefault="00722D36" w:rsidP="00722D36">
      <w:pPr>
        <w:pStyle w:val="Heading4"/>
      </w:pPr>
      <w:r>
        <w:rPr>
          <w:noProof/>
        </w:rPr>
        <w:drawing>
          <wp:inline distT="0" distB="0" distL="0" distR="0" wp14:anchorId="330849A6" wp14:editId="5FFE3F84">
            <wp:extent cx="4876799" cy="1431969"/>
            <wp:effectExtent l="0" t="0" r="63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892923" cy="1436704"/>
                    </a:xfrm>
                    <a:prstGeom prst="rect">
                      <a:avLst/>
                    </a:prstGeom>
                  </pic:spPr>
                </pic:pic>
              </a:graphicData>
            </a:graphic>
          </wp:inline>
        </w:drawing>
      </w:r>
      <w:r>
        <w:rPr>
          <w:noProof/>
        </w:rPr>
        <w:drawing>
          <wp:inline distT="0" distB="0" distL="0" distR="0" wp14:anchorId="37D79F78" wp14:editId="660D8360">
            <wp:extent cx="4819649" cy="1273449"/>
            <wp:effectExtent l="0" t="0" r="635" b="3175"/>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7">
                      <a:extLst>
                        <a:ext uri="{28A0092B-C50C-407E-A947-70E740481C1C}">
                          <a14:useLocalDpi xmlns:a14="http://schemas.microsoft.com/office/drawing/2010/main" val="0"/>
                        </a:ext>
                      </a:extLst>
                    </a:blip>
                    <a:stretch>
                      <a:fillRect/>
                    </a:stretch>
                  </pic:blipFill>
                  <pic:spPr>
                    <a:xfrm>
                      <a:off x="0" y="0"/>
                      <a:ext cx="4867585" cy="1286115"/>
                    </a:xfrm>
                    <a:prstGeom prst="rect">
                      <a:avLst/>
                    </a:prstGeom>
                  </pic:spPr>
                </pic:pic>
              </a:graphicData>
            </a:graphic>
          </wp:inline>
        </w:drawing>
      </w:r>
      <w:r>
        <w:t xml:space="preserve"> </w:t>
      </w:r>
    </w:p>
    <w:p w14:paraId="2E221AFD" w14:textId="77777777" w:rsidR="00722D36" w:rsidRDefault="00722D36" w:rsidP="00722D36">
      <w:pPr>
        <w:pStyle w:val="Heading4"/>
      </w:pPr>
      <w:r>
        <w:t>Standards:</w:t>
      </w:r>
    </w:p>
    <w:p w14:paraId="6D7214EE" w14:textId="54329DCC" w:rsidR="00722D36" w:rsidRDefault="00722D36" w:rsidP="00722D36">
      <w:pPr>
        <w:pStyle w:val="Heading4"/>
      </w:pPr>
      <w:r>
        <w:t xml:space="preserve">[1] Inclusion – big schools can scout and collect </w:t>
      </w:r>
      <w:proofErr w:type="gramStart"/>
      <w:r>
        <w:t>flows</w:t>
      </w:r>
      <w:proofErr w:type="gramEnd"/>
      <w:r>
        <w:t xml:space="preserve"> but small school debaters are left in the dark. Round reports key to prep – they give info on what debaters generally go for so people can prep strategy. That</w:t>
      </w:r>
      <w:r w:rsidR="00522841">
        <w:t>’</w:t>
      </w:r>
      <w:r>
        <w:t>s a voter – inclusion is a prereq to debate and an impact multiplier.</w:t>
      </w:r>
    </w:p>
    <w:p w14:paraId="498C7CD7" w14:textId="17E24AE3" w:rsidR="007C6FC5" w:rsidRDefault="00722D36" w:rsidP="007C6FC5">
      <w:pPr>
        <w:pStyle w:val="Heading4"/>
      </w:pPr>
      <w:r>
        <w:t>[2] Strategy education – round reports help novices understand the context in which positions are read by good debaters and help with brainstorming potential 1NCs – helps compensate for kids who can’t afford do prep out affs, which also links to inclusion.</w:t>
      </w:r>
    </w:p>
    <w:p w14:paraId="68DAC93D" w14:textId="2607F366" w:rsidR="00722D36" w:rsidRDefault="00722D36" w:rsidP="00722D36">
      <w:pPr>
        <w:pStyle w:val="Heading4"/>
        <w:rPr>
          <w:lang w:val="en"/>
        </w:rPr>
      </w:pPr>
      <w:r>
        <w:rPr>
          <w:lang w:val="en"/>
        </w:rPr>
        <w:t>DTD to deter future abuse because they won’t reviolate if they lose.</w:t>
      </w:r>
    </w:p>
    <w:p w14:paraId="2C671D27" w14:textId="77777777" w:rsidR="00722D36" w:rsidRDefault="00722D36" w:rsidP="00722D36">
      <w:pPr>
        <w:pStyle w:val="Heading4"/>
        <w:rPr>
          <w:lang w:val="en"/>
        </w:rPr>
      </w:pPr>
      <w:r>
        <w:rPr>
          <w:lang w:val="en"/>
        </w:rPr>
        <w:t>No RVIs – a) illogical – you don’t win for being fair, and logic is a meta-constraint, b) good theory debaters will bait theory to win on the RVI, which causes abuse, c) chilling effect – makes debaters scared to call out real abuse because they’ll be out-teched on the RVI.</w:t>
      </w:r>
    </w:p>
    <w:p w14:paraId="5F5F9644" w14:textId="24EEEB18" w:rsidR="00722D36" w:rsidRPr="00722D36" w:rsidRDefault="00722D36" w:rsidP="00722D36">
      <w:pPr>
        <w:pStyle w:val="Heading4"/>
        <w:rPr>
          <w:lang w:val="en"/>
        </w:rPr>
      </w:pPr>
      <w:r>
        <w:rPr>
          <w:lang w:val="en"/>
        </w:rPr>
        <w:t>Competing interps – a) reasonability is arbitrary and requires judge intervention, b) collapses because brightlines concede an offense-defense paradigm c) only competing interps sets norms because it’s not a case-by-case basis.</w:t>
      </w:r>
    </w:p>
    <w:p w14:paraId="05731E07" w14:textId="77777777" w:rsidR="007C6FC5" w:rsidRPr="0043291E" w:rsidRDefault="007C6FC5" w:rsidP="007C6FC5">
      <w:pPr>
        <w:pStyle w:val="Heading2"/>
        <w:rPr>
          <w:rFonts w:cs="Arial"/>
        </w:rPr>
      </w:pPr>
      <w:r w:rsidRPr="0043291E">
        <w:rPr>
          <w:rFonts w:cs="Arial"/>
        </w:rPr>
        <w:t>Framework</w:t>
      </w:r>
    </w:p>
    <w:p w14:paraId="333C156F" w14:textId="77777777" w:rsidR="007C6FC5" w:rsidRPr="0043291E" w:rsidRDefault="007C6FC5" w:rsidP="007C6FC5">
      <w:pPr>
        <w:pStyle w:val="Heading4"/>
      </w:pPr>
      <w:r w:rsidRPr="0043291E">
        <w:t>I affirm, resolved: A just government ought to recognize an unconditional right of workers to strike.</w:t>
      </w:r>
    </w:p>
    <w:p w14:paraId="1FA7A468" w14:textId="77777777" w:rsidR="007C6FC5" w:rsidRPr="0043291E" w:rsidRDefault="007C6FC5" w:rsidP="007C6FC5">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7D5ADFF3" w14:textId="77777777" w:rsidR="007C6FC5" w:rsidRPr="0043291E" w:rsidRDefault="007C6FC5" w:rsidP="007C6FC5">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224E79FF" w14:textId="77777777" w:rsidR="007C6FC5" w:rsidRPr="0043291E" w:rsidRDefault="007C6FC5" w:rsidP="007C6FC5">
      <w:pPr>
        <w:rPr>
          <w:sz w:val="16"/>
          <w:szCs w:val="16"/>
        </w:rPr>
      </w:pPr>
      <w:r w:rsidRPr="0043291E">
        <w:rPr>
          <w:rStyle w:val="Style13ptBold"/>
        </w:rPr>
        <w:t>Gewirth 84</w:t>
      </w:r>
      <w:r w:rsidRPr="0043291E">
        <w:t xml:space="preserve"> </w:t>
      </w:r>
      <w:r w:rsidRPr="0043291E">
        <w:rPr>
          <w:sz w:val="16"/>
          <w:szCs w:val="16"/>
        </w:rPr>
        <w:t xml:space="preserve">Alan Gewirth, Professor of Philosophy at the University of Chicago, "Ontological Basis of Natural Law: A Critique and an Alternative," 1 June 1984, Oxford Academic, accessed 3 November 2021, pg. 118-119, </w:t>
      </w:r>
      <w:hyperlink r:id="rId8"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37AAE3E9" w14:textId="77777777" w:rsidR="007C6FC5" w:rsidRPr="0043291E" w:rsidRDefault="007C6FC5" w:rsidP="007C6FC5">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well being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well being as necessary goods and must hold that he and all other actual or prospective agents have rights to these necessary goods. </w:t>
      </w:r>
      <w:r w:rsidRPr="0043291E">
        <w:rPr>
          <w:rStyle w:val="StyleUnderline"/>
        </w:rPr>
        <w:t xml:space="preserve">Hence, </w:t>
      </w:r>
      <w:r w:rsidRPr="0043291E">
        <w:rPr>
          <w:rStyle w:val="StyleUnderline"/>
          <w:highlight w:val="cyan"/>
        </w:rPr>
        <w:t>every agent</w:t>
      </w:r>
      <w:r w:rsidRPr="0043291E">
        <w:rPr>
          <w:rStyle w:val="StyleUnderline"/>
        </w:rPr>
        <w:t xml:space="preserve">, on pain of self-contradiction, </w:t>
      </w:r>
      <w:r w:rsidRPr="0043291E">
        <w:rPr>
          <w:rStyle w:val="StyleUnderline"/>
          <w:highlight w:val="cyan"/>
        </w:rPr>
        <w:t>must</w:t>
      </w:r>
      <w:r w:rsidRPr="0043291E">
        <w:rPr>
          <w:rStyle w:val="StyleUnderline"/>
        </w:rPr>
        <w:t xml:space="preserve"> accept the following principle: </w:t>
      </w:r>
      <w:r w:rsidRPr="0043291E">
        <w:rPr>
          <w:rStyle w:val="StyleUnderline"/>
          <w:highlight w:val="cyan"/>
        </w:rPr>
        <w:t>Act in accord with</w:t>
      </w:r>
      <w:r w:rsidRPr="0043291E">
        <w:rPr>
          <w:rStyle w:val="StyleUnderline"/>
        </w:rPr>
        <w:t xml:space="preserve"> the generic rights of your recipients as well as of yourself. The generic rights are rights to the generic features of action, </w:t>
      </w:r>
      <w:r w:rsidRPr="0043291E">
        <w:rPr>
          <w:rStyle w:val="StyleUnderline"/>
          <w:highlight w:val="cyan"/>
        </w:rPr>
        <w:t>freedom</w:t>
      </w:r>
      <w:r w:rsidRPr="0043291E">
        <w:rPr>
          <w:rStyle w:val="StyleUnderline"/>
        </w:rPr>
        <w:t>, and well-being.</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31F624EE" w14:textId="77777777" w:rsidR="007C6FC5" w:rsidRPr="0043291E" w:rsidRDefault="007C6FC5" w:rsidP="007C6FC5">
      <w:pPr>
        <w:pStyle w:val="Heading4"/>
      </w:pPr>
      <w:r w:rsidRPr="0043291E">
        <w:t>[2] Agency is a precondition because ethics require people to be the cause of their action; we would not assign moral responsibility if the ability to act is compromised.</w:t>
      </w:r>
    </w:p>
    <w:p w14:paraId="4AF39CA5" w14:textId="77777777" w:rsidR="007C6FC5" w:rsidRPr="0043291E" w:rsidRDefault="007C6FC5" w:rsidP="007C6FC5">
      <w:pPr>
        <w:pStyle w:val="Heading4"/>
      </w:pPr>
      <w:r w:rsidRPr="0043291E">
        <w:t xml:space="preserve">[3] Is-ought gap – ethics are derived from reason because experience only tells us about what is, not what ought to be – you can’t derive prescriptive moral obligation from observation. </w:t>
      </w:r>
    </w:p>
    <w:p w14:paraId="24EEF7FE" w14:textId="77777777" w:rsidR="007C6FC5" w:rsidRPr="0043291E" w:rsidRDefault="007C6FC5" w:rsidP="007C6FC5">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7EAC88F0" w14:textId="77777777" w:rsidR="007C6FC5" w:rsidRPr="0043291E" w:rsidRDefault="007C6FC5" w:rsidP="007C6FC5">
      <w:pPr>
        <w:pStyle w:val="Heading4"/>
        <w:rPr>
          <w:rFonts w:cs="Arial"/>
        </w:rPr>
      </w:pPr>
      <w:r w:rsidRPr="0043291E">
        <w:t>Prefer non-domination:</w:t>
      </w:r>
    </w:p>
    <w:p w14:paraId="3C0E4BD6" w14:textId="77777777" w:rsidR="007C6FC5" w:rsidRPr="0043291E" w:rsidRDefault="007C6FC5" w:rsidP="007C6FC5">
      <w:pPr>
        <w:pStyle w:val="Heading4"/>
      </w:pPr>
      <w:r w:rsidRPr="0043291E">
        <w:t>[1] Non-interference allows for underlying coercion because agents condition themselves to appeal to their dominator.</w:t>
      </w:r>
    </w:p>
    <w:p w14:paraId="0B8012E8" w14:textId="77777777" w:rsidR="007C6FC5" w:rsidRPr="0043291E" w:rsidRDefault="007C6FC5" w:rsidP="007C6FC5">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4B6210AB" w14:textId="77777777" w:rsidR="007C6FC5" w:rsidRPr="0043291E" w:rsidRDefault="007C6FC5" w:rsidP="007C6FC5">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0C26476B" w14:textId="77777777" w:rsidR="007C6FC5" w:rsidRPr="0043291E" w:rsidRDefault="007C6FC5" w:rsidP="007C6FC5">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338E7870" w14:textId="77777777" w:rsidR="007C6FC5" w:rsidRPr="0043291E" w:rsidRDefault="007C6FC5" w:rsidP="007C6FC5">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7BAF2CBD" w14:textId="77777777" w:rsidR="007C6FC5" w:rsidRPr="0043291E" w:rsidRDefault="007C6FC5" w:rsidP="007C6FC5">
      <w:pPr>
        <w:pStyle w:val="Heading4"/>
      </w:pPr>
      <w:r w:rsidRPr="0043291E">
        <w:t xml:space="preserve">[2] Only non-domination can explain freedom as a power structure instead of a contingent outcome. </w:t>
      </w:r>
    </w:p>
    <w:p w14:paraId="0A543684" w14:textId="77777777" w:rsidR="007C6FC5" w:rsidRPr="0043291E" w:rsidRDefault="007C6FC5" w:rsidP="007C6FC5">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10" w:history="1">
        <w:r w:rsidRPr="0043291E">
          <w:rPr>
            <w:rStyle w:val="Hyperlink"/>
            <w:sz w:val="16"/>
          </w:rPr>
          <w:t>https://www.jstor.org/stable/24220143</w:t>
        </w:r>
      </w:hyperlink>
      <w:r w:rsidRPr="0043291E">
        <w:rPr>
          <w:sz w:val="16"/>
        </w:rPr>
        <w:t xml:space="preserve"> recut ~ST~</w:t>
      </w:r>
    </w:p>
    <w:p w14:paraId="5BBC1023" w14:textId="77777777" w:rsidR="007C6FC5" w:rsidRPr="0043291E" w:rsidRDefault="007C6FC5" w:rsidP="007C6FC5">
      <w:bookmarkStart w:id="1"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w:t>
      </w:r>
      <w:proofErr w:type="gramStart"/>
      <w:r w:rsidRPr="0043291E">
        <w:rPr>
          <w:rStyle w:val="StyleUnderline"/>
        </w:rPr>
        <w:t>more or less immune</w:t>
      </w:r>
      <w:proofErr w:type="gramEnd"/>
      <w:r w:rsidRPr="0043291E">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proofErr w:type="gramStart"/>
      <w:r w:rsidRPr="0043291E">
        <w:rPr>
          <w:rStyle w:val="StyleUnderline"/>
          <w:highlight w:val="cyan"/>
        </w:rPr>
        <w:t>similarly</w:t>
      </w:r>
      <w:proofErr w:type="gramEnd"/>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1"/>
    <w:p w14:paraId="58C3F2AB" w14:textId="77777777" w:rsidR="007C6FC5" w:rsidRPr="0043291E" w:rsidRDefault="007C6FC5" w:rsidP="007C6FC5">
      <w:pPr>
        <w:pStyle w:val="Heading4"/>
      </w:pPr>
      <w:r w:rsidRPr="0043291E">
        <w:t>Thus, the standard is consistency with freedom as non-domination.</w:t>
      </w:r>
    </w:p>
    <w:p w14:paraId="196AD19C" w14:textId="77777777" w:rsidR="007C6FC5" w:rsidRPr="0043291E" w:rsidRDefault="007C6FC5" w:rsidP="007C6FC5">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31F801C0" w14:textId="77777777" w:rsidR="007C6FC5" w:rsidRPr="0043291E" w:rsidRDefault="007C6FC5" w:rsidP="007C6FC5">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1267DF72" w14:textId="77777777" w:rsidR="007C6FC5" w:rsidRPr="0043291E" w:rsidRDefault="007C6FC5" w:rsidP="007C6FC5">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35F3D0D6" w14:textId="77777777" w:rsidR="007C6FC5" w:rsidRPr="0043291E" w:rsidRDefault="007C6FC5" w:rsidP="007C6FC5">
      <w:r w:rsidRPr="0043291E">
        <w:rPr>
          <w:rStyle w:val="Style13ptBold"/>
        </w:rPr>
        <w:t>Benhabib 94</w:t>
      </w:r>
      <w:r w:rsidRPr="0043291E">
        <w:t xml:space="preserve"> </w:t>
      </w:r>
      <w:r w:rsidRPr="0043291E">
        <w:rPr>
          <w:sz w:val="16"/>
          <w:szCs w:val="16"/>
        </w:rPr>
        <w:t xml:space="preserve">Seyla Benhabib, Professor of Political Science and Philosophy at Yale University and Adjunct Professor of Law at Columbia Law School, “In Defense of Universalism. Yet </w:t>
      </w:r>
      <w:proofErr w:type="gramStart"/>
      <w:r w:rsidRPr="0043291E">
        <w:rPr>
          <w:sz w:val="16"/>
          <w:szCs w:val="16"/>
        </w:rPr>
        <w:t>Again</w:t>
      </w:r>
      <w:proofErr w:type="gramEnd"/>
      <w:r w:rsidRPr="0043291E">
        <w:rPr>
          <w:sz w:val="16"/>
          <w:szCs w:val="16"/>
        </w:rPr>
        <w:t xml:space="preserve">! A Response to Critics of Situating the Self,” Spring-Summer 1994, New German Critique, accessed 4 November 2021, pg. 174-175, </w:t>
      </w:r>
      <w:hyperlink r:id="rId11" w:history="1">
        <w:r w:rsidRPr="0043291E">
          <w:rPr>
            <w:rStyle w:val="Hyperlink"/>
            <w:sz w:val="16"/>
            <w:szCs w:val="16"/>
          </w:rPr>
          <w:t>https://cpb-us-w2.wpmucdn.com/campuspress.yale.edu/dist/3/949/files/2016/05/In-Defense-of-Universalism.-A-Response-to-Critics-of-Situating-the-Self-24d671a.pdf</w:t>
        </w:r>
      </w:hyperlink>
    </w:p>
    <w:p w14:paraId="659F72F6" w14:textId="77777777" w:rsidR="007C6FC5" w:rsidRPr="0043291E" w:rsidRDefault="007C6FC5" w:rsidP="007C6FC5">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 xml:space="preserve">come to some </w:t>
      </w:r>
      <w:proofErr w:type="gramStart"/>
      <w:r w:rsidRPr="0043291E">
        <w:rPr>
          <w:rStyle w:val="StyleUnderline"/>
          <w:highlight w:val="cyan"/>
        </w:rPr>
        <w:t>agreement</w:t>
      </w:r>
      <w:r w:rsidRPr="0043291E">
        <w:rPr>
          <w:rStyle w:val="StyleUnderline"/>
        </w:rPr>
        <w:t>.</w:t>
      </w:r>
      <w:r w:rsidRPr="0043291E">
        <w:rPr>
          <w:sz w:val="16"/>
        </w:rPr>
        <w:t>“</w:t>
      </w:r>
      <w:proofErr w:type="gramEnd"/>
      <w:r w:rsidRPr="0043291E">
        <w:rPr>
          <w:sz w:val="16"/>
        </w:rPr>
        <w:t xml:space="preserve">2 Departing from the strict consensual model of Habermas’s discourse ethics, I sought to stake a middle ground between an a prioristic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o f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xml:space="preserve">; or, if one </w:t>
      </w:r>
      <w:proofErr w:type="gramStart"/>
      <w:r w:rsidRPr="0043291E">
        <w:rPr>
          <w:sz w:val="16"/>
        </w:rPr>
        <w:t>did  not</w:t>
      </w:r>
      <w:proofErr w:type="gramEnd"/>
      <w:r w:rsidRPr="0043291E">
        <w:rPr>
          <w:sz w:val="16"/>
        </w:rPr>
        <w:t xml:space="preserve">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w:t>
      </w:r>
      <w:proofErr w:type="gramStart"/>
      <w:r w:rsidRPr="0043291E">
        <w:rPr>
          <w:sz w:val="16"/>
        </w:rPr>
        <w:t>:  ‘</w:t>
      </w:r>
      <w:proofErr w:type="gramEnd"/>
      <w:r w:rsidRPr="0043291E">
        <w:rPr>
          <w:sz w:val="16"/>
        </w:rPr>
        <w:t>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w:t>
      </w:r>
      <w:proofErr w:type="gramStart"/>
      <w:r w:rsidRPr="0043291E">
        <w:rPr>
          <w:rStyle w:val="StyleUnderline"/>
        </w:rPr>
        <w:t>as a result of</w:t>
      </w:r>
      <w:proofErr w:type="gramEnd"/>
      <w:r w:rsidRPr="0043291E">
        <w:rPr>
          <w:rStyle w:val="StyleUnderline"/>
        </w:rPr>
        <w:t xml:space="preserve">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[Vorverstandnis] of these norms.  At first sight this statement may seem not only naive, but simply false in the face of the many racisms, xenophobisms,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w:t>
      </w:r>
      <w:proofErr w:type="gramStart"/>
      <w:r w:rsidRPr="0043291E">
        <w:rPr>
          <w:sz w:val="16"/>
        </w:rPr>
        <w:t>others.“</w:t>
      </w:r>
      <w:proofErr w:type="gramEnd"/>
      <w:r w:rsidRPr="0043291E">
        <w:rPr>
          <w:sz w:val="16"/>
        </w:rPr>
        <w:t>6</w:t>
      </w:r>
    </w:p>
    <w:p w14:paraId="310A43AD" w14:textId="77777777" w:rsidR="007C6FC5" w:rsidRPr="0043291E" w:rsidRDefault="007C6FC5" w:rsidP="007C6FC5">
      <w:pPr>
        <w:pStyle w:val="Heading4"/>
      </w:pPr>
      <w:r w:rsidRPr="0043291E">
        <w:t>[3] Resource disparities – focus on evidence and statistics puts small school debaters without huge files at a disadvantage, but my framework can be won without prep, which means it’s theoretically preferable.</w:t>
      </w:r>
    </w:p>
    <w:p w14:paraId="71D3046F" w14:textId="77777777" w:rsidR="007C6FC5" w:rsidRPr="0043291E" w:rsidRDefault="007C6FC5" w:rsidP="007C6FC5">
      <w:pPr>
        <w:pStyle w:val="Heading2"/>
      </w:pPr>
      <w:bookmarkStart w:id="2" w:name="_Hlk86952700"/>
      <w:bookmarkEnd w:id="0"/>
      <w:r w:rsidRPr="0043291E">
        <w:t>Offense</w:t>
      </w:r>
    </w:p>
    <w:p w14:paraId="7D2066FB" w14:textId="77777777" w:rsidR="007C6FC5" w:rsidRPr="0043291E" w:rsidRDefault="007C6FC5" w:rsidP="007C6FC5">
      <w:pPr>
        <w:pStyle w:val="Heading4"/>
        <w:rPr>
          <w:rStyle w:val="StyleUnderline"/>
          <w:rFonts w:cs="Arial"/>
          <w:b/>
          <w:bCs/>
          <w:u w:val="none"/>
        </w:rPr>
      </w:pPr>
      <w:r w:rsidRPr="0043291E">
        <w:rPr>
          <w:rStyle w:val="StyleUnderline"/>
          <w:rFonts w:cs="Arial"/>
          <w:b/>
          <w:bCs/>
          <w:u w:val="none"/>
        </w:rPr>
        <w:t>The structure of employment dominates workers.</w:t>
      </w:r>
    </w:p>
    <w:p w14:paraId="5F1B9B93" w14:textId="77777777" w:rsidR="007C6FC5" w:rsidRPr="0043291E" w:rsidRDefault="007C6FC5" w:rsidP="007C6FC5">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572E8CAA" w14:textId="77777777" w:rsidR="007C6FC5" w:rsidRPr="005807F1" w:rsidRDefault="007C6FC5" w:rsidP="007C6FC5">
      <w:pPr>
        <w:rPr>
          <w:sz w:val="16"/>
          <w:szCs w:val="16"/>
        </w:rPr>
      </w:pPr>
      <w:r w:rsidRPr="0043291E">
        <w:rPr>
          <w:rStyle w:val="Style13ptBold"/>
        </w:rPr>
        <w:t>Gourevitch 16</w:t>
      </w:r>
      <w:r w:rsidRPr="0043291E">
        <w:t xml:space="preserve"> </w:t>
      </w:r>
      <w:r w:rsidRPr="005807F1">
        <w:rPr>
          <w:sz w:val="16"/>
          <w:szCs w:val="16"/>
        </w:rPr>
        <w:t>Alex Gourevitch,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2FD72E66" w14:textId="77777777" w:rsidR="007C6FC5" w:rsidRPr="0043291E" w:rsidRDefault="007C6FC5" w:rsidP="007C6FC5">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6D1BD452" w14:textId="77777777" w:rsidR="007C6FC5" w:rsidRPr="0043291E" w:rsidRDefault="007C6FC5" w:rsidP="007C6FC5">
      <w:pPr>
        <w:pStyle w:val="Heading4"/>
        <w:rPr>
          <w:rFonts w:cs="Arial"/>
          <w:color w:val="C00000"/>
        </w:rPr>
      </w:pPr>
      <w:r w:rsidRPr="0043291E">
        <w:rPr>
          <w:rFonts w:cs="Arial"/>
        </w:rPr>
        <w:t>[2] The arbitrarily one-sided power dynamic of employment dominates employees.</w:t>
      </w:r>
    </w:p>
    <w:p w14:paraId="70BE2392" w14:textId="77777777" w:rsidR="007C6FC5" w:rsidRPr="0043291E" w:rsidRDefault="007C6FC5" w:rsidP="007C6FC5">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Mantouvalou, Professor of Human Rights and Labor Law at the University College London, “Does Labor Law Need Philosophical Foundations? (Introduction),” 2018, Oxford University Press, accessed 22 October 2021, Pg. 5-6, </w:t>
      </w:r>
      <w:hyperlink r:id="rId12" w:history="1">
        <w:r w:rsidRPr="0043291E">
          <w:rPr>
            <w:rStyle w:val="Hyperlink"/>
            <w:bCs/>
            <w:sz w:val="16"/>
          </w:rPr>
          <w:t>https://scholarship.law.columbia.edu/cgi/viewcontent.cgi?article=3538&amp;context=faculty_scholarship</w:t>
        </w:r>
      </w:hyperlink>
      <w:r w:rsidRPr="0043291E">
        <w:rPr>
          <w:bCs/>
          <w:sz w:val="16"/>
        </w:rPr>
        <w:t xml:space="preserve"> ~ST~</w:t>
      </w:r>
    </w:p>
    <w:p w14:paraId="49679D09" w14:textId="77777777" w:rsidR="007C6FC5" w:rsidRPr="0043291E" w:rsidRDefault="007C6FC5" w:rsidP="007C6FC5">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5E6AB322" w14:textId="77777777" w:rsidR="007C6FC5" w:rsidRPr="0043291E" w:rsidRDefault="007C6FC5" w:rsidP="007C6FC5">
      <w:pPr>
        <w:pStyle w:val="Heading4"/>
        <w:rPr>
          <w:rFonts w:cs="Arial"/>
          <w:bCs/>
          <w:color w:val="C00000"/>
        </w:rPr>
      </w:pPr>
      <w:r w:rsidRPr="0043291E">
        <w:rPr>
          <w:rStyle w:val="StyleUnderline"/>
          <w:rFonts w:cs="Arial"/>
          <w:b/>
          <w:bCs/>
          <w:u w:val="none"/>
        </w:rPr>
        <w:t>[3] Uniformity in worker treatment fails to respect individual ends.</w:t>
      </w:r>
    </w:p>
    <w:p w14:paraId="236AC7BA" w14:textId="77777777" w:rsidR="007C6FC5" w:rsidRPr="0043291E" w:rsidRDefault="007C6FC5" w:rsidP="007C6FC5">
      <w:pPr>
        <w:rPr>
          <w:sz w:val="16"/>
        </w:rPr>
      </w:pPr>
      <w:r w:rsidRPr="0043291E">
        <w:rPr>
          <w:rStyle w:val="Style13ptBold"/>
        </w:rPr>
        <w:t>O’Neill 85</w:t>
      </w:r>
      <w:r w:rsidRPr="0043291E">
        <w:t xml:space="preserve"> </w:t>
      </w:r>
      <w:r w:rsidRPr="0043291E">
        <w:rPr>
          <w:sz w:val="16"/>
        </w:rPr>
        <w:t xml:space="preserve">Onora O’Neill, professor of political philosophy and ethics at the University of Cambridge, “Between Consenting Adults,” Summer 1985, Philosophy &amp; Public Affairs, Vo. 14, No. 3, accessed 20 October 2021, Pg. 275-276, </w:t>
      </w:r>
      <w:hyperlink r:id="rId13" w:history="1">
        <w:r w:rsidRPr="0043291E">
          <w:rPr>
            <w:rStyle w:val="Hyperlink"/>
            <w:sz w:val="16"/>
          </w:rPr>
          <w:t>https://canvas.uw.edu/files/25697343/download?download_frd=1</w:t>
        </w:r>
      </w:hyperlink>
      <w:r w:rsidRPr="0043291E">
        <w:rPr>
          <w:sz w:val="16"/>
        </w:rPr>
        <w:t xml:space="preserve"> / ~ST~</w:t>
      </w:r>
    </w:p>
    <w:p w14:paraId="527CF366" w14:textId="77777777" w:rsidR="007C6FC5" w:rsidRPr="0043291E" w:rsidRDefault="007C6FC5" w:rsidP="007C6FC5">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unstraightforwardly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w:t>
      </w:r>
      <w:proofErr w:type="gramStart"/>
      <w:r w:rsidRPr="0043291E">
        <w:rPr>
          <w:rStyle w:val="StyleUnderline"/>
        </w:rPr>
        <w:t>taken into account</w:t>
      </w:r>
      <w:proofErr w:type="gramEnd"/>
      <w:r w:rsidRPr="0043291E">
        <w:rPr>
          <w:rStyle w:val="StyleUnderline"/>
        </w:rPr>
        <w:t xml:space="preserve"> on the job. If doing a job well amounts to doing it like the robot who may replace you, the maxim of such organization of work cannot go far to treat employees as the </w:t>
      </w:r>
      <w:proofErr w:type="gramStart"/>
      <w:r w:rsidRPr="0043291E">
        <w:rPr>
          <w:rStyle w:val="StyleUnderline"/>
        </w:rPr>
        <w:t>particular persons</w:t>
      </w:r>
      <w:proofErr w:type="gramEnd"/>
      <w:r w:rsidRPr="0043291E">
        <w:rPr>
          <w:rStyle w:val="StyleUnderline"/>
        </w:rPr>
        <w:t xml:space="preserve">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w:t>
      </w:r>
      <w:proofErr w:type="gramStart"/>
      <w:r w:rsidRPr="0043291E">
        <w:rPr>
          <w:rStyle w:val="StyleUnderline"/>
        </w:rPr>
        <w:t xml:space="preserve">particular </w:t>
      </w:r>
      <w:r w:rsidRPr="0043291E">
        <w:rPr>
          <w:rStyle w:val="StyleUnderline"/>
          <w:highlight w:val="cyan"/>
        </w:rPr>
        <w:t>characteristics</w:t>
      </w:r>
      <w:proofErr w:type="gramEnd"/>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w:t>
      </w:r>
      <w:proofErr w:type="gramStart"/>
      <w:r w:rsidRPr="0043291E">
        <w:rPr>
          <w:sz w:val="16"/>
        </w:rPr>
        <w:t>), but</w:t>
      </w:r>
      <w:proofErr w:type="gramEnd"/>
      <w:r w:rsidRPr="0043291E">
        <w:rPr>
          <w:sz w:val="16"/>
        </w:rPr>
        <w:t xml:space="preserve"> take little account of their specific characteristics. </w:t>
      </w:r>
      <w:r w:rsidRPr="0043291E">
        <w:rPr>
          <w:rStyle w:val="StyleUnderline"/>
          <w:highlight w:val="cyan"/>
        </w:rPr>
        <w:t>This may be partly remedied</w:t>
      </w:r>
      <w:r w:rsidRPr="0043291E">
        <w:rPr>
          <w:rStyle w:val="StyleUnderline"/>
        </w:rPr>
        <w:t xml:space="preserve"> in the practices of some </w:t>
      </w:r>
      <w:proofErr w:type="gramStart"/>
      <w:r w:rsidRPr="0043291E">
        <w:rPr>
          <w:rStyle w:val="StyleUnderline"/>
        </w:rPr>
        <w:t>workplaces, or</w:t>
      </w:r>
      <w:proofErr w:type="gramEnd"/>
      <w:r w:rsidRPr="0043291E">
        <w:rPr>
          <w:rStyle w:val="StyleUnderline"/>
        </w:rPr>
        <w:t xml:space="preserve">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w:t>
      </w:r>
      <w:proofErr w:type="gramStart"/>
      <w:r w:rsidRPr="0043291E">
        <w:rPr>
          <w:rStyle w:val="StyleUnderline"/>
        </w:rPr>
        <w:t xml:space="preserve">are, </w:t>
      </w:r>
      <w:r w:rsidRPr="0043291E">
        <w:rPr>
          <w:rStyle w:val="StyleUnderline"/>
          <w:highlight w:val="cyan"/>
        </w:rPr>
        <w:t>and</w:t>
      </w:r>
      <w:proofErr w:type="gramEnd"/>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7525A322" w14:textId="77777777" w:rsidR="007C6FC5" w:rsidRPr="0043291E" w:rsidRDefault="007C6FC5" w:rsidP="007C6FC5">
      <w:pPr>
        <w:pStyle w:val="Heading4"/>
        <w:rPr>
          <w:rFonts w:cs="Arial"/>
        </w:rPr>
      </w:pPr>
      <w:r w:rsidRPr="0043291E">
        <w:rPr>
          <w:rFonts w:cs="Arial"/>
        </w:rPr>
        <w:t>That necessitates a right to strike.</w:t>
      </w:r>
    </w:p>
    <w:p w14:paraId="3FF03BA0" w14:textId="77777777" w:rsidR="007C6FC5" w:rsidRPr="0043291E" w:rsidRDefault="007C6FC5" w:rsidP="007C6FC5">
      <w:pPr>
        <w:pStyle w:val="Heading4"/>
        <w:rPr>
          <w:rFonts w:cs="Arial"/>
        </w:rPr>
      </w:pPr>
      <w:r w:rsidRPr="0043291E">
        <w:rPr>
          <w:rFonts w:cs="Arial"/>
        </w:rPr>
        <w:t>[4] Striking resists domination by hindering a hinderance to freedom.</w:t>
      </w:r>
    </w:p>
    <w:p w14:paraId="76254360" w14:textId="77777777" w:rsidR="007C6FC5" w:rsidRPr="0043291E" w:rsidRDefault="007C6FC5" w:rsidP="007C6FC5">
      <w:pPr>
        <w:rPr>
          <w:sz w:val="16"/>
        </w:rPr>
      </w:pPr>
      <w:r w:rsidRPr="0043291E">
        <w:rPr>
          <w:rStyle w:val="Style13ptBold"/>
        </w:rPr>
        <w:t>Gourevitch 16</w:t>
      </w:r>
      <w:r w:rsidRPr="0043291E">
        <w:t xml:space="preserve"> </w:t>
      </w:r>
      <w:r w:rsidRPr="0043291E">
        <w:rPr>
          <w:sz w:val="16"/>
        </w:rPr>
        <w:t xml:space="preserve">Alex Gourevitch,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0E96A759" w14:textId="77777777" w:rsidR="007C6FC5" w:rsidRPr="0043291E" w:rsidRDefault="007C6FC5" w:rsidP="007C6FC5">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449EC358" w14:textId="77777777" w:rsidR="007C6FC5" w:rsidRPr="0043291E" w:rsidRDefault="007C6FC5" w:rsidP="007C6FC5">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19B8E1C9" w14:textId="77777777" w:rsidR="007C6FC5" w:rsidRPr="0043291E" w:rsidRDefault="007C6FC5" w:rsidP="007C6FC5">
      <w:pPr>
        <w:rPr>
          <w:sz w:val="16"/>
        </w:rPr>
      </w:pPr>
      <w:r w:rsidRPr="0043291E">
        <w:rPr>
          <w:sz w:val="16"/>
        </w:rPr>
        <w:t>Quitting the Work, Not the Job</w:t>
      </w:r>
    </w:p>
    <w:p w14:paraId="64BA9530" w14:textId="77777777" w:rsidR="007C6FC5" w:rsidRPr="0043291E" w:rsidRDefault="007C6FC5" w:rsidP="007C6FC5">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64FA42FA" w14:textId="77777777" w:rsidR="007C6FC5" w:rsidRPr="0043291E" w:rsidRDefault="007C6FC5" w:rsidP="007C6FC5">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6FE86A47" w14:textId="77777777" w:rsidR="007C6FC5" w:rsidRPr="0043291E" w:rsidRDefault="007C6FC5" w:rsidP="007C6FC5">
      <w:pPr>
        <w:pStyle w:val="Heading4"/>
        <w:rPr>
          <w:rFonts w:cs="Arial"/>
          <w:color w:val="C00000"/>
        </w:rPr>
      </w:pPr>
      <w:r w:rsidRPr="0043291E">
        <w:rPr>
          <w:rFonts w:cs="Arial"/>
        </w:rPr>
        <w:t>[5] A right to strike reclaims freedom by framing workers as more than a seller of labor.</w:t>
      </w:r>
    </w:p>
    <w:p w14:paraId="6521EE77" w14:textId="77777777" w:rsidR="007C6FC5" w:rsidRPr="0043291E" w:rsidRDefault="007C6FC5" w:rsidP="007C6FC5">
      <w:pPr>
        <w:rPr>
          <w:sz w:val="16"/>
        </w:rPr>
      </w:pPr>
      <w:r w:rsidRPr="0043291E">
        <w:rPr>
          <w:rStyle w:val="Style13ptBold"/>
        </w:rPr>
        <w:t>Gourevitch 16</w:t>
      </w:r>
      <w:r w:rsidRPr="0043291E">
        <w:t xml:space="preserve"> </w:t>
      </w:r>
      <w:r w:rsidRPr="0043291E">
        <w:rPr>
          <w:sz w:val="16"/>
        </w:rPr>
        <w:t xml:space="preserve">Alex Gourevitch,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61C64789" w14:textId="77777777" w:rsidR="007C6FC5" w:rsidRPr="0043291E" w:rsidRDefault="007C6FC5" w:rsidP="007C6FC5">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0EB339B9" w14:textId="77777777" w:rsidR="007C6FC5" w:rsidRPr="0043291E" w:rsidRDefault="007C6FC5" w:rsidP="007C6FC5">
      <w:pPr>
        <w:pStyle w:val="Heading4"/>
        <w:rPr>
          <w:rFonts w:cs="Arial"/>
          <w:bCs/>
        </w:rPr>
      </w:pPr>
      <w:r w:rsidRPr="0043291E">
        <w:rPr>
          <w:rStyle w:val="StyleUnderline"/>
          <w:rFonts w:cs="Arial"/>
          <w:b/>
          <w:bCs/>
          <w:u w:val="none"/>
        </w:rPr>
        <w:t>[6] Striking expresses the core elements of freedom.</w:t>
      </w:r>
    </w:p>
    <w:p w14:paraId="7045CE21" w14:textId="77777777" w:rsidR="007C6FC5" w:rsidRPr="0043291E" w:rsidRDefault="007C6FC5" w:rsidP="007C6FC5">
      <w:pPr>
        <w:rPr>
          <w:sz w:val="16"/>
        </w:rPr>
      </w:pPr>
      <w:r w:rsidRPr="0043291E">
        <w:rPr>
          <w:rStyle w:val="Style13ptBold"/>
        </w:rPr>
        <w:t>Lim 19</w:t>
      </w:r>
      <w:r w:rsidRPr="0043291E">
        <w:t xml:space="preserve"> </w:t>
      </w:r>
      <w:r w:rsidRPr="0043291E">
        <w:rPr>
          <w:sz w:val="16"/>
        </w:rPr>
        <w:t xml:space="preserve">Woojin Lim, Director of Undergraduate Human Rights Working Group at Harvard and Managing Editor of the Harvard Review of Philosophy, “The Right to Strike,” 11 December 2019, The Harvard Crimson, accessed 2 November 2021, </w:t>
      </w:r>
      <w:hyperlink r:id="rId14" w:history="1">
        <w:r w:rsidRPr="0043291E">
          <w:rPr>
            <w:rStyle w:val="Hyperlink"/>
            <w:sz w:val="16"/>
          </w:rPr>
          <w:t>https://www.thecrimson.com/article/2019/12/11/lim-right-to-strike/</w:t>
        </w:r>
      </w:hyperlink>
      <w:r w:rsidRPr="0043291E">
        <w:rPr>
          <w:sz w:val="16"/>
        </w:rPr>
        <w:t xml:space="preserve"> ~ST~</w:t>
      </w:r>
    </w:p>
    <w:p w14:paraId="4101B7A2" w14:textId="77777777" w:rsidR="007C6FC5" w:rsidRPr="0043291E" w:rsidRDefault="007C6FC5" w:rsidP="007C6FC5">
      <w:pPr>
        <w:rPr>
          <w:rStyle w:val="StyleUnderline"/>
        </w:rPr>
      </w:pPr>
      <w:r w:rsidRPr="0043291E">
        <w:rPr>
          <w:rStyle w:val="StyleUnderline"/>
          <w:highlight w:val="cyan"/>
        </w:rPr>
        <w:t>The right to strike is a right to resist oppression.</w:t>
      </w:r>
    </w:p>
    <w:p w14:paraId="79EE8E33" w14:textId="77777777" w:rsidR="007C6FC5" w:rsidRPr="0043291E" w:rsidRDefault="007C6FC5" w:rsidP="007C6FC5">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01A3335B" w14:textId="46B9FD5A" w:rsidR="00EF7689" w:rsidRPr="00893BD1" w:rsidRDefault="007C6FC5" w:rsidP="00893BD1">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2"/>
      <w:r w:rsidR="00EF7689">
        <w:t xml:space="preserve"> </w:t>
      </w:r>
    </w:p>
    <w:sectPr w:rsidR="00EF7689" w:rsidRPr="00893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1421CE"/>
    <w:multiLevelType w:val="hybridMultilevel"/>
    <w:tmpl w:val="9DCC1FD8"/>
    <w:lvl w:ilvl="0" w:tplc="0BC26A90">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7C6FC5"/>
    <w:rsid w:val="000139A3"/>
    <w:rsid w:val="00017739"/>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77F3F"/>
    <w:rsid w:val="002855A7"/>
    <w:rsid w:val="002B146A"/>
    <w:rsid w:val="002B5E17"/>
    <w:rsid w:val="00315690"/>
    <w:rsid w:val="00316B75"/>
    <w:rsid w:val="00325646"/>
    <w:rsid w:val="00342C99"/>
    <w:rsid w:val="003460F2"/>
    <w:rsid w:val="0036306C"/>
    <w:rsid w:val="0038158C"/>
    <w:rsid w:val="003902BA"/>
    <w:rsid w:val="003A09E2"/>
    <w:rsid w:val="00407037"/>
    <w:rsid w:val="00454666"/>
    <w:rsid w:val="004605D6"/>
    <w:rsid w:val="00465711"/>
    <w:rsid w:val="004C60E8"/>
    <w:rsid w:val="004E3579"/>
    <w:rsid w:val="004E728B"/>
    <w:rsid w:val="004F39E0"/>
    <w:rsid w:val="00522841"/>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2D36"/>
    <w:rsid w:val="007243E5"/>
    <w:rsid w:val="00766EA0"/>
    <w:rsid w:val="007A2226"/>
    <w:rsid w:val="007C6FC5"/>
    <w:rsid w:val="007F5B66"/>
    <w:rsid w:val="00823A1C"/>
    <w:rsid w:val="0083523B"/>
    <w:rsid w:val="00845B9D"/>
    <w:rsid w:val="0085783A"/>
    <w:rsid w:val="00860984"/>
    <w:rsid w:val="00893BD1"/>
    <w:rsid w:val="008B3ECB"/>
    <w:rsid w:val="008B4E85"/>
    <w:rsid w:val="008C1B2E"/>
    <w:rsid w:val="0091627E"/>
    <w:rsid w:val="0097032B"/>
    <w:rsid w:val="00984F36"/>
    <w:rsid w:val="009D2EAD"/>
    <w:rsid w:val="009D54B2"/>
    <w:rsid w:val="009E14CF"/>
    <w:rsid w:val="009E1922"/>
    <w:rsid w:val="009F7ED2"/>
    <w:rsid w:val="00A93661"/>
    <w:rsid w:val="00A95652"/>
    <w:rsid w:val="00AC0AB8"/>
    <w:rsid w:val="00AC5D4E"/>
    <w:rsid w:val="00AE1905"/>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11287"/>
    <w:rsid w:val="00D325A9"/>
    <w:rsid w:val="00D36A8A"/>
    <w:rsid w:val="00D61409"/>
    <w:rsid w:val="00D6691E"/>
    <w:rsid w:val="00D71170"/>
    <w:rsid w:val="00DA1C92"/>
    <w:rsid w:val="00DA25D4"/>
    <w:rsid w:val="00DA6538"/>
    <w:rsid w:val="00E00C0C"/>
    <w:rsid w:val="00E107EC"/>
    <w:rsid w:val="00E15E75"/>
    <w:rsid w:val="00E5262C"/>
    <w:rsid w:val="00EC7DC4"/>
    <w:rsid w:val="00ED30CF"/>
    <w:rsid w:val="00EF7689"/>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18300"/>
  <w15:chartTrackingRefBased/>
  <w15:docId w15:val="{B5682796-2F4F-4C5E-A719-CBBB0FF5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3BD1"/>
    <w:rPr>
      <w:rFonts w:ascii="Arial" w:hAnsi="Arial" w:cs="Arial"/>
      <w:sz w:val="24"/>
    </w:rPr>
  </w:style>
  <w:style w:type="paragraph" w:styleId="Heading1">
    <w:name w:val="heading 1"/>
    <w:aliases w:val="Pocket"/>
    <w:basedOn w:val="Normal"/>
    <w:next w:val="Normal"/>
    <w:link w:val="Heading1Char"/>
    <w:qFormat/>
    <w:rsid w:val="00893B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3B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893B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893BD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93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3BD1"/>
  </w:style>
  <w:style w:type="character" w:customStyle="1" w:styleId="Heading1Char">
    <w:name w:val="Heading 1 Char"/>
    <w:aliases w:val="Pocket Char"/>
    <w:basedOn w:val="DefaultParagraphFont"/>
    <w:link w:val="Heading1"/>
    <w:rsid w:val="00893BD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93BD1"/>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93BD1"/>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893BD1"/>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893BD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3BD1"/>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893BD1"/>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93BD1"/>
    <w:rPr>
      <w:color w:val="auto"/>
      <w:u w:val="none"/>
    </w:rPr>
  </w:style>
  <w:style w:type="character" w:styleId="FollowedHyperlink">
    <w:name w:val="FollowedHyperlink"/>
    <w:basedOn w:val="DefaultParagraphFont"/>
    <w:uiPriority w:val="99"/>
    <w:semiHidden/>
    <w:unhideWhenUsed/>
    <w:rsid w:val="00893BD1"/>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7C6FC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7C6FC5"/>
    <w:pPr>
      <w:ind w:left="720"/>
      <w:contextualSpacing/>
    </w:pPr>
  </w:style>
  <w:style w:type="paragraph" w:customStyle="1" w:styleId="textbold">
    <w:name w:val="text bold"/>
    <w:basedOn w:val="Normal"/>
    <w:link w:val="Emphasis"/>
    <w:uiPriority w:val="7"/>
    <w:qFormat/>
    <w:rsid w:val="007C6FC5"/>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hyperlink" Target="https://canvas.uw.edu/files/25697343/download?download_frd=1"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scholarship.law.columbia.edu/cgi/viewcontent.cgi?article=3538&amp;context=faculty_scholarsh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pb-us-w2.wpmucdn.com/campuspress.yale.edu/dist/3/949/files/2016/05/In-Defense-of-Universalism.-A-Response-to-Critics-of-Situating-the-Self-24d671a.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jstor.org/stable/24220143"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 Id="rId14" Type="http://schemas.openxmlformats.org/officeDocument/2006/relationships/hyperlink" Target="https://www.thecrimson.com/article/2019/12/11/lim-right-to-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5090</Words>
  <Characters>29013</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2021-11-06T14:39:00Z</dcterms:created>
  <dcterms:modified xsi:type="dcterms:W3CDTF">2021-11-06T16:07:00Z</dcterms:modified>
</cp:coreProperties>
</file>