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87FCB" w14:textId="77777777" w:rsidR="00DF12CC" w:rsidRDefault="00DF12CC" w:rsidP="00DF12CC">
      <w:pPr>
        <w:pStyle w:val="Heading1"/>
      </w:pPr>
      <w:r>
        <w:t>Neg</w:t>
      </w:r>
    </w:p>
    <w:p w14:paraId="7595C4F4" w14:textId="00DD3476" w:rsidR="00DF12CC" w:rsidRDefault="00DF12CC" w:rsidP="00DF12CC">
      <w:pPr>
        <w:pStyle w:val="Heading2"/>
      </w:pPr>
      <w:r>
        <w:t>Theory</w:t>
      </w:r>
    </w:p>
    <w:p w14:paraId="413246A5" w14:textId="554C6EC4" w:rsidR="00DF12CC" w:rsidRPr="00DF12CC" w:rsidRDefault="00DF12CC" w:rsidP="00DF12CC">
      <w:pPr>
        <w:pStyle w:val="Heading3"/>
      </w:pPr>
      <w:r>
        <w:t>Disclosure</w:t>
      </w:r>
    </w:p>
    <w:p w14:paraId="6323A308" w14:textId="77777777"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A. Interpretation: Debaters must disclose all previously read positions before the debate on their NDCA wiki page under their own name with full citations, tags, and first three/last three words.</w:t>
      </w:r>
    </w:p>
    <w:p w14:paraId="693250B5" w14:textId="476753CA"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 xml:space="preserve">B. Violation: </w:t>
      </w:r>
      <w:r>
        <w:rPr>
          <w:rFonts w:eastAsia="Times New Roman"/>
          <w:b/>
          <w:bCs/>
          <w:color w:val="000000"/>
          <w:sz w:val="26"/>
          <w:szCs w:val="26"/>
        </w:rPr>
        <w:t xml:space="preserve">They didn’t disclose for this tournament. </w:t>
      </w:r>
    </w:p>
    <w:p w14:paraId="4A4F11AF" w14:textId="77777777"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C. Standards:</w:t>
      </w:r>
    </w:p>
    <w:p w14:paraId="56664FEC" w14:textId="77777777"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1. Evidence Quality – Disclosure generates an information database that encourages debaters to find the best evidence on the topic. Key to education since we have better debates with better arguments. </w:t>
      </w:r>
    </w:p>
    <w:p w14:paraId="0E02423B" w14:textId="3C8B4E28" w:rsidR="00DF12CC" w:rsidRPr="00DF12CC" w:rsidRDefault="00DF12CC" w:rsidP="00DF12CC">
      <w:pPr>
        <w:spacing w:line="240" w:lineRule="auto"/>
        <w:rPr>
          <w:rFonts w:ascii="Times New Roman" w:eastAsia="Times New Roman" w:hAnsi="Times New Roman" w:cs="Times New Roman"/>
          <w:sz w:val="24"/>
          <w:szCs w:val="24"/>
        </w:rPr>
      </w:pPr>
      <w:r w:rsidRPr="002D1DDE">
        <w:rPr>
          <w:rFonts w:eastAsia="Times New Roman"/>
          <w:b/>
          <w:bCs/>
          <w:color w:val="000000"/>
          <w:sz w:val="26"/>
          <w:szCs w:val="26"/>
        </w:rPr>
        <w:t>Nails 13</w:t>
      </w:r>
      <w:r w:rsidRPr="002D1DDE">
        <w:rPr>
          <w:rFonts w:eastAsia="Times New Roman"/>
          <w:b/>
          <w:bCs/>
          <w:color w:val="000000"/>
        </w:rPr>
        <w:t xml:space="preserve"> </w:t>
      </w:r>
      <w:r w:rsidRPr="002D1DDE">
        <w:rPr>
          <w:rFonts w:eastAsia="Times New Roman"/>
          <w:color w:val="000000"/>
          <w:sz w:val="12"/>
          <w:szCs w:val="12"/>
        </w:rPr>
        <w:t>[(Jacob, NDT Policy Debater at Georgia State University), “A Defense of Disclosure (Including Third Party Disclosure)</w:t>
      </w:r>
      <w:proofErr w:type="gramStart"/>
      <w:r w:rsidRPr="002D1DDE">
        <w:rPr>
          <w:rFonts w:eastAsia="Times New Roman"/>
          <w:color w:val="000000"/>
          <w:sz w:val="12"/>
          <w:szCs w:val="12"/>
        </w:rPr>
        <w:t>”,NSDUpdate</w:t>
      </w:r>
      <w:proofErr w:type="gramEnd"/>
      <w:r w:rsidRPr="002D1DDE">
        <w:rPr>
          <w:rFonts w:eastAsia="Times New Roman"/>
          <w:color w:val="000000"/>
          <w:sz w:val="12"/>
          <w:szCs w:val="12"/>
        </w:rPr>
        <w:t xml:space="preserve">,10/10/2013EM] </w:t>
      </w:r>
      <w:r w:rsidRPr="002D1DDE">
        <w:rPr>
          <w:rFonts w:eastAsia="Times New Roman"/>
          <w:b/>
          <w:bCs/>
          <w:color w:val="000000"/>
        </w:rPr>
        <w:br/>
      </w:r>
      <w:r w:rsidRPr="002D1DDE">
        <w:rPr>
          <w:rFonts w:eastAsia="Times New Roman"/>
          <w:color w:val="262626"/>
          <w:sz w:val="12"/>
          <w:szCs w:val="12"/>
        </w:rPr>
        <w:t xml:space="preserve">I fall squarely on the side of disclosure. I find that the largest advantage of widespread disclosure is the educational value it provides. First, </w:t>
      </w:r>
      <w:r w:rsidRPr="002D1DDE">
        <w:rPr>
          <w:rFonts w:eastAsia="Times New Roman"/>
          <w:b/>
          <w:bCs/>
          <w:color w:val="000000"/>
          <w:sz w:val="26"/>
          <w:szCs w:val="26"/>
          <w:u w:val="single"/>
          <w:shd w:val="clear" w:color="auto" w:fill="00FF00"/>
        </w:rPr>
        <w:t xml:space="preserve">disclosure streamlines research. </w:t>
      </w:r>
      <w:r w:rsidRPr="002D1DDE">
        <w:rPr>
          <w:rFonts w:eastAsia="Times New Roman"/>
          <w:color w:val="000000"/>
          <w:sz w:val="12"/>
          <w:szCs w:val="12"/>
        </w:rPr>
        <w:t>Rather than every team</w:t>
      </w:r>
      <w:r w:rsidRPr="002D1DDE">
        <w:rPr>
          <w:rFonts w:eastAsia="Times New Roman"/>
          <w:color w:val="262626"/>
          <w:sz w:val="12"/>
          <w:szCs w:val="12"/>
        </w:rPr>
        <w:t xml:space="preserve"> and every lone wolf </w:t>
      </w:r>
      <w:r w:rsidRPr="002D1DDE">
        <w:rPr>
          <w:rFonts w:eastAsia="Times New Roman"/>
          <w:color w:val="000000"/>
          <w:sz w:val="12"/>
          <w:szCs w:val="12"/>
        </w:rPr>
        <w:t xml:space="preserve">researching </w:t>
      </w:r>
      <w:r w:rsidRPr="002D1DDE">
        <w:rPr>
          <w:rFonts w:eastAsia="Times New Roman"/>
          <w:color w:val="262626"/>
          <w:sz w:val="12"/>
          <w:szCs w:val="12"/>
        </w:rPr>
        <w:t xml:space="preserve">completely </w:t>
      </w:r>
      <w:r w:rsidRPr="002D1DDE">
        <w:rPr>
          <w:rFonts w:eastAsia="Times New Roman"/>
          <w:color w:val="000000"/>
          <w:sz w:val="12"/>
          <w:szCs w:val="12"/>
        </w:rPr>
        <w:t>in the dark,</w:t>
      </w:r>
      <w:r w:rsidRPr="002D1DDE">
        <w:rPr>
          <w:rFonts w:eastAsia="Times New Roman"/>
          <w:b/>
          <w:bCs/>
          <w:color w:val="000000"/>
          <w:sz w:val="26"/>
          <w:szCs w:val="26"/>
          <w:u w:val="single"/>
          <w:shd w:val="clear" w:color="auto" w:fill="00FF00"/>
        </w:rPr>
        <w:t xml:space="preserve"> the wiki provides a public body of knowledge that everyone can</w:t>
      </w:r>
      <w:r w:rsidRPr="002D1DDE">
        <w:rPr>
          <w:rFonts w:eastAsia="Times New Roman"/>
          <w:color w:val="262626"/>
          <w:sz w:val="12"/>
          <w:szCs w:val="12"/>
        </w:rPr>
        <w:t xml:space="preserve"> contribute to and </w:t>
      </w:r>
      <w:r w:rsidRPr="002D1DDE">
        <w:rPr>
          <w:rFonts w:eastAsia="Times New Roman"/>
          <w:b/>
          <w:bCs/>
          <w:color w:val="000000"/>
          <w:sz w:val="26"/>
          <w:szCs w:val="26"/>
          <w:u w:val="single"/>
          <w:shd w:val="clear" w:color="auto" w:fill="00FF00"/>
        </w:rPr>
        <w:t xml:space="preserve">build </w:t>
      </w:r>
      <w:proofErr w:type="gramStart"/>
      <w:r w:rsidRPr="002D1DDE">
        <w:rPr>
          <w:rFonts w:eastAsia="Times New Roman"/>
          <w:b/>
          <w:bCs/>
          <w:color w:val="000000"/>
          <w:sz w:val="26"/>
          <w:szCs w:val="26"/>
          <w:u w:val="single"/>
          <w:shd w:val="clear" w:color="auto" w:fill="00FF00"/>
        </w:rPr>
        <w:t>off of</w:t>
      </w:r>
      <w:proofErr w:type="gramEnd"/>
      <w:r w:rsidRPr="002D1DDE">
        <w:rPr>
          <w:rFonts w:eastAsia="Times New Roman"/>
          <w:b/>
          <w:bCs/>
          <w:color w:val="000000"/>
          <w:sz w:val="26"/>
          <w:szCs w:val="26"/>
          <w:u w:val="single"/>
          <w:shd w:val="clear" w:color="auto" w:fill="00FF00"/>
        </w:rPr>
        <w:t>. Students can look through</w:t>
      </w:r>
      <w:r w:rsidRPr="002D1DDE">
        <w:rPr>
          <w:rFonts w:eastAsia="Times New Roman"/>
          <w:color w:val="262626"/>
          <w:sz w:val="12"/>
          <w:szCs w:val="12"/>
        </w:rPr>
        <w:t xml:space="preserve"> the </w:t>
      </w:r>
      <w:r w:rsidRPr="002D1DDE">
        <w:rPr>
          <w:rFonts w:eastAsia="Times New Roman"/>
          <w:b/>
          <w:bCs/>
          <w:color w:val="000000"/>
          <w:sz w:val="26"/>
          <w:szCs w:val="26"/>
          <w:u w:val="single"/>
          <w:shd w:val="clear" w:color="auto" w:fill="00FF00"/>
        </w:rPr>
        <w:t xml:space="preserve">different studies </w:t>
      </w:r>
      <w:r w:rsidRPr="002D1DDE">
        <w:rPr>
          <w:rFonts w:eastAsia="Times New Roman"/>
          <w:color w:val="262626"/>
          <w:sz w:val="12"/>
          <w:szCs w:val="12"/>
        </w:rPr>
        <w:t xml:space="preserve">on the topic </w:t>
      </w:r>
      <w:r w:rsidRPr="002D1DDE">
        <w:rPr>
          <w:rFonts w:eastAsia="Times New Roman"/>
          <w:b/>
          <w:bCs/>
          <w:color w:val="000000"/>
          <w:sz w:val="26"/>
          <w:szCs w:val="26"/>
          <w:u w:val="single"/>
          <w:shd w:val="clear" w:color="auto" w:fill="00FF00"/>
        </w:rPr>
        <w:t>and choose the best ones</w:t>
      </w:r>
      <w:r w:rsidRPr="002D1DDE">
        <w:rPr>
          <w:rFonts w:eastAsia="Times New Roman"/>
          <w:color w:val="000000"/>
        </w:rPr>
        <w:t xml:space="preserve"> </w:t>
      </w:r>
      <w:r w:rsidRPr="002D1DDE">
        <w:rPr>
          <w:rFonts w:eastAsia="Times New Roman"/>
          <w:color w:val="000000"/>
          <w:sz w:val="12"/>
          <w:szCs w:val="12"/>
        </w:rPr>
        <w:t>on an informed basis</w:t>
      </w:r>
      <w:r w:rsidRPr="002D1DDE">
        <w:rPr>
          <w:rFonts w:eastAsia="Times New Roman"/>
          <w:color w:val="262626"/>
          <w:sz w:val="12"/>
          <w:szCs w:val="12"/>
        </w:rPr>
        <w:t xml:space="preserve"> without the prohibitively large burden of personally surveying </w:t>
      </w:r>
      <w:proofErr w:type="gramStart"/>
      <w:r w:rsidRPr="002D1DDE">
        <w:rPr>
          <w:rFonts w:eastAsia="Times New Roman"/>
          <w:color w:val="262626"/>
          <w:sz w:val="12"/>
          <w:szCs w:val="12"/>
        </w:rPr>
        <w:t>all of</w:t>
      </w:r>
      <w:proofErr w:type="gramEnd"/>
      <w:r w:rsidRPr="002D1DDE">
        <w:rPr>
          <w:rFonts w:eastAsia="Times New Roman"/>
          <w:color w:val="262626"/>
          <w:sz w:val="12"/>
          <w:szCs w:val="12"/>
        </w:rPr>
        <w:t xml:space="preserve"> the literature. The best arguments are identified and replicated, which is a natural result of an open marketplace of ideas. </w:t>
      </w:r>
      <w:r w:rsidRPr="002D1DDE">
        <w:rPr>
          <w:rFonts w:eastAsia="Times New Roman"/>
          <w:b/>
          <w:bCs/>
          <w:color w:val="000000"/>
          <w:sz w:val="26"/>
          <w:szCs w:val="26"/>
          <w:u w:val="single"/>
          <w:shd w:val="clear" w:color="auto" w:fill="00FF00"/>
        </w:rPr>
        <w:t>Quality of evidence increases across the board.</w:t>
      </w:r>
    </w:p>
    <w:p w14:paraId="07B3825E" w14:textId="4F6D1608"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Pr>
          <w:rFonts w:eastAsia="Times New Roman"/>
          <w:b/>
          <w:bCs/>
          <w:color w:val="000000"/>
          <w:sz w:val="26"/>
          <w:szCs w:val="26"/>
        </w:rPr>
        <w:t>2</w:t>
      </w:r>
      <w:r w:rsidRPr="002D1DDE">
        <w:rPr>
          <w:rFonts w:eastAsia="Times New Roman"/>
          <w:b/>
          <w:bCs/>
          <w:color w:val="000000"/>
          <w:sz w:val="26"/>
          <w:szCs w:val="26"/>
        </w:rPr>
        <w:t xml:space="preserve">] Level Playing Field – big schools can go around and scout and collect </w:t>
      </w:r>
      <w:proofErr w:type="gramStart"/>
      <w:r w:rsidRPr="002D1DDE">
        <w:rPr>
          <w:rFonts w:eastAsia="Times New Roman"/>
          <w:b/>
          <w:bCs/>
          <w:color w:val="000000"/>
          <w:sz w:val="26"/>
          <w:szCs w:val="26"/>
        </w:rPr>
        <w:t>flows</w:t>
      </w:r>
      <w:proofErr w:type="gramEnd"/>
      <w:r w:rsidRPr="002D1DDE">
        <w:rPr>
          <w:rFonts w:eastAsia="Times New Roman"/>
          <w:b/>
          <w:bCs/>
          <w:color w:val="000000"/>
          <w:sz w:val="26"/>
          <w:szCs w:val="26"/>
        </w:rPr>
        <w:t xml:space="preserve"> but independents are left in the dark so round reports are key to prep- they give you an idea of overall what layers debaters like going for so you can best prepare your strategy when you hit them. Accessibility first and independent voter – it’s an impact multiplier</w:t>
      </w:r>
    </w:p>
    <w:p w14:paraId="0C9CF4B8" w14:textId="32D56210" w:rsidR="00DF12CC" w:rsidRPr="002D1DDE" w:rsidRDefault="00DF12CC" w:rsidP="00DF12CC">
      <w:pPr>
        <w:spacing w:before="40" w:after="0" w:line="240" w:lineRule="auto"/>
        <w:outlineLvl w:val="3"/>
        <w:rPr>
          <w:rFonts w:ascii="Times New Roman" w:eastAsia="Times New Roman" w:hAnsi="Times New Roman" w:cs="Times New Roman"/>
          <w:b/>
          <w:bCs/>
          <w:sz w:val="24"/>
          <w:szCs w:val="24"/>
        </w:rPr>
      </w:pPr>
      <w:r>
        <w:rPr>
          <w:rFonts w:eastAsia="Times New Roman"/>
          <w:b/>
          <w:bCs/>
          <w:color w:val="000000"/>
          <w:sz w:val="26"/>
          <w:szCs w:val="26"/>
        </w:rPr>
        <w:t xml:space="preserve">Fairness is a voter because it’s a </w:t>
      </w:r>
      <w:proofErr w:type="spellStart"/>
      <w:r>
        <w:rPr>
          <w:rFonts w:eastAsia="Times New Roman"/>
          <w:b/>
          <w:bCs/>
          <w:color w:val="000000"/>
          <w:sz w:val="26"/>
          <w:szCs w:val="26"/>
        </w:rPr>
        <w:t>prereq</w:t>
      </w:r>
      <w:proofErr w:type="spellEnd"/>
      <w:r>
        <w:rPr>
          <w:rFonts w:eastAsia="Times New Roman"/>
          <w:b/>
          <w:bCs/>
          <w:color w:val="000000"/>
          <w:sz w:val="26"/>
          <w:szCs w:val="26"/>
        </w:rPr>
        <w:t xml:space="preserve"> to debate and education is a voter because it’s the only portable impact. </w:t>
      </w:r>
    </w:p>
    <w:p w14:paraId="6D6AD6EC" w14:textId="77777777" w:rsidR="00DF12CC" w:rsidRDefault="00DF12CC" w:rsidP="00DF12CC">
      <w:pPr>
        <w:pStyle w:val="Heading3"/>
      </w:pPr>
    </w:p>
    <w:p w14:paraId="36C40921" w14:textId="77777777" w:rsidR="00DF12CC" w:rsidRDefault="00DF12CC" w:rsidP="00DF12CC">
      <w:pPr>
        <w:pStyle w:val="Heading2"/>
      </w:pPr>
      <w:r>
        <w:t>K</w:t>
      </w:r>
    </w:p>
    <w:p w14:paraId="199F1853" w14:textId="77777777" w:rsidR="00DF12CC" w:rsidRDefault="00DF12CC" w:rsidP="00DF12CC">
      <w:pPr>
        <w:pStyle w:val="Heading4"/>
      </w:pPr>
      <w:r>
        <w:t xml:space="preserve">Strike – a form of power to engage in collective bargaining </w:t>
      </w:r>
    </w:p>
    <w:p w14:paraId="0774D9C2" w14:textId="77777777" w:rsidR="00DF12CC" w:rsidRDefault="00DF12CC" w:rsidP="00DF12CC">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28D2A465" w14:textId="77777777" w:rsidR="00DF12CC" w:rsidRDefault="00DF12CC" w:rsidP="00DF12CC">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33F98405" w14:textId="77777777" w:rsidR="00DF12CC" w:rsidRDefault="00DF12CC" w:rsidP="00DF12CC">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064A78AE" w14:textId="77777777" w:rsidR="00DF12CC" w:rsidRDefault="00DF12CC" w:rsidP="00DF12CC">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72045BE9" w14:textId="77777777" w:rsidR="00DF12CC" w:rsidRDefault="00DF12CC" w:rsidP="00DF12CC">
      <w:pPr>
        <w:pStyle w:val="Heading4"/>
      </w:pPr>
      <w:r>
        <w:t xml:space="preserve">Since everyone is presumed equal, everyone has an obligation to establish conditions of non-alienation, including the state. Thus: the standard is resisting alienation </w:t>
      </w:r>
    </w:p>
    <w:p w14:paraId="2C46FC65" w14:textId="77777777" w:rsidR="00DF12CC" w:rsidRDefault="00DF12CC" w:rsidP="00DF12CC">
      <w:pPr>
        <w:pStyle w:val="Heading4"/>
      </w:pPr>
      <w:r>
        <w:t>Independently prefer:</w:t>
      </w:r>
    </w:p>
    <w:p w14:paraId="3A4D872F" w14:textId="77777777" w:rsidR="00DF12CC" w:rsidRDefault="00DF12CC" w:rsidP="00DF12CC">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4B47DD68" w14:textId="77777777" w:rsidR="00DF12CC" w:rsidRDefault="00DF12CC" w:rsidP="00DF12CC">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1F05B5A0" w14:textId="77777777" w:rsidR="00DF12CC" w:rsidRDefault="00DF12CC" w:rsidP="00DF12CC">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3915829B" w14:textId="77777777" w:rsidR="00DF12CC" w:rsidRDefault="00DF12CC" w:rsidP="00DF12CC"/>
    <w:p w14:paraId="09405917" w14:textId="77777777" w:rsidR="00DF12CC" w:rsidRDefault="00DF12CC" w:rsidP="00DF12CC">
      <w:pPr>
        <w:rPr>
          <w:rFonts w:asciiTheme="majorHAnsi" w:hAnsiTheme="majorHAnsi" w:cstheme="majorHAnsi"/>
          <w:b/>
          <w:bCs/>
          <w:sz w:val="26"/>
          <w:szCs w:val="26"/>
        </w:rPr>
      </w:pPr>
    </w:p>
    <w:p w14:paraId="04A68699" w14:textId="77777777" w:rsidR="00DF12CC" w:rsidRDefault="00DF12CC" w:rsidP="00DF12CC">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03865AC0" w14:textId="77777777" w:rsidR="00DF12CC" w:rsidRDefault="00DF12CC" w:rsidP="00DF12CC">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xml:space="preserve">. And in alienated labor others are for her, one </w:t>
      </w:r>
      <w:r w:rsidRPr="006D0611">
        <w:rPr>
          <w:rFonts w:asciiTheme="majorHAnsi" w:hAnsiTheme="majorHAnsi" w:cstheme="majorHAnsi"/>
          <w:b/>
          <w:u w:val="single"/>
        </w:rPr>
        <w:t>could say, “structurally indifferent</w:t>
      </w:r>
      <w:r w:rsidRPr="006D0611">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sidRPr="006D0611">
        <w:rPr>
          <w:rFonts w:asciiTheme="majorHAnsi" w:hAnsiTheme="majorHAnsi" w:cstheme="majorHAnsi"/>
          <w:bCs/>
          <w:sz w:val="16"/>
        </w:rPr>
        <w:t>condi</w:t>
      </w:r>
      <w:proofErr w:type="spellEnd"/>
      <w:r w:rsidRPr="006D0611">
        <w:rPr>
          <w:rFonts w:asciiTheme="majorHAnsi" w:hAnsiTheme="majorHAnsi" w:cstheme="majorHAnsi"/>
          <w:bCs/>
          <w:sz w:val="16"/>
        </w:rPr>
        <w:t xml:space="preserve">- </w:t>
      </w:r>
      <w:proofErr w:type="spellStart"/>
      <w:r w:rsidRPr="006D0611">
        <w:rPr>
          <w:rFonts w:asciiTheme="majorHAnsi" w:hAnsiTheme="majorHAnsi" w:cstheme="majorHAnsi"/>
          <w:bCs/>
          <w:sz w:val="16"/>
        </w:rPr>
        <w:t>tions</w:t>
      </w:r>
      <w:proofErr w:type="spellEnd"/>
      <w:r w:rsidRPr="006D0611">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sidRPr="006D0611">
        <w:rPr>
          <w:rFonts w:asciiTheme="majorHAnsi" w:hAnsiTheme="majorHAnsi" w:cstheme="majorHAnsi"/>
          <w:b/>
          <w:u w:val="single"/>
        </w:rPr>
        <w:t xml:space="preserve">Activities performed in an alienated way are understood by those who carry them out not as ends but only as means. In the same way, one regards the capacities one acquires from or brings to the activity—and therefore also oneself—as means rather than ends. In other words, one does not identify with what one does. Instrumental- </w:t>
      </w:r>
      <w:proofErr w:type="spellStart"/>
      <w:r w:rsidRPr="006D0611">
        <w:rPr>
          <w:rFonts w:asciiTheme="majorHAnsi" w:hAnsiTheme="majorHAnsi" w:cstheme="majorHAnsi"/>
          <w:b/>
          <w:u w:val="single"/>
        </w:rPr>
        <w:t>ization</w:t>
      </w:r>
      <w:proofErr w:type="spellEnd"/>
      <w:r w:rsidRPr="006D0611">
        <w:rPr>
          <w:rFonts w:asciiTheme="majorHAnsi" w:hAnsiTheme="majorHAnsi" w:cstheme="majorHAnsi"/>
          <w:b/>
          <w:u w:val="single"/>
        </w:rPr>
        <w:t>, in turn, intensifies into utter meaninglessness: When Marx says that under conditions of alienation life itself becomes a means</w:t>
      </w:r>
      <w:r w:rsidRPr="006D0611">
        <w:rPr>
          <w:rFonts w:asciiTheme="majorHAnsi" w:hAnsiTheme="majorHAnsi" w:cstheme="majorHAnsi"/>
          <w:bCs/>
          <w:sz w:val="16"/>
        </w:rPr>
        <w:t xml:space="preserve"> (“life itself appears</w:t>
      </w:r>
      <w:r>
        <w:rPr>
          <w:rFonts w:asciiTheme="majorHAnsi" w:hAnsiTheme="majorHAnsi" w:cstheme="majorHAnsi"/>
          <w:bCs/>
          <w:sz w:val="16"/>
        </w:rPr>
        <w:t xml:space="preserve">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54542FF2" w14:textId="77777777" w:rsidR="00DF12CC" w:rsidRDefault="00DF12CC" w:rsidP="00DF12CC">
      <w:pPr>
        <w:pStyle w:val="Heading4"/>
        <w:rPr>
          <w:bCs/>
          <w:szCs w:val="26"/>
        </w:rPr>
      </w:pPr>
      <w: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3CC03998" w14:textId="77777777" w:rsidR="00DF12CC" w:rsidRDefault="00DF12CC" w:rsidP="00DF12CC">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356E5E87" w14:textId="77777777" w:rsidR="00DF12CC" w:rsidRDefault="00DF12CC" w:rsidP="00DF12CC">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w:t>
      </w:r>
    </w:p>
    <w:p w14:paraId="662D2081" w14:textId="330278B3" w:rsidR="00DF12CC" w:rsidRPr="00CB5E5D" w:rsidRDefault="00DF12CC" w:rsidP="00DF12CC">
      <w:pPr>
        <w:pStyle w:val="Heading4"/>
        <w:rPr>
          <w:rFonts w:cs="Calibri"/>
        </w:rPr>
      </w:pPr>
      <w:r>
        <w:rPr>
          <w:rFonts w:cs="Calibri"/>
        </w:rPr>
        <w:t xml:space="preserve">Capitalism </w:t>
      </w:r>
      <w:proofErr w:type="gramStart"/>
      <w:r>
        <w:rPr>
          <w:rFonts w:cs="Calibri"/>
        </w:rPr>
        <w:t>depoliticize</w:t>
      </w:r>
      <w:proofErr w:type="gramEnd"/>
      <w:r>
        <w:rPr>
          <w:rFonts w:cs="Calibri"/>
        </w:rPr>
        <w:t xml:space="preserv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6C44EF4B" w14:textId="77777777" w:rsidR="00DF12CC" w:rsidRDefault="00DF12CC" w:rsidP="00DF12CC">
      <w:pPr>
        <w:pStyle w:val="Heading4"/>
      </w:pPr>
      <w:r>
        <w:t>Thus, I negate: States ought to recognize the unconditional right of workers to strike</w:t>
      </w:r>
    </w:p>
    <w:p w14:paraId="2B9D08CF" w14:textId="77777777" w:rsidR="00DF12CC" w:rsidRPr="006C6E99" w:rsidRDefault="00DF12CC" w:rsidP="00DF12CC">
      <w:pPr>
        <w:pStyle w:val="Heading4"/>
      </w:pPr>
      <w:r>
        <w:rPr>
          <w:rFonts w:cs="Calibri"/>
        </w:rPr>
        <w:t xml:space="preserve">This is not a call for state action as such, but rather a call and recognition to return to the revolutionary tradition of dictatorship of the proletariat. </w:t>
      </w:r>
      <w:r>
        <w:rPr>
          <w:rFonts w:eastAsia="Calibri" w:cs="Calibri"/>
          <w:color w:val="000000"/>
          <w:szCs w:val="26"/>
        </w:rPr>
        <w:t xml:space="preserve">The right to strike is a tool of </w:t>
      </w:r>
      <w:r>
        <w:rPr>
          <w:rFonts w:eastAsia="Calibri" w:cs="Calibri"/>
          <w:color w:val="000000"/>
          <w:szCs w:val="26"/>
          <w:u w:val="single"/>
        </w:rPr>
        <w:t>bourgeois crisis management</w:t>
      </w:r>
      <w:r>
        <w:rPr>
          <w:rFonts w:eastAsia="Calibri" w:cs="Calibri"/>
          <w:color w:val="000000"/>
          <w:szCs w:val="26"/>
        </w:rPr>
        <w:t xml:space="preserve"> that controls revolutionary energy. The only proper way to strike is a violent, revolutionary strike against the foundations of capitalism itself. </w:t>
      </w:r>
    </w:p>
    <w:p w14:paraId="4267AAB7" w14:textId="77777777" w:rsidR="00DF12CC" w:rsidRDefault="00DF12CC" w:rsidP="00DF12CC">
      <w:pPr>
        <w:rPr>
          <w:rFonts w:eastAsia="Calibri"/>
          <w:b/>
          <w:sz w:val="26"/>
          <w:szCs w:val="26"/>
        </w:rPr>
      </w:pPr>
      <w:r>
        <w:rPr>
          <w:rFonts w:eastAsia="Calibri"/>
          <w:b/>
          <w:sz w:val="26"/>
          <w:szCs w:val="26"/>
        </w:rPr>
        <w:t>Crepon 19</w:t>
      </w:r>
    </w:p>
    <w:p w14:paraId="1E0D0D31" w14:textId="77777777" w:rsidR="00DF12CC" w:rsidRDefault="00DF12CC" w:rsidP="00DF12CC">
      <w:pPr>
        <w:rPr>
          <w:rFonts w:eastAsia="Calibri"/>
          <w:sz w:val="16"/>
          <w:szCs w:val="16"/>
        </w:rPr>
      </w:pPr>
      <w:r>
        <w:rPr>
          <w:rFonts w:eastAsia="Calibri"/>
          <w:sz w:val="16"/>
          <w:szCs w:val="16"/>
        </w:rPr>
        <w:t xml:space="preserve">Marc Crepon is a professor of philosophy at the École </w:t>
      </w:r>
      <w:proofErr w:type="spellStart"/>
      <w:r>
        <w:rPr>
          <w:rFonts w:eastAsia="Calibri"/>
          <w:sz w:val="16"/>
          <w:szCs w:val="16"/>
        </w:rPr>
        <w:t>Normale</w:t>
      </w:r>
      <w:proofErr w:type="spellEnd"/>
      <w:r>
        <w:rPr>
          <w:rFonts w:eastAsia="Calibri"/>
          <w:sz w:val="16"/>
          <w:szCs w:val="16"/>
        </w:rPr>
        <w:t xml:space="preserve"> </w:t>
      </w:r>
      <w:proofErr w:type="gramStart"/>
      <w:r>
        <w:rPr>
          <w:rFonts w:eastAsia="Calibri"/>
          <w:sz w:val="16"/>
          <w:szCs w:val="16"/>
        </w:rPr>
        <w:t>Supérieure..</w:t>
      </w:r>
      <w:proofErr w:type="gramEnd"/>
      <w:r>
        <w:rPr>
          <w:rFonts w:eastAsia="Calibri"/>
          <w:sz w:val="16"/>
          <w:szCs w:val="16"/>
        </w:rPr>
        <w:t xml:space="preserve"> “The Right to Strike and Legal War in Walter Benjamin’s “Toward the Critique of Violence””. Translated by </w:t>
      </w:r>
      <w:proofErr w:type="spellStart"/>
      <w:r>
        <w:rPr>
          <w:rFonts w:eastAsia="Calibri"/>
          <w:sz w:val="16"/>
          <w:szCs w:val="16"/>
        </w:rPr>
        <w:t>Micol</w:t>
      </w:r>
      <w:proofErr w:type="spellEnd"/>
      <w:r>
        <w:rPr>
          <w:rFonts w:eastAsia="Calibri"/>
          <w:sz w:val="16"/>
          <w:szCs w:val="16"/>
        </w:rPr>
        <w:t xml:space="preserve"> Bez. DOI: 10.1215/26410478-7708331, published August 2019, accessed 11-4-21 // </w:t>
      </w:r>
      <w:proofErr w:type="spellStart"/>
      <w:r>
        <w:rPr>
          <w:rFonts w:eastAsia="Calibri"/>
          <w:sz w:val="16"/>
          <w:szCs w:val="16"/>
        </w:rPr>
        <w:t>mk</w:t>
      </w:r>
      <w:proofErr w:type="spellEnd"/>
    </w:p>
    <w:p w14:paraId="75BFDB0D" w14:textId="77777777" w:rsidR="00DF12CC" w:rsidRDefault="00DF12CC" w:rsidP="00DF12CC">
      <w:pPr>
        <w:rPr>
          <w:rFonts w:eastAsia="Calibri"/>
          <w:sz w:val="16"/>
          <w:szCs w:val="16"/>
        </w:rPr>
      </w:pPr>
      <w:r>
        <w:rPr>
          <w:rFonts w:eastAsia="Calibri"/>
          <w:sz w:val="16"/>
          <w:szCs w:val="16"/>
        </w:rPr>
        <w:t xml:space="preserve">In other words, nothing would endanger the law more than the possibility of its authority being contested by a violence over which it has no control. </w:t>
      </w:r>
      <w:r>
        <w:rPr>
          <w:rFonts w:eastAsia="Calibri"/>
          <w:u w:val="single"/>
        </w:rPr>
        <w:t>The function of the law would</w:t>
      </w:r>
      <w:r>
        <w:rPr>
          <w:rFonts w:eastAsia="Calibri"/>
          <w:sz w:val="16"/>
          <w:szCs w:val="16"/>
        </w:rPr>
        <w:t xml:space="preserve"> therefore </w:t>
      </w:r>
      <w:r>
        <w:rPr>
          <w:rFonts w:eastAsia="Calibri"/>
          <w:u w:val="single"/>
        </w:rPr>
        <w:t>be</w:t>
      </w:r>
      <w:r>
        <w:rPr>
          <w:rFonts w:eastAsia="Calibri"/>
          <w:sz w:val="16"/>
          <w:szCs w:val="16"/>
        </w:rPr>
        <w:t xml:space="preserve">, first and foremost, </w:t>
      </w:r>
      <w:r>
        <w:rPr>
          <w:rFonts w:eastAsia="Calibri"/>
          <w:u w:val="single"/>
        </w:rPr>
        <w:t>to contain violence within its own boundaries</w:t>
      </w:r>
      <w:r>
        <w:rPr>
          <w:rFonts w:eastAsia="Calibri"/>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Pr>
          <w:rFonts w:eastAsia="Calibri"/>
          <w:highlight w:val="cyan"/>
          <w:u w:val="single"/>
        </w:rPr>
        <w:t>class struggle</w:t>
      </w:r>
      <w:r>
        <w:rPr>
          <w:rFonts w:eastAsia="Calibri"/>
          <w:sz w:val="16"/>
          <w:szCs w:val="16"/>
        </w:rPr>
        <w:t xml:space="preserve">. To begin with, the very idea of such a struggle </w:t>
      </w:r>
      <w:r>
        <w:rPr>
          <w:rFonts w:eastAsia="Calibri"/>
          <w:highlight w:val="cyan"/>
          <w:u w:val="single"/>
        </w:rPr>
        <w:t>implies</w:t>
      </w:r>
      <w:r>
        <w:rPr>
          <w:rFonts w:eastAsia="Calibri"/>
          <w:u w:val="single"/>
        </w:rPr>
        <w:t xml:space="preserve"> certain forms of </w:t>
      </w:r>
      <w:r>
        <w:rPr>
          <w:rFonts w:eastAsia="Calibri"/>
          <w:highlight w:val="cyan"/>
          <w:u w:val="single"/>
        </w:rPr>
        <w:t>violence</w:t>
      </w:r>
      <w:r>
        <w:rPr>
          <w:rFonts w:eastAsia="Calibri"/>
          <w:u w:val="single"/>
        </w:rPr>
        <w:t xml:space="preserve">. </w:t>
      </w:r>
      <w:r>
        <w:rPr>
          <w:rFonts w:eastAsia="Calibri"/>
          <w:highlight w:val="cyan"/>
          <w:u w:val="single"/>
        </w:rPr>
        <w:t>The strike could</w:t>
      </w:r>
      <w:r>
        <w:rPr>
          <w:rFonts w:eastAsia="Calibri"/>
          <w:u w:val="single"/>
        </w:rPr>
        <w:t xml:space="preserve"> then </w:t>
      </w:r>
      <w:r>
        <w:rPr>
          <w:rFonts w:eastAsia="Calibri"/>
          <w:highlight w:val="cyan"/>
          <w:u w:val="single"/>
        </w:rPr>
        <w:t>be understood as one</w:t>
      </w:r>
      <w:r>
        <w:rPr>
          <w:rFonts w:eastAsia="Calibri"/>
          <w:u w:val="single"/>
        </w:rPr>
        <w:t xml:space="preserve"> of the recognizable </w:t>
      </w:r>
      <w:r>
        <w:rPr>
          <w:rFonts w:eastAsia="Calibri"/>
          <w:highlight w:val="cyan"/>
          <w:u w:val="single"/>
        </w:rPr>
        <w:t>form</w:t>
      </w:r>
      <w:r>
        <w:rPr>
          <w:rFonts w:eastAsia="Calibri"/>
          <w:u w:val="single"/>
        </w:rPr>
        <w:t xml:space="preserve">s that </w:t>
      </w:r>
      <w:r>
        <w:rPr>
          <w:rFonts w:eastAsia="Calibri"/>
          <w:highlight w:val="cyan"/>
          <w:u w:val="single"/>
        </w:rPr>
        <w:t>this violence can take</w:t>
      </w:r>
      <w:r>
        <w:rPr>
          <w:rFonts w:eastAsia="Calibri"/>
          <w:sz w:val="16"/>
          <w:szCs w:val="16"/>
        </w:rPr>
        <w:t xml:space="preserve">. However, </w:t>
      </w:r>
      <w:r>
        <w:rPr>
          <w:rFonts w:eastAsia="Calibri"/>
          <w:highlight w:val="cyan"/>
          <w:u w:val="single"/>
        </w:rPr>
        <w:t>this</w:t>
      </w:r>
      <w:r>
        <w:rPr>
          <w:rFonts w:eastAsia="Calibri"/>
          <w:sz w:val="16"/>
          <w:szCs w:val="16"/>
        </w:rPr>
        <w:t xml:space="preserve"> analytical framework </w:t>
      </w:r>
      <w:r>
        <w:rPr>
          <w:rFonts w:eastAsia="Calibri"/>
          <w:highlight w:val="cyan"/>
          <w:u w:val="single"/>
        </w:rPr>
        <w:t>is undermined as soon as this form of violence becomes regulated by a “right to strike,</w:t>
      </w:r>
      <w:r>
        <w:rPr>
          <w:rFonts w:eastAsia="Calibri"/>
          <w:sz w:val="16"/>
          <w:szCs w:val="16"/>
        </w:rPr>
        <w:t xml:space="preserve">” such as the one recognized by law in France in 1864. What </w:t>
      </w:r>
      <w:r>
        <w:rPr>
          <w:rFonts w:eastAsia="Calibri"/>
          <w:highlight w:val="cyan"/>
          <w:u w:val="single"/>
        </w:rPr>
        <w:t>this recognition</w:t>
      </w:r>
      <w:r>
        <w:rPr>
          <w:rFonts w:eastAsia="Calibri"/>
          <w:u w:val="single"/>
        </w:rPr>
        <w:t xml:space="preserve"> </w:t>
      </w:r>
      <w:r>
        <w:rPr>
          <w:rFonts w:eastAsia="Calibri"/>
          <w:highlight w:val="cyan"/>
          <w:u w:val="single"/>
        </w:rPr>
        <w:t>engages</w:t>
      </w:r>
      <w:r>
        <w:rPr>
          <w:rFonts w:eastAsia="Calibri"/>
          <w:sz w:val="16"/>
          <w:szCs w:val="16"/>
        </w:rPr>
        <w:t xml:space="preserve"> is, in fact, </w:t>
      </w:r>
      <w:r>
        <w:rPr>
          <w:rFonts w:eastAsia="Calibri"/>
          <w:highlight w:val="cyan"/>
          <w:u w:val="single"/>
        </w:rPr>
        <w:t>the</w:t>
      </w:r>
      <w:r>
        <w:rPr>
          <w:rFonts w:eastAsia="Calibri"/>
          <w:u w:val="single"/>
        </w:rPr>
        <w:t xml:space="preserve"> will of the </w:t>
      </w:r>
      <w:r>
        <w:rPr>
          <w:rFonts w:eastAsia="Calibri"/>
          <w:highlight w:val="cyan"/>
          <w:u w:val="single"/>
        </w:rPr>
        <w:t>state to control the</w:t>
      </w:r>
      <w:r>
        <w:rPr>
          <w:rFonts w:eastAsia="Calibri"/>
          <w:u w:val="single"/>
        </w:rPr>
        <w:t xml:space="preserve"> possible “</w:t>
      </w:r>
      <w:r>
        <w:rPr>
          <w:rFonts w:eastAsia="Calibri"/>
          <w:highlight w:val="cyan"/>
          <w:u w:val="single"/>
        </w:rPr>
        <w:t>violence” of the strike</w:t>
      </w:r>
      <w:r>
        <w:rPr>
          <w:rFonts w:eastAsia="Calibri"/>
          <w:u w:val="single"/>
        </w:rPr>
        <w:t xml:space="preserve">. Thus, </w:t>
      </w:r>
      <w:r>
        <w:rPr>
          <w:rFonts w:eastAsia="Calibri"/>
          <w:highlight w:val="cyan"/>
          <w:u w:val="single"/>
        </w:rPr>
        <w:t>the “right” of the right to strike appears as the best</w:t>
      </w:r>
      <w:r>
        <w:rPr>
          <w:rFonts w:eastAsia="Calibri"/>
          <w:sz w:val="16"/>
          <w:szCs w:val="16"/>
        </w:rPr>
        <w:t xml:space="preserve">, if not the only, </w:t>
      </w:r>
      <w:r>
        <w:rPr>
          <w:rFonts w:eastAsia="Calibri"/>
          <w:highlight w:val="cyan"/>
          <w:u w:val="single"/>
        </w:rPr>
        <w:t>way for the state to circumscribe within</w:t>
      </w:r>
      <w:r>
        <w:rPr>
          <w:rFonts w:eastAsia="Calibri"/>
          <w:sz w:val="16"/>
          <w:szCs w:val="16"/>
        </w:rPr>
        <w:t xml:space="preserve"> (and via) </w:t>
      </w:r>
      <w:r>
        <w:rPr>
          <w:rFonts w:eastAsia="Calibri"/>
          <w:highlight w:val="cyan"/>
          <w:u w:val="single"/>
        </w:rPr>
        <w:t>the law the relative violence of class struggles</w:t>
      </w:r>
      <w:r>
        <w:rPr>
          <w:rFonts w:eastAsia="Calibri"/>
          <w:sz w:val="16"/>
          <w:szCs w:val="16"/>
        </w:rPr>
        <w:t xml:space="preserve">. We might consider this to be the perfect illustration of the </w:t>
      </w:r>
      <w:proofErr w:type="gramStart"/>
      <w:r>
        <w:rPr>
          <w:rFonts w:eastAsia="Calibri"/>
          <w:sz w:val="16"/>
          <w:szCs w:val="16"/>
        </w:rPr>
        <w:t>aforementioned hypothesis</w:t>
      </w:r>
      <w:proofErr w:type="gramEnd"/>
      <w:r>
        <w:rPr>
          <w:rFonts w:eastAsia="Calibri"/>
          <w:sz w:val="16"/>
          <w:szCs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Pr>
          <w:rFonts w:eastAsia="Calibri"/>
          <w:b/>
          <w:highlight w:val="cyan"/>
          <w:u w:val="single"/>
        </w:rPr>
        <w:t>We would be mistaken in believing that the right to strike is granted and guaranteed unconditionally</w:t>
      </w:r>
      <w:r>
        <w:rPr>
          <w:rFonts w:eastAsia="Calibri"/>
          <w:sz w:val="16"/>
          <w:szCs w:val="16"/>
        </w:rPr>
        <w:t>. Rather</w:t>
      </w:r>
      <w:r>
        <w:rPr>
          <w:rFonts w:eastAsia="Calibri"/>
          <w:sz w:val="16"/>
          <w:szCs w:val="16"/>
          <w:highlight w:val="cyan"/>
        </w:rPr>
        <w:t>, i</w:t>
      </w:r>
      <w:r>
        <w:rPr>
          <w:rFonts w:eastAsia="Calibri"/>
          <w:highlight w:val="cyan"/>
          <w:u w:val="single"/>
        </w:rPr>
        <w:t>t is structurally subjected to a conflict of interpretations</w:t>
      </w:r>
      <w:r>
        <w:rPr>
          <w:rFonts w:eastAsia="Calibri"/>
          <w:u w:val="single"/>
        </w:rPr>
        <w:t xml:space="preserve">, those of the workers, on the one hand, and of the state on the other. </w:t>
      </w:r>
      <w:r>
        <w:rPr>
          <w:rFonts w:eastAsia="Calibri"/>
          <w:highlight w:val="cyan"/>
          <w:u w:val="single"/>
        </w:rPr>
        <w:t>From the point of view of the state, the</w:t>
      </w:r>
      <w:r>
        <w:rPr>
          <w:rFonts w:eastAsia="Calibri"/>
          <w:u w:val="single"/>
        </w:rPr>
        <w:t xml:space="preserve"> partial </w:t>
      </w:r>
      <w:r>
        <w:rPr>
          <w:rFonts w:eastAsia="Calibri"/>
          <w:highlight w:val="cyan"/>
          <w:u w:val="single"/>
        </w:rPr>
        <w:t>strike cannot under any circumstance be understood as a right to exercise violence, but rather as the right to extract oneself from a preexisting</w:t>
      </w:r>
      <w:r>
        <w:rPr>
          <w:rFonts w:eastAsia="Calibri"/>
          <w:u w:val="single"/>
        </w:rPr>
        <w:t xml:space="preserve"> (</w:t>
      </w:r>
      <w:r>
        <w:rPr>
          <w:rFonts w:eastAsia="Calibri"/>
          <w:sz w:val="16"/>
          <w:szCs w:val="16"/>
        </w:rPr>
        <w:t xml:space="preserve">and </w:t>
      </w:r>
      <w:r>
        <w:rPr>
          <w:rFonts w:eastAsia="Calibri"/>
          <w:highlight w:val="cyan"/>
          <w:u w:val="single"/>
        </w:rPr>
        <w:t>verifiable) violence</w:t>
      </w:r>
      <w:r>
        <w:rPr>
          <w:rFonts w:eastAsia="Calibri"/>
          <w:sz w:val="16"/>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Pr>
          <w:rFonts w:eastAsia="Calibri"/>
          <w:highlight w:val="cyan"/>
          <w:u w:val="single"/>
        </w:rPr>
        <w:t>Who might have the authority to recognize such violence</w:t>
      </w:r>
      <w:r>
        <w:rPr>
          <w:rFonts w:eastAsia="Calibri"/>
          <w:u w:val="single"/>
        </w:rPr>
        <w:t>? Evidently it is not the employer.</w:t>
      </w:r>
      <w:r>
        <w:rPr>
          <w:rFonts w:eastAsia="Calibri"/>
          <w:sz w:val="16"/>
          <w:szCs w:val="16"/>
        </w:rPr>
        <w:t xml:space="preserve"> The danger is that </w:t>
      </w:r>
      <w:r>
        <w:rPr>
          <w:rFonts w:eastAsia="Calibri"/>
          <w:highlight w:val="cyan"/>
          <w:u w:val="single"/>
        </w:rPr>
        <w:t>the</w:t>
      </w:r>
      <w:r>
        <w:rPr>
          <w:rFonts w:eastAsia="Calibri"/>
          <w:u w:val="single"/>
        </w:rPr>
        <w:t xml:space="preserve"> </w:t>
      </w:r>
      <w:r>
        <w:rPr>
          <w:rFonts w:eastAsia="Calibri"/>
          <w:highlight w:val="cyan"/>
          <w:u w:val="single"/>
        </w:rPr>
        <w:t>state would</w:t>
      </w:r>
      <w:r>
        <w:rPr>
          <w:rFonts w:eastAsia="Calibri"/>
          <w:u w:val="single"/>
        </w:rPr>
        <w:t xml:space="preserve"> similarly </w:t>
      </w:r>
      <w:r>
        <w:rPr>
          <w:rFonts w:eastAsia="Calibri"/>
          <w:highlight w:val="cyan"/>
          <w:u w:val="single"/>
        </w:rPr>
        <w:t>lack the incentive to make such a judgment call. It is</w:t>
      </w:r>
      <w:r>
        <w:rPr>
          <w:rFonts w:eastAsia="Calibri"/>
          <w:u w:val="single"/>
        </w:rPr>
        <w:t xml:space="preserve"> nearly </w:t>
      </w:r>
      <w:r>
        <w:rPr>
          <w:rFonts w:eastAsia="Calibri"/>
          <w:highlight w:val="cyan"/>
          <w:u w:val="single"/>
        </w:rPr>
        <w:t>impossible</w:t>
      </w:r>
      <w:r>
        <w:rPr>
          <w:rFonts w:eastAsia="Calibri"/>
          <w:sz w:val="16"/>
          <w:szCs w:val="16"/>
        </w:rPr>
        <w:t>, in fact</w:t>
      </w:r>
      <w:r>
        <w:rPr>
          <w:rFonts w:eastAsia="Calibri"/>
          <w:sz w:val="16"/>
          <w:szCs w:val="16"/>
          <w:highlight w:val="cyan"/>
        </w:rPr>
        <w:t xml:space="preserve">, </w:t>
      </w:r>
      <w:r>
        <w:rPr>
          <w:rFonts w:eastAsia="Calibri"/>
          <w:highlight w:val="cyan"/>
          <w:u w:val="single"/>
        </w:rPr>
        <w:t>to find a single instance of a strike in which this recognition of violence</w:t>
      </w:r>
      <w:r>
        <w:rPr>
          <w:rFonts w:eastAsia="Calibri"/>
          <w:u w:val="single"/>
        </w:rPr>
        <w:t xml:space="preserve"> </w:t>
      </w:r>
      <w:r>
        <w:rPr>
          <w:rFonts w:eastAsia="Calibri"/>
          <w:highlight w:val="cyan"/>
          <w:u w:val="single"/>
        </w:rPr>
        <w:t>was not subject to considerable controversy</w:t>
      </w:r>
      <w:r>
        <w:rPr>
          <w:rFonts w:eastAsia="Calibri"/>
          <w:sz w:val="16"/>
          <w:szCs w:val="16"/>
        </w:rPr>
        <w:t xml:space="preserve">. The political game is thus the following: </w:t>
      </w:r>
      <w:r>
        <w:rPr>
          <w:rFonts w:eastAsia="Calibri"/>
          <w:highlight w:val="cyan"/>
          <w:u w:val="single"/>
        </w:rPr>
        <w:t xml:space="preserve">the state legislated the right to strike </w:t>
      </w:r>
      <w:proofErr w:type="gramStart"/>
      <w:r>
        <w:rPr>
          <w:rFonts w:eastAsia="Calibri"/>
          <w:highlight w:val="cyan"/>
          <w:u w:val="single"/>
        </w:rPr>
        <w:t>in order to</w:t>
      </w:r>
      <w:proofErr w:type="gramEnd"/>
      <w:r>
        <w:rPr>
          <w:rFonts w:eastAsia="Calibri"/>
          <w:highlight w:val="cyan"/>
          <w:u w:val="single"/>
        </w:rPr>
        <w:t xml:space="preserve"> contain class struggles</w:t>
      </w:r>
      <w:r>
        <w:rPr>
          <w:rFonts w:eastAsia="Calibri"/>
          <w:sz w:val="16"/>
          <w:szCs w:val="16"/>
        </w:rPr>
        <w:t xml:space="preserve">, with the condition that workers must have “good reason” to strike. However, it is unlikely that a state systematically allied with (and accomplice to) employers will ever recognize reasons as good, and, </w:t>
      </w:r>
      <w:proofErr w:type="gramStart"/>
      <w:r>
        <w:rPr>
          <w:rFonts w:eastAsia="Calibri"/>
          <w:sz w:val="16"/>
          <w:szCs w:val="16"/>
        </w:rPr>
        <w:t>as a consequence</w:t>
      </w:r>
      <w:proofErr w:type="gramEnd"/>
      <w:r>
        <w:rPr>
          <w:rFonts w:eastAsia="Calibri"/>
          <w:sz w:val="16"/>
          <w:szCs w:val="16"/>
          <w:highlight w:val="cyan"/>
        </w:rPr>
        <w:t xml:space="preserve">, </w:t>
      </w:r>
      <w:r>
        <w:rPr>
          <w:rFonts w:eastAsia="Calibri"/>
          <w:highlight w:val="cyan"/>
          <w:u w:val="single"/>
        </w:rPr>
        <w:t>it will deem any invocation of the right to strike as illegitimate.</w:t>
      </w:r>
      <w:r>
        <w:rPr>
          <w:rFonts w:eastAsia="Calibri"/>
          <w:u w:val="single"/>
        </w:rPr>
        <w:t xml:space="preserve"> Workers will therefore be seen as abusing a right granted by the state, and in so doing transforming it into a violent means</w:t>
      </w:r>
      <w:r>
        <w:rPr>
          <w:rFonts w:eastAsia="Calibri"/>
          <w:sz w:val="16"/>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Pr>
          <w:rFonts w:eastAsia="Calibri"/>
          <w:u w:val="single"/>
        </w:rPr>
        <w:t>this denial inevitably contaminates the</w:t>
      </w:r>
      <w:r>
        <w:rPr>
          <w:rFonts w:eastAsia="Calibri"/>
          <w:sz w:val="16"/>
          <w:szCs w:val="16"/>
        </w:rPr>
        <w:t xml:space="preserve"> (socialist) </w:t>
      </w:r>
      <w:r>
        <w:rPr>
          <w:rFonts w:eastAsia="Calibri"/>
          <w:u w:val="single"/>
        </w:rPr>
        <w:t>left once it gains power</w:t>
      </w:r>
      <w:r>
        <w:rPr>
          <w:rFonts w:eastAsia="Calibri"/>
          <w:sz w:val="16"/>
          <w:szCs w:val="16"/>
        </w:rPr>
        <w:t xml:space="preserve">. What might previously have seemed a good reason to strike when it was the opposition is deemed an insufficient one once it is the ruling party. In the face of popular protest, </w:t>
      </w:r>
      <w:r>
        <w:rPr>
          <w:rFonts w:eastAsia="Calibri"/>
          <w:u w:val="single"/>
        </w:rPr>
        <w:t>it always invokes a lack of sufficient rationale, allowing it to avoid recognizing the intrinsic violence of a given social or economic situation</w:t>
      </w:r>
      <w:r>
        <w:rPr>
          <w:rFonts w:eastAsia="Calibri"/>
          <w:sz w:val="16"/>
          <w:szCs w:val="16"/>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Pr>
          <w:rFonts w:eastAsia="Calibri"/>
          <w:sz w:val="16"/>
          <w:szCs w:val="16"/>
        </w:rPr>
        <w:t>diference</w:t>
      </w:r>
      <w:proofErr w:type="spellEnd"/>
      <w:r>
        <w:rPr>
          <w:rFonts w:eastAsia="Calibri"/>
          <w:sz w:val="16"/>
          <w:szCs w:val="16"/>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Pr>
          <w:rFonts w:eastAsia="Calibri"/>
          <w:sz w:val="16"/>
          <w:szCs w:val="16"/>
        </w:rPr>
        <w:t>Zur</w:t>
      </w:r>
      <w:proofErr w:type="spellEnd"/>
      <w:r>
        <w:rPr>
          <w:rFonts w:eastAsia="Calibri"/>
          <w:sz w:val="16"/>
          <w:szCs w:val="16"/>
        </w:rPr>
        <w:t xml:space="preserve"> </w:t>
      </w:r>
      <w:proofErr w:type="spellStart"/>
      <w:r>
        <w:rPr>
          <w:rFonts w:eastAsia="Calibri"/>
          <w:sz w:val="16"/>
          <w:szCs w:val="16"/>
        </w:rPr>
        <w:t>Kritik</w:t>
      </w:r>
      <w:proofErr w:type="spellEnd"/>
      <w:r>
        <w:rPr>
          <w:rFonts w:eastAsia="Calibri"/>
          <w:sz w:val="16"/>
          <w:szCs w:val="16"/>
        </w:rPr>
        <w:t xml:space="preserve"> der </w:t>
      </w:r>
      <w:proofErr w:type="spellStart"/>
      <w:r>
        <w:rPr>
          <w:rFonts w:eastAsia="Calibri"/>
          <w:sz w:val="16"/>
          <w:szCs w:val="16"/>
        </w:rPr>
        <w:t>Gewalt</w:t>
      </w:r>
      <w:proofErr w:type="spellEnd"/>
      <w:r>
        <w:rPr>
          <w:rFonts w:eastAsia="Calibri"/>
          <w:sz w:val="16"/>
          <w:szCs w:val="16"/>
        </w:rPr>
        <w:t xml:space="preserve">,” which we are accustomed to reading as a text on violence, deals in fact with the possibility and ambiguity of nonviolence? The opposition between the </w:t>
      </w:r>
      <w:proofErr w:type="gramStart"/>
      <w:r>
        <w:rPr>
          <w:rFonts w:eastAsia="Calibri"/>
          <w:sz w:val="16"/>
          <w:szCs w:val="16"/>
        </w:rPr>
        <w:t>aforementioned conflicts</w:t>
      </w:r>
      <w:proofErr w:type="gramEnd"/>
      <w:r>
        <w:rPr>
          <w:rFonts w:eastAsia="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w:t>
      </w:r>
      <w:r>
        <w:rPr>
          <w:rFonts w:eastAsia="Calibri"/>
          <w:highlight w:val="cyan"/>
          <w:u w:val="single"/>
        </w:rPr>
        <w:t>the state will never admit that the right to strike is a right to violence. Its interpretative strategy consists in denying</w:t>
      </w:r>
      <w:r>
        <w:rPr>
          <w:rFonts w:eastAsia="Calibri"/>
          <w:sz w:val="16"/>
          <w:szCs w:val="16"/>
        </w:rPr>
        <w:t xml:space="preserve">, as much as possible, </w:t>
      </w:r>
      <w:r>
        <w:rPr>
          <w:rFonts w:eastAsia="Calibri"/>
          <w:highlight w:val="cyan"/>
          <w:u w:val="single"/>
        </w:rPr>
        <w:t>the effective exercise of the right that it theoretically grants</w:t>
      </w:r>
      <w:r>
        <w:rPr>
          <w:rFonts w:eastAsia="Calibri"/>
          <w:sz w:val="16"/>
          <w:szCs w:val="16"/>
          <w:highlight w:val="cyan"/>
        </w:rPr>
        <w:t>.</w:t>
      </w:r>
      <w:r>
        <w:rPr>
          <w:rFonts w:eastAsia="Calibri"/>
          <w:sz w:val="16"/>
          <w:szCs w:val="16"/>
        </w:rPr>
        <w:t xml:space="preserve"> Under these conditions, </w:t>
      </w:r>
      <w:r>
        <w:rPr>
          <w:rFonts w:eastAsia="Calibri"/>
          <w:highlight w:val="cyan"/>
          <w:u w:val="single"/>
        </w:rPr>
        <w:t>the function of the revolutionary strike is</w:t>
      </w:r>
      <w:r>
        <w:rPr>
          <w:rFonts w:eastAsia="Calibri"/>
          <w:u w:val="single"/>
        </w:rPr>
        <w:t xml:space="preserve"> to return the strike to its true meaning; in other words, to </w:t>
      </w:r>
      <w:r>
        <w:rPr>
          <w:rFonts w:eastAsia="Calibri"/>
          <w:highlight w:val="cyan"/>
          <w:u w:val="single"/>
        </w:rPr>
        <w:t>return it to</w:t>
      </w:r>
      <w:r>
        <w:rPr>
          <w:rFonts w:eastAsia="Calibri"/>
          <w:u w:val="single"/>
        </w:rPr>
        <w:t xml:space="preserve"> its own </w:t>
      </w:r>
      <w:r>
        <w:rPr>
          <w:rFonts w:eastAsia="Calibri"/>
          <w:highlight w:val="cyan"/>
          <w:u w:val="single"/>
        </w:rPr>
        <w:t>violence</w:t>
      </w:r>
      <w:r>
        <w:rPr>
          <w:rFonts w:eastAsia="Calibri"/>
          <w:u w:val="single"/>
        </w:rPr>
        <w:t>.</w:t>
      </w:r>
      <w:r>
        <w:rPr>
          <w:rFonts w:eastAsia="Calibri"/>
          <w:sz w:val="16"/>
          <w:szCs w:val="16"/>
        </w:rPr>
        <w:t xml:space="preserve"> In this context, the imperative is to move beyond idle words: a call to strike is a call to violence. This is the reason why such a call is regularly met with a violent reaction from the </w:t>
      </w:r>
      <w:proofErr w:type="gramStart"/>
      <w:r>
        <w:rPr>
          <w:rFonts w:eastAsia="Calibri"/>
          <w:sz w:val="16"/>
          <w:szCs w:val="16"/>
        </w:rPr>
        <w:t>state, because</w:t>
      </w:r>
      <w:proofErr w:type="gramEnd"/>
      <w:r>
        <w:rPr>
          <w:rFonts w:eastAsia="Calibri"/>
          <w:sz w:val="16"/>
          <w:szCs w:val="16"/>
        </w:rPr>
        <w:t xml:space="preserv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5C427F8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DF12CC"/>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12CC"/>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4936E"/>
  <w15:chartTrackingRefBased/>
  <w15:docId w15:val="{FA60EF06-477E-48A4-82B2-98B5F92E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12CC"/>
    <w:rPr>
      <w:rFonts w:ascii="Calibri" w:hAnsi="Calibri" w:cs="Calibri"/>
    </w:rPr>
  </w:style>
  <w:style w:type="paragraph" w:styleId="Heading1">
    <w:name w:val="heading 1"/>
    <w:aliases w:val="Pocket"/>
    <w:basedOn w:val="Normal"/>
    <w:next w:val="Normal"/>
    <w:link w:val="Heading1Char"/>
    <w:qFormat/>
    <w:rsid w:val="00DF12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12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12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DF12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12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2CC"/>
  </w:style>
  <w:style w:type="character" w:customStyle="1" w:styleId="Heading1Char">
    <w:name w:val="Heading 1 Char"/>
    <w:aliases w:val="Pocket Char"/>
    <w:basedOn w:val="DefaultParagraphFont"/>
    <w:link w:val="Heading1"/>
    <w:rsid w:val="00DF12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12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12C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DF12CC"/>
    <w:rPr>
      <w:rFonts w:ascii="Calibri" w:eastAsiaTheme="majorEastAsia" w:hAnsi="Calibri" w:cstheme="majorBidi"/>
      <w:b/>
      <w:iCs/>
      <w:sz w:val="26"/>
    </w:rPr>
  </w:style>
  <w:style w:type="character" w:styleId="Emphasis">
    <w:name w:val="Emphasis"/>
    <w:basedOn w:val="DefaultParagraphFont"/>
    <w:uiPriority w:val="7"/>
    <w:qFormat/>
    <w:rsid w:val="00DF12C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F12CC"/>
    <w:rPr>
      <w:b/>
      <w:bCs/>
      <w:sz w:val="26"/>
      <w:u w:val="none"/>
    </w:rPr>
  </w:style>
  <w:style w:type="character" w:customStyle="1" w:styleId="StyleUnderline">
    <w:name w:val="Style Underline"/>
    <w:aliases w:val="Underline"/>
    <w:basedOn w:val="DefaultParagraphFont"/>
    <w:uiPriority w:val="6"/>
    <w:qFormat/>
    <w:rsid w:val="00DF12C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F12CC"/>
    <w:rPr>
      <w:color w:val="auto"/>
      <w:u w:val="none"/>
    </w:rPr>
  </w:style>
  <w:style w:type="character" w:styleId="FollowedHyperlink">
    <w:name w:val="FollowedHyperlink"/>
    <w:basedOn w:val="DefaultParagraphFont"/>
    <w:uiPriority w:val="99"/>
    <w:semiHidden/>
    <w:unhideWhenUsed/>
    <w:rsid w:val="00DF12C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F12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DF12CC"/>
    <w:pPr>
      <w:spacing w:before="100" w:beforeAutospacing="1" w:after="100" w:afterAutospacing="1" w:line="240" w:lineRule="auto"/>
    </w:pPr>
    <w:rPr>
      <w:rFonts w:ascii="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2021-11-20T20:20:00Z</dcterms:created>
  <dcterms:modified xsi:type="dcterms:W3CDTF">2021-11-20T20:41:00Z</dcterms:modified>
</cp:coreProperties>
</file>