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F7C" w:rsidRDefault="002C3F7C" w:rsidP="002C3F7C">
      <w:pPr>
        <w:pStyle w:val="Heading2"/>
      </w:pPr>
      <w:bookmarkStart w:id="0" w:name="_GoBack"/>
      <w:r>
        <w:t>CP</w:t>
      </w:r>
    </w:p>
    <w:p w:rsidR="002C3F7C" w:rsidRDefault="002C3F7C" w:rsidP="002C3F7C">
      <w:pPr>
        <w:pStyle w:val="Heading4"/>
      </w:pPr>
      <w:r>
        <w:t>Counterplan text: A just government ought to recognize the unconditional right of workers to strike except for police officers.</w:t>
      </w:r>
    </w:p>
    <w:p w:rsidR="002C3F7C" w:rsidRDefault="002C3F7C" w:rsidP="002C3F7C">
      <w:pPr>
        <w:pStyle w:val="Heading4"/>
      </w:pPr>
      <w:r>
        <w:t>Police Strikes are used to combat racial progress and attempts to limit police power. Making them legal and easier only make progress much harder.</w:t>
      </w:r>
    </w:p>
    <w:p w:rsidR="002C3F7C" w:rsidRPr="00CC1109" w:rsidRDefault="002C3F7C" w:rsidP="002C3F7C">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2C3F7C" w:rsidRPr="00CC1109" w:rsidRDefault="002C3F7C" w:rsidP="002C3F7C">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5"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6"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2C3F7C" w:rsidRDefault="002C3F7C" w:rsidP="002C3F7C"/>
    <w:p w:rsidR="002C3F7C" w:rsidRDefault="002C3F7C" w:rsidP="002C3F7C">
      <w:pPr>
        <w:pStyle w:val="Heading4"/>
      </w:pPr>
      <w:r>
        <w:t>Those strikes cement a police culture which leads to endless amounts of racist violence and the bolstering of the prison industrial complex.</w:t>
      </w:r>
    </w:p>
    <w:p w:rsidR="002C3F7C" w:rsidRPr="00D47055" w:rsidRDefault="002C3F7C" w:rsidP="002C3F7C">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2C3F7C" w:rsidRDefault="002C3F7C" w:rsidP="002C3F7C">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(Peffley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w:t>
      </w:r>
      <w:r w:rsidRPr="00C16C31">
        <w:rPr>
          <w:sz w:val="14"/>
        </w:rPr>
        <w:t xml:space="preserve">result in Whites shooting or harming an AfricanAmerican based on criminal/racial stereotypes (Armour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(Gabiddon 2010). </w:t>
      </w:r>
      <w:r w:rsidRPr="00C16C31">
        <w:rPr>
          <w:rStyle w:val="StyleUnderline"/>
        </w:rPr>
        <w:t>Finally, African-American males represent a group</w:t>
      </w:r>
      <w:r w:rsidRPr="00942C0E">
        <w:rPr>
          <w:rStyle w:val="StyleUnderline"/>
        </w:rPr>
        <w:t xml:space="preserve">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(TomaskovicDevey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rsidR="002C3F7C" w:rsidRDefault="002C3F7C" w:rsidP="002C3F7C">
      <w:pPr>
        <w:pStyle w:val="Heading2"/>
      </w:pPr>
      <w:r>
        <w:t>CP</w:t>
      </w:r>
    </w:p>
    <w:p w:rsidR="002C3F7C" w:rsidRDefault="002C3F7C" w:rsidP="002C3F7C">
      <w:pPr>
        <w:pStyle w:val="Heading4"/>
        <w:shd w:val="clear" w:color="auto" w:fill="FFFFFF"/>
        <w:spacing w:line="278" w:lineRule="atLeast"/>
        <w:rPr>
          <w:sz w:val="24"/>
          <w:szCs w:val="24"/>
        </w:rPr>
      </w:pPr>
      <w:r>
        <w:rPr>
          <w:color w:val="222222"/>
          <w:szCs w:val="26"/>
        </w:rPr>
        <w:t xml:space="preserve">Counterplan Text: A just government ought to formally declare that customary international law compels not enforcing restrictions and/or conditions on strikes. </w:t>
      </w:r>
    </w:p>
    <w:p w:rsidR="002C3F7C" w:rsidRDefault="002C3F7C" w:rsidP="002C3F7C">
      <w:pPr>
        <w:pStyle w:val="Heading4"/>
        <w:shd w:val="clear" w:color="auto" w:fill="FFFFFF"/>
        <w:spacing w:line="278" w:lineRule="atLeast"/>
        <w:rPr>
          <w:color w:val="222222"/>
          <w:szCs w:val="26"/>
        </w:rPr>
      </w:pPr>
      <w:r>
        <w:rPr>
          <w:color w:val="222222"/>
          <w:szCs w:val="26"/>
        </w:rPr>
        <w:t>CP solves and avoids the net benefit. CIL is legally binding and enforceable.</w:t>
      </w:r>
    </w:p>
    <w:p w:rsidR="002C3F7C" w:rsidRDefault="002C3F7C" w:rsidP="002C3F7C">
      <w:pPr>
        <w:shd w:val="clear" w:color="auto" w:fill="FFFFFF"/>
        <w:spacing w:line="235" w:lineRule="atLeast"/>
        <w:rPr>
          <w:color w:val="222222"/>
        </w:rPr>
      </w:pPr>
      <w:r>
        <w:rPr>
          <w:b/>
          <w:bCs/>
          <w:color w:val="222222"/>
        </w:rPr>
        <w:t>Brudney 21</w:t>
      </w:r>
      <w:r>
        <w:rPr>
          <w:color w:val="222222"/>
        </w:rPr>
        <w:t> </w:t>
      </w:r>
      <w:r>
        <w:rPr>
          <w:color w:val="222222"/>
          <w:sz w:val="16"/>
          <w:szCs w:val="16"/>
        </w:rPr>
        <w:t>(Professor James J. Brudney is the Joseph Crowley Chair in Labor and Employment Law at Fordham Law School. Professor Brudney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Brudney is co-chair of the Public Review Board for the United Auto Workers International Union, and is a member of the Committee of Experts of the International Labor Organization “The Right to Strike as Customary International Law”. 2021.)</w:t>
      </w:r>
    </w:p>
    <w:p w:rsidR="002C3F7C" w:rsidRDefault="002C3F7C" w:rsidP="002C3F7C">
      <w:pPr>
        <w:shd w:val="clear" w:color="auto" w:fill="FFFFFF"/>
        <w:spacing w:line="235" w:lineRule="atLeast"/>
        <w:rPr>
          <w:color w:val="222222"/>
        </w:rPr>
      </w:pPr>
      <w:r>
        <w:rPr>
          <w:color w:val="222222"/>
          <w:sz w:val="16"/>
          <w:szCs w:val="16"/>
        </w:rPr>
        <w:t>This Article pursues a different path. Using international labor and human rights doctrine, it analyzes </w:t>
      </w:r>
      <w:r>
        <w:rPr>
          <w:b/>
          <w:bCs/>
          <w:color w:val="222222"/>
          <w:u w:val="single"/>
          <w:shd w:val="clear" w:color="auto" w:fill="00FF00"/>
        </w:rPr>
        <w:t>the right to strike</w:t>
      </w:r>
      <w:r>
        <w:rPr>
          <w:color w:val="222222"/>
          <w:sz w:val="16"/>
          <w:szCs w:val="16"/>
        </w:rPr>
        <w:t> as an integral element of freedom of association among workers, and concludes that this right </w:t>
      </w:r>
      <w:r>
        <w:rPr>
          <w:b/>
          <w:bCs/>
          <w:color w:val="222222"/>
          <w:u w:val="single"/>
          <w:shd w:val="clear" w:color="auto" w:fill="00FF00"/>
        </w:rPr>
        <w:t>has achieved the status of customary international law</w:t>
      </w:r>
      <w:r>
        <w:rPr>
          <w:color w:val="222222"/>
          <w:sz w:val="16"/>
          <w:szCs w:val="16"/>
        </w:rPr>
        <w:t> (CIL). It then explores possible ways to incorporate such an international right in the U.S. context, recognizing certain very real jurisdictional and remedial challenges. Recourse to international law sources has garnered support from several current and recent justices, 10 but the tide may be ebbing. Given evidence of contemporary Supreme Court reluctance to accept developments in international human rights law asserted by foreign nationals as U.S. federal law,11 or to refer to foreign constitutions when interpreting federal constitutional rights,12 the arguments developed here may be discounted by some readers as more of an aspiration than a practical possibility. There are several reasons, however, to look past this position. For a start, </w:t>
      </w:r>
      <w:r>
        <w:rPr>
          <w:b/>
          <w:bCs/>
          <w:color w:val="222222"/>
          <w:u w:val="single"/>
          <w:shd w:val="clear" w:color="auto" w:fill="00FF00"/>
        </w:rPr>
        <w:t>establishing the right to strike as CIL is an important development in itself,</w:t>
      </w:r>
      <w:r>
        <w:rPr>
          <w:color w:val="222222"/>
          <w:sz w:val="16"/>
          <w:szCs w:val="16"/>
        </w:rPr>
        <w:t> beyond as well as within the U.S. judicial context. Because CIL has long been an incorporated source of English common law upon which courts may draw as required, 13 the international right to strike may be applicable in British and related common law settings. Moreover, </w:t>
      </w:r>
      <w:r>
        <w:rPr>
          <w:b/>
          <w:bCs/>
          <w:color w:val="222222"/>
          <w:u w:val="single"/>
          <w:shd w:val="clear" w:color="auto" w:fill="00FF00"/>
        </w:rPr>
        <w:t>state courts have invoked CIL</w:t>
      </w:r>
      <w:r>
        <w:rPr>
          <w:color w:val="222222"/>
          <w:sz w:val="16"/>
          <w:szCs w:val="16"/>
        </w:rPr>
        <w:t> </w:t>
      </w:r>
      <w:r>
        <w:rPr>
          <w:b/>
          <w:bCs/>
          <w:color w:val="222222"/>
          <w:u w:val="single"/>
          <w:shd w:val="clear" w:color="auto" w:fill="00FF00"/>
        </w:rPr>
        <w:t>when relevant to resolving disputes under their own laws</w:t>
      </w:r>
      <w:r>
        <w:rPr>
          <w:color w:val="222222"/>
          <w:sz w:val="16"/>
          <w:szCs w:val="16"/>
        </w:rPr>
        <w:t>, 14 </w:t>
      </w:r>
      <w:r>
        <w:rPr>
          <w:b/>
          <w:bCs/>
          <w:color w:val="222222"/>
          <w:u w:val="single"/>
          <w:shd w:val="clear" w:color="auto" w:fill="00FF00"/>
        </w:rPr>
        <w:t>and</w:t>
      </w:r>
      <w:r>
        <w:rPr>
          <w:color w:val="222222"/>
          <w:sz w:val="16"/>
          <w:szCs w:val="16"/>
        </w:rPr>
        <w:t> they </w:t>
      </w:r>
      <w:r>
        <w:rPr>
          <w:b/>
          <w:bCs/>
          <w:color w:val="222222"/>
          <w:u w:val="single"/>
          <w:shd w:val="clear" w:color="auto" w:fill="00FF00"/>
        </w:rPr>
        <w:t>may choose to apply this</w:t>
      </w:r>
      <w:r>
        <w:rPr>
          <w:color w:val="222222"/>
          <w:sz w:val="16"/>
          <w:szCs w:val="16"/>
        </w:rPr>
        <w:t> international </w:t>
      </w:r>
      <w:r>
        <w:rPr>
          <w:b/>
          <w:bCs/>
          <w:color w:val="222222"/>
          <w:u w:val="single"/>
          <w:shd w:val="clear" w:color="auto" w:fill="00FF00"/>
        </w:rPr>
        <w:t>right to reconsider the restrictions imposed on strikes under state statutes</w:t>
      </w:r>
      <w:r>
        <w:rPr>
          <w:color w:val="222222"/>
          <w:sz w:val="16"/>
          <w:szCs w:val="16"/>
        </w:rPr>
        <w:t>. Additionally, </w:t>
      </w:r>
      <w:r>
        <w:rPr>
          <w:b/>
          <w:bCs/>
          <w:color w:val="222222"/>
          <w:u w:val="single"/>
          <w:shd w:val="clear" w:color="auto" w:fill="00FF00"/>
        </w:rPr>
        <w:t>worker movements in this country may make use of CIL as part of their vocabulary to defend the legality of strikes outside the courtroom</w:t>
      </w:r>
      <w:r>
        <w:rPr>
          <w:color w:val="222222"/>
          <w:sz w:val="16"/>
          <w:szCs w:val="16"/>
        </w:rPr>
        <w:t>.15 Although the Supreme Court as currently constituted appears skeptical of CIL applications in a foreign affairs context, it has considered international human rights law relevant to domestic legal challenges in relatively recent times.16 In this regard, commentators and judges have long invoked CIL or its antecedent “law of nations” in aspirational as well as pragmatic terms. On diverse matters such as slave trading and slavery, reasonable and proportionate forms of criminal punishment, and the right to a healthy environment, international human rights doctrine has been deemed applicable even when U.S. laws and courts seemed inhospitable to recognizing relevant legal protections. 17 In what follows, the Article addresses four distinct questions. The first question involves the contents and contours of the right to strike as recognized under international instruments. The </w:t>
      </w:r>
      <w:r>
        <w:rPr>
          <w:b/>
          <w:bCs/>
          <w:color w:val="222222"/>
          <w:u w:val="single"/>
          <w:shd w:val="clear" w:color="auto" w:fill="00FF00"/>
        </w:rPr>
        <w:t>international right is embedded within two widely endorsed U</w:t>
      </w:r>
      <w:r>
        <w:rPr>
          <w:color w:val="222222"/>
          <w:sz w:val="16"/>
          <w:szCs w:val="16"/>
        </w:rPr>
        <w:t>nited </w:t>
      </w:r>
      <w:r>
        <w:rPr>
          <w:b/>
          <w:bCs/>
          <w:color w:val="222222"/>
          <w:u w:val="single"/>
          <w:shd w:val="clear" w:color="auto" w:fill="00FF00"/>
        </w:rPr>
        <w:t>N</w:t>
      </w:r>
      <w:r>
        <w:rPr>
          <w:color w:val="222222"/>
          <w:sz w:val="16"/>
          <w:szCs w:val="16"/>
        </w:rPr>
        <w:t>ations </w:t>
      </w:r>
      <w:r>
        <w:rPr>
          <w:b/>
          <w:bCs/>
          <w:color w:val="222222"/>
          <w:u w:val="single"/>
          <w:shd w:val="clear" w:color="auto" w:fill="00FF00"/>
        </w:rPr>
        <w:t>human rights treaties,</w:t>
      </w:r>
      <w:r>
        <w:rPr>
          <w:color w:val="222222"/>
          <w:sz w:val="16"/>
          <w:szCs w:val="16"/>
        </w:rPr>
        <w:t>18 </w:t>
      </w:r>
      <w:r>
        <w:rPr>
          <w:b/>
          <w:bCs/>
          <w:color w:val="222222"/>
          <w:u w:val="single"/>
          <w:shd w:val="clear" w:color="auto" w:fill="00FF00"/>
        </w:rPr>
        <w:t>and was recently reaffirmed by the human rights committees responsible for monitoring implementation of those treaties</w:t>
      </w:r>
      <w:r>
        <w:rPr>
          <w:color w:val="222222"/>
          <w:sz w:val="16"/>
          <w:szCs w:val="16"/>
        </w:rPr>
        <w:t>19 </w:t>
      </w:r>
      <w:r>
        <w:rPr>
          <w:b/>
          <w:bCs/>
          <w:color w:val="222222"/>
          <w:u w:val="single"/>
          <w:shd w:val="clear" w:color="auto" w:fill="00FF00"/>
        </w:rPr>
        <w:t>It is set</w:t>
      </w:r>
      <w:r>
        <w:rPr>
          <w:color w:val="222222"/>
          <w:sz w:val="16"/>
          <w:szCs w:val="16"/>
        </w:rPr>
        <w:t> forth </w:t>
      </w:r>
      <w:r>
        <w:rPr>
          <w:b/>
          <w:bCs/>
          <w:color w:val="222222"/>
          <w:u w:val="single"/>
          <w:shd w:val="clear" w:color="auto" w:fill="00FF00"/>
        </w:rPr>
        <w:t>in</w:t>
      </w:r>
      <w:r>
        <w:rPr>
          <w:color w:val="222222"/>
          <w:sz w:val="16"/>
          <w:szCs w:val="16"/>
        </w:rPr>
        <w:t> more </w:t>
      </w:r>
      <w:r>
        <w:rPr>
          <w:b/>
          <w:bCs/>
          <w:color w:val="222222"/>
          <w:u w:val="single"/>
          <w:shd w:val="clear" w:color="auto" w:fill="00FF00"/>
        </w:rPr>
        <w:t>precise and detailed terms</w:t>
      </w:r>
      <w:r>
        <w:rPr>
          <w:color w:val="222222"/>
          <w:sz w:val="16"/>
          <w:szCs w:val="16"/>
        </w:rPr>
        <w:t> pursuant to Convention 87 of the International Labor Organization (ILO) addressing freedom of association (FOA), and the interpretations given to that convention by ILO supervisory bodies. Notwithstanding recent objections from employers’ groups, the right is recognized by the overwhelming majority of governments that have ratified Convention 87 as being an integral part of the Convention. In this regard, there is an established ILO jurisprudence on the right to strike, developed by two of its key supervisory committees—the independent Committee of Experts (CEACR), and the tripartite Committee on Freedom of Association (CFA),20 and reinforced by observations from the two UN human rights committees. 21 The Article summarizes this jurisprudence and describes how protections for the international right exceed U.S. protections for the right to strike in two key areas. </w:t>
      </w:r>
      <w:r>
        <w:rPr>
          <w:b/>
          <w:bCs/>
          <w:color w:val="222222"/>
          <w:u w:val="single"/>
          <w:shd w:val="clear" w:color="auto" w:fill="00FF00"/>
        </w:rPr>
        <w:t>The international law</w:t>
      </w:r>
      <w:r>
        <w:rPr>
          <w:color w:val="222222"/>
          <w:sz w:val="16"/>
          <w:szCs w:val="16"/>
        </w:rPr>
        <w:t> </w:t>
      </w:r>
      <w:r>
        <w:rPr>
          <w:b/>
          <w:bCs/>
          <w:color w:val="222222"/>
          <w:u w:val="single"/>
          <w:shd w:val="clear" w:color="auto" w:fill="00FF00"/>
        </w:rPr>
        <w:t>prohibit</w:t>
      </w:r>
      <w:r>
        <w:rPr>
          <w:color w:val="222222"/>
          <w:sz w:val="16"/>
          <w:szCs w:val="16"/>
        </w:rPr>
        <w:t>ion on </w:t>
      </w:r>
      <w:r>
        <w:rPr>
          <w:b/>
          <w:bCs/>
          <w:color w:val="222222"/>
          <w:u w:val="single"/>
          <w:shd w:val="clear" w:color="auto" w:fill="00FF00"/>
        </w:rPr>
        <w:t>private employers’ ability to permanently replace</w:t>
      </w:r>
      <w:r>
        <w:rPr>
          <w:color w:val="222222"/>
          <w:sz w:val="16"/>
          <w:szCs w:val="16"/>
        </w:rPr>
        <w:t> lawfully </w:t>
      </w:r>
      <w:r>
        <w:rPr>
          <w:b/>
          <w:bCs/>
          <w:color w:val="222222"/>
          <w:u w:val="single"/>
          <w:shd w:val="clear" w:color="auto" w:fill="00FF00"/>
        </w:rPr>
        <w:t>striking workers</w:t>
      </w:r>
      <w:r>
        <w:rPr>
          <w:color w:val="222222"/>
          <w:sz w:val="16"/>
          <w:szCs w:val="16"/>
        </w:rPr>
        <w:t> conflicts with Supreme Court precedent construing the National Labor Relations Act (NLRA). 22 And the international law protection for public employee strikes with only limited exceptions conflicts with the NLRA’s allowing states to prohibit all strikes by their employees. At the same time, the international right is hardly untethered: it includes a range of exceptions and limitations that constrain its scope in certain ways when compared with U.S. statutory law. The second question is whether this international right to strike qualifies as CIL. The Article contends that it does, based on the existence of widespread State practice in which ratification or conformity reflects opinio juris, a genuine sense of obligation under international law. In addition to Convention 87 having been ratified by more than 80 percent of ILO Member States, the right to strike as an integral part of FOA is an element in broader ILO documents that obligate all countries, including those like the U.S. that have not ratified the Convention.23 Relatedly, the right is recognized through the two previously mentioned U.N. Covenants whose language expressly incorporates the guarantees provided for in Convention 87. </w:t>
      </w:r>
      <w:r>
        <w:rPr>
          <w:b/>
          <w:bCs/>
          <w:color w:val="222222"/>
          <w:u w:val="single"/>
          <w:shd w:val="clear" w:color="auto" w:fill="00FF00"/>
        </w:rPr>
        <w:t>The right is further established in prominent decisions from transnational courts, and in domestic legal frameworks around the world</w:t>
      </w:r>
      <w:r>
        <w:rPr>
          <w:color w:val="222222"/>
          <w:sz w:val="16"/>
          <w:szCs w:val="16"/>
        </w:rPr>
        <w:t> (constitutions, statutes, and high court decisions), reinforcing the argument that widespread respect from governments is based on a sense of legal obligation. Further, the broad-based evidence from domestic legal frameworks indicates that ratification reflects not simply formal commitment but active compliance by governments. Application of the international right to strike recognizes variations in nationally-specific approaches. However, the two key areas in which U.S. law deviates from the international right—approving permanent replacements for lawful strikers and allowing the prohibition of all public employee strikes—are central elements of the right itself, rather than more marginal aspects subject to national circumstances. Finally, notwithstanding that U.S. statutory protections for strikes deviate from international standards in these two areas, respect for the international right is reflected in legislation enacted by Congress in recent decades, and by executive action indicating the express understanding of the Obama and Trump Administrations that the right to strike is an integral part of FOA.24</w:t>
      </w:r>
    </w:p>
    <w:p w:rsidR="002C3F7C" w:rsidRDefault="002C3F7C" w:rsidP="002C3F7C">
      <w:pPr>
        <w:rPr>
          <w:sz w:val="24"/>
          <w:szCs w:val="24"/>
        </w:rPr>
      </w:pPr>
      <w:r>
        <w:rPr>
          <w:rFonts w:ascii="Arial" w:hAnsi="Arial" w:cs="Arial"/>
          <w:color w:val="222222"/>
          <w:shd w:val="clear" w:color="auto" w:fill="FFFFFF"/>
        </w:rPr>
        <w:t>   </w:t>
      </w:r>
    </w:p>
    <w:p w:rsidR="002C3F7C" w:rsidRDefault="002C3F7C" w:rsidP="002C3F7C">
      <w:pPr>
        <w:pStyle w:val="Heading4"/>
        <w:shd w:val="clear" w:color="auto" w:fill="FFFFFF"/>
        <w:spacing w:line="278" w:lineRule="atLeast"/>
        <w:rPr>
          <w:color w:val="222222"/>
          <w:szCs w:val="26"/>
        </w:rPr>
      </w:pPr>
      <w:r>
        <w:rPr>
          <w:color w:val="222222"/>
          <w:szCs w:val="26"/>
        </w:rPr>
        <w:t>Spurs and advances workers movements globally.</w:t>
      </w:r>
    </w:p>
    <w:p w:rsidR="002C3F7C" w:rsidRDefault="002C3F7C" w:rsidP="002C3F7C">
      <w:pPr>
        <w:shd w:val="clear" w:color="auto" w:fill="FFFFFF"/>
        <w:spacing w:line="235" w:lineRule="atLeast"/>
        <w:rPr>
          <w:color w:val="222222"/>
        </w:rPr>
      </w:pPr>
      <w:r>
        <w:rPr>
          <w:b/>
          <w:bCs/>
          <w:color w:val="222222"/>
        </w:rPr>
        <w:t>Brudney 21</w:t>
      </w:r>
      <w:r>
        <w:rPr>
          <w:color w:val="222222"/>
        </w:rPr>
        <w:t> </w:t>
      </w:r>
      <w:r>
        <w:rPr>
          <w:color w:val="222222"/>
          <w:sz w:val="16"/>
          <w:szCs w:val="16"/>
        </w:rPr>
        <w:t>(Professor James J. Brudney is the Joseph Crowley Chair in Labor and Employment Law at Fordham Law School. Professor Brudney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Brudney is co-chair of the Public Review Board for the United Auto Workers International Union, and is a member of the Committee of Experts of the International Labor Organization “The Right to Strike as Customary International Law”. 2021.)</w:t>
      </w:r>
    </w:p>
    <w:p w:rsidR="002C3F7C" w:rsidRDefault="002C3F7C" w:rsidP="002C3F7C">
      <w:pPr>
        <w:shd w:val="clear" w:color="auto" w:fill="FFFFFF"/>
        <w:spacing w:line="235" w:lineRule="atLeast"/>
        <w:rPr>
          <w:color w:val="222222"/>
        </w:rPr>
      </w:pPr>
      <w:r>
        <w:rPr>
          <w:b/>
          <w:bCs/>
          <w:color w:val="222222"/>
          <w:u w:val="single"/>
          <w:shd w:val="clear" w:color="auto" w:fill="00FF00"/>
        </w:rPr>
        <w:t>Application of CIL on behalf of U.S. workers</w:t>
      </w:r>
      <w:r>
        <w:rPr>
          <w:color w:val="222222"/>
          <w:sz w:val="16"/>
          <w:szCs w:val="16"/>
        </w:rPr>
        <w:t> in domestic courts faces distinct challenges. The Article has examined these challenges and proposed ways in which they may be countered if not overcome. In the short-term, the challenges may seem too large in light of jurisdictional and procedural hurdles, linked in many ways to the Supreme Court’s current reluctance to accept international human rights law in a federal court setting. Nonetheless, the exploration of this international right remains important for a number of reasons. A common law right to strike </w:t>
      </w:r>
      <w:r>
        <w:rPr>
          <w:b/>
          <w:bCs/>
          <w:color w:val="222222"/>
          <w:u w:val="single"/>
          <w:shd w:val="clear" w:color="auto" w:fill="00FF00"/>
        </w:rPr>
        <w:t>may open doors to litigation for public employees</w:t>
      </w:r>
      <w:r>
        <w:rPr>
          <w:color w:val="222222"/>
          <w:sz w:val="16"/>
          <w:szCs w:val="16"/>
        </w:rPr>
        <w:t> in states that are more hospitable to recognizing CIL than the current majority of justices. </w:t>
      </w:r>
      <w:r>
        <w:rPr>
          <w:b/>
          <w:bCs/>
          <w:color w:val="222222"/>
          <w:u w:val="single"/>
          <w:shd w:val="clear" w:color="auto" w:fill="00FF00"/>
        </w:rPr>
        <w:t>The right also may have immediate utility for American workers seeking a persuasive language in which to justify their growing interest in strike activities</w:t>
      </w:r>
      <w:r>
        <w:rPr>
          <w:color w:val="222222"/>
          <w:sz w:val="16"/>
          <w:szCs w:val="16"/>
        </w:rPr>
        <w:t>. Further, given that the Court in its relatively recent past has recognized the relevance of international human rights law, there is reason to believe that it may do so again—in which case this in-depth analysis of how one significant human right has been advanced and applied in other countries may well be of value. </w:t>
      </w:r>
      <w:r>
        <w:rPr>
          <w:b/>
          <w:bCs/>
          <w:color w:val="222222"/>
          <w:u w:val="single"/>
          <w:shd w:val="clear" w:color="auto" w:fill="00FF00"/>
        </w:rPr>
        <w:t>Finally, arguments stemming from the right to strike under international law are sure to have ongoing resonance beyond U.S. borders, as the right continues to be developed and debated on the global stage.</w:t>
      </w:r>
    </w:p>
    <w:p w:rsidR="002C3F7C" w:rsidRDefault="002C3F7C" w:rsidP="002C3F7C">
      <w:pPr>
        <w:pStyle w:val="Heading4"/>
        <w:shd w:val="clear" w:color="auto" w:fill="FFFFFF"/>
        <w:spacing w:line="278" w:lineRule="atLeast"/>
        <w:rPr>
          <w:color w:val="222222"/>
          <w:szCs w:val="26"/>
        </w:rPr>
      </w:pPr>
      <w:r>
        <w:rPr>
          <w:color w:val="222222"/>
          <w:szCs w:val="26"/>
        </w:rPr>
        <w:t>CIL is critical to solve climate change threats. Relying only on treaty commitments fails.</w:t>
      </w:r>
    </w:p>
    <w:p w:rsidR="002C3F7C" w:rsidRDefault="002C3F7C" w:rsidP="002C3F7C">
      <w:pPr>
        <w:shd w:val="clear" w:color="auto" w:fill="FFFFFF"/>
        <w:spacing w:line="235" w:lineRule="atLeast"/>
        <w:rPr>
          <w:color w:val="222222"/>
        </w:rPr>
      </w:pPr>
      <w:r>
        <w:rPr>
          <w:b/>
          <w:bCs/>
          <w:color w:val="222222"/>
        </w:rPr>
        <w:t>Clark 18</w:t>
      </w:r>
      <w:r>
        <w:rPr>
          <w:color w:val="222222"/>
        </w:rPr>
        <w:t> </w:t>
      </w:r>
      <w:r>
        <w:rPr>
          <w:color w:val="222222"/>
          <w:sz w:val="16"/>
          <w:szCs w:val="16"/>
        </w:rPr>
        <w:t>(Kayla Clark is a lawyer at Morgan Lewis. Education: University of Notre Dame Law School, 2018, J.D. California Polytechnic State University, 2015, B.A. “The Paris Agreement: Its Role in International Law and American Jurisprudence”. 5-10-2018.)</w:t>
      </w:r>
    </w:p>
    <w:p w:rsidR="002C3F7C" w:rsidRDefault="002C3F7C" w:rsidP="002C3F7C">
      <w:pPr>
        <w:shd w:val="clear" w:color="auto" w:fill="FFFFFF"/>
        <w:spacing w:line="235" w:lineRule="atLeast"/>
        <w:rPr>
          <w:color w:val="222222"/>
        </w:rPr>
      </w:pPr>
      <w:r>
        <w:rPr>
          <w:color w:val="222222"/>
          <w:sz w:val="16"/>
          <w:szCs w:val="16"/>
        </w:rPr>
        <w:t>Moreover, the long-term nature of the Paris Agreement has the additional benefit of potentially creating </w:t>
      </w:r>
      <w:r>
        <w:rPr>
          <w:b/>
          <w:bCs/>
          <w:color w:val="222222"/>
          <w:u w:val="single"/>
          <w:shd w:val="clear" w:color="auto" w:fill="00FF00"/>
        </w:rPr>
        <w:t>c</w:t>
      </w:r>
      <w:r>
        <w:rPr>
          <w:color w:val="222222"/>
          <w:sz w:val="16"/>
          <w:szCs w:val="16"/>
        </w:rPr>
        <w:t>ustomary </w:t>
      </w:r>
      <w:r>
        <w:rPr>
          <w:b/>
          <w:bCs/>
          <w:color w:val="222222"/>
          <w:u w:val="single"/>
          <w:shd w:val="clear" w:color="auto" w:fill="00FF00"/>
        </w:rPr>
        <w:t>i</w:t>
      </w:r>
      <w:r>
        <w:rPr>
          <w:color w:val="222222"/>
          <w:sz w:val="16"/>
          <w:szCs w:val="16"/>
        </w:rPr>
        <w:t>nternational </w:t>
      </w:r>
      <w:r>
        <w:rPr>
          <w:b/>
          <w:bCs/>
          <w:color w:val="222222"/>
          <w:u w:val="single"/>
          <w:shd w:val="clear" w:color="auto" w:fill="00FF00"/>
        </w:rPr>
        <w:t>l</w:t>
      </w:r>
      <w:r>
        <w:rPr>
          <w:color w:val="222222"/>
          <w:sz w:val="16"/>
          <w:szCs w:val="16"/>
        </w:rPr>
        <w:t>aw </w:t>
      </w:r>
      <w:r>
        <w:rPr>
          <w:b/>
          <w:bCs/>
          <w:color w:val="222222"/>
          <w:u w:val="single"/>
          <w:shd w:val="clear" w:color="auto" w:fill="00FF00"/>
        </w:rPr>
        <w:t>regarding</w:t>
      </w:r>
      <w:r>
        <w:rPr>
          <w:color w:val="222222"/>
          <w:sz w:val="16"/>
          <w:szCs w:val="16"/>
        </w:rPr>
        <w:t> international </w:t>
      </w:r>
      <w:r>
        <w:rPr>
          <w:b/>
          <w:bCs/>
          <w:color w:val="222222"/>
          <w:u w:val="single"/>
          <w:shd w:val="clear" w:color="auto" w:fill="00FF00"/>
        </w:rPr>
        <w:t>environmental norms</w:t>
      </w:r>
      <w:r>
        <w:rPr>
          <w:color w:val="222222"/>
          <w:sz w:val="16"/>
          <w:szCs w:val="16"/>
        </w:rPr>
        <w:t> and development. Customary international law, </w:t>
      </w:r>
      <w:r>
        <w:rPr>
          <w:b/>
          <w:bCs/>
          <w:color w:val="222222"/>
          <w:u w:val="single"/>
          <w:shd w:val="clear" w:color="auto" w:fill="00FF00"/>
        </w:rPr>
        <w:t>recognized to be legally binding</w:t>
      </w:r>
      <w:r>
        <w:rPr>
          <w:color w:val="222222"/>
          <w:sz w:val="16"/>
          <w:szCs w:val="16"/>
        </w:rPr>
        <w:t> on participating nations,65 </w:t>
      </w:r>
      <w:r>
        <w:rPr>
          <w:b/>
          <w:bCs/>
          <w:color w:val="222222"/>
          <w:u w:val="single"/>
          <w:shd w:val="clear" w:color="auto" w:fill="00FF00"/>
        </w:rPr>
        <w:t>can</w:t>
      </w:r>
      <w:r>
        <w:rPr>
          <w:color w:val="222222"/>
          <w:sz w:val="16"/>
          <w:szCs w:val="16"/>
        </w:rPr>
        <w:t> be shaped when a custom, such as a commitment to </w:t>
      </w:r>
      <w:r>
        <w:rPr>
          <w:b/>
          <w:bCs/>
          <w:color w:val="222222"/>
          <w:u w:val="single"/>
          <w:shd w:val="clear" w:color="auto" w:fill="00FF00"/>
        </w:rPr>
        <w:t>consistently reduce</w:t>
      </w:r>
      <w:r>
        <w:rPr>
          <w:color w:val="222222"/>
          <w:sz w:val="16"/>
          <w:szCs w:val="16"/>
        </w:rPr>
        <w:t> greenhouse gas </w:t>
      </w:r>
      <w:r>
        <w:rPr>
          <w:b/>
          <w:bCs/>
          <w:color w:val="222222"/>
          <w:u w:val="single"/>
          <w:shd w:val="clear" w:color="auto" w:fill="00FF00"/>
        </w:rPr>
        <w:t>emissions</w:t>
      </w:r>
      <w:r>
        <w:rPr>
          <w:color w:val="222222"/>
          <w:sz w:val="16"/>
          <w:szCs w:val="16"/>
        </w:rPr>
        <w:t>,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Pr>
          <w:b/>
          <w:bCs/>
          <w:color w:val="222222"/>
          <w:u w:val="single"/>
          <w:shd w:val="clear" w:color="auto" w:fill="00FF00"/>
        </w:rPr>
        <w:t>c</w:t>
      </w:r>
      <w:r>
        <w:rPr>
          <w:color w:val="222222"/>
          <w:sz w:val="16"/>
          <w:szCs w:val="16"/>
        </w:rPr>
        <w:t>ustomary </w:t>
      </w:r>
      <w:r>
        <w:rPr>
          <w:b/>
          <w:bCs/>
          <w:color w:val="222222"/>
          <w:u w:val="single"/>
          <w:shd w:val="clear" w:color="auto" w:fill="00FF00"/>
        </w:rPr>
        <w:t>i</w:t>
      </w:r>
      <w:r>
        <w:rPr>
          <w:color w:val="222222"/>
          <w:sz w:val="16"/>
          <w:szCs w:val="16"/>
        </w:rPr>
        <w:t>nternational </w:t>
      </w:r>
      <w:r>
        <w:rPr>
          <w:b/>
          <w:bCs/>
          <w:color w:val="222222"/>
          <w:u w:val="single"/>
          <w:shd w:val="clear" w:color="auto" w:fill="00FF00"/>
        </w:rPr>
        <w:t>l</w:t>
      </w:r>
      <w:r>
        <w:rPr>
          <w:color w:val="222222"/>
          <w:sz w:val="16"/>
          <w:szCs w:val="16"/>
        </w:rPr>
        <w:t>aw, then the Paris Agreement </w:t>
      </w:r>
      <w:r>
        <w:rPr>
          <w:b/>
          <w:bCs/>
          <w:color w:val="222222"/>
          <w:u w:val="single"/>
          <w:shd w:val="clear" w:color="auto" w:fill="00FF00"/>
        </w:rPr>
        <w:t>stands a credible chance at recognition beyond the limits of</w:t>
      </w:r>
      <w:r>
        <w:rPr>
          <w:color w:val="222222"/>
          <w:sz w:val="16"/>
          <w:szCs w:val="16"/>
        </w:rPr>
        <w:t> the </w:t>
      </w:r>
      <w:r>
        <w:rPr>
          <w:b/>
          <w:bCs/>
          <w:color w:val="222222"/>
          <w:u w:val="single"/>
          <w:shd w:val="clear" w:color="auto" w:fill="00FF00"/>
        </w:rPr>
        <w:t>treaty</w:t>
      </w:r>
      <w:r>
        <w:rPr>
          <w:color w:val="222222"/>
          <w:sz w:val="16"/>
          <w:szCs w:val="16"/>
        </w:rPr>
        <w:t>’s </w:t>
      </w:r>
      <w:r>
        <w:rPr>
          <w:b/>
          <w:bCs/>
          <w:color w:val="222222"/>
          <w:u w:val="single"/>
          <w:shd w:val="clear" w:color="auto" w:fill="00FF00"/>
        </w:rPr>
        <w:t>text.</w:t>
      </w:r>
      <w:r>
        <w:rPr>
          <w:color w:val="222222"/>
          <w:sz w:val="16"/>
          <w:szCs w:val="16"/>
        </w:rPr>
        <w:t>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Pr>
          <w:b/>
          <w:bCs/>
          <w:color w:val="222222"/>
          <w:u w:val="single"/>
          <w:shd w:val="clear" w:color="auto" w:fill="00FF00"/>
        </w:rPr>
        <w:t>Under</w:t>
      </w:r>
      <w:r>
        <w:rPr>
          <w:color w:val="222222"/>
          <w:sz w:val="16"/>
          <w:szCs w:val="16"/>
        </w:rPr>
        <w:t> Paris, “[s]tates thus choose their level of ambition subject to two requirements, namely the regular updating––at least every five years . . . and </w:t>
      </w:r>
      <w:r>
        <w:rPr>
          <w:b/>
          <w:bCs/>
          <w:color w:val="222222"/>
          <w:u w:val="single"/>
          <w:shd w:val="clear" w:color="auto" w:fill="00FF00"/>
        </w:rPr>
        <w:t>a</w:t>
      </w:r>
      <w:r>
        <w:rPr>
          <w:color w:val="222222"/>
          <w:sz w:val="16"/>
          <w:szCs w:val="16"/>
        </w:rPr>
        <w:t>n obligation of non-regression . . . .”70 The Paris Agreement’s </w:t>
      </w:r>
      <w:r>
        <w:rPr>
          <w:b/>
          <w:bCs/>
          <w:color w:val="222222"/>
          <w:u w:val="single"/>
          <w:shd w:val="clear" w:color="auto" w:fill="00FF00"/>
        </w:rPr>
        <w:t>voluntary contribution scheme</w:t>
      </w:r>
      <w:r>
        <w:rPr>
          <w:color w:val="222222"/>
          <w:sz w:val="16"/>
          <w:szCs w:val="16"/>
        </w:rPr>
        <w:t>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Pr>
          <w:b/>
          <w:bCs/>
          <w:color w:val="222222"/>
          <w:u w:val="single"/>
          <w:shd w:val="clear" w:color="auto" w:fill="00FF00"/>
        </w:rPr>
        <w:t>countries like China or India cannot shirk participation merely because of their developing status</w:t>
      </w:r>
      <w:r>
        <w:rPr>
          <w:color w:val="222222"/>
          <w:sz w:val="16"/>
          <w:szCs w:val="16"/>
        </w:rPr>
        <w:t>.73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Pr>
          <w:b/>
          <w:bCs/>
          <w:color w:val="222222"/>
          <w:u w:val="single"/>
          <w:shd w:val="clear" w:color="auto" w:fill="00FF00"/>
        </w:rPr>
        <w:t>i</w:t>
      </w:r>
      <w:r>
        <w:rPr>
          <w:color w:val="222222"/>
          <w:sz w:val="16"/>
          <w:szCs w:val="16"/>
        </w:rPr>
        <w:t>nternational </w:t>
      </w:r>
      <w:r>
        <w:rPr>
          <w:b/>
          <w:bCs/>
          <w:color w:val="222222"/>
          <w:u w:val="single"/>
          <w:shd w:val="clear" w:color="auto" w:fill="00FF00"/>
        </w:rPr>
        <w:t>law</w:t>
      </w:r>
      <w:r>
        <w:rPr>
          <w:color w:val="222222"/>
          <w:sz w:val="16"/>
          <w:szCs w:val="16"/>
        </w:rPr>
        <w:t>, the Paris Agreement hopes to use both official and unofficial sources of pressure in its information-based enforcement. As Falkner writes, the Paris Agreement </w:t>
      </w:r>
      <w:r>
        <w:rPr>
          <w:b/>
          <w:bCs/>
          <w:color w:val="222222"/>
          <w:u w:val="single"/>
          <w:shd w:val="clear" w:color="auto" w:fill="00FF00"/>
        </w:rPr>
        <w:t>relies on a “two-level game” logic that unites domestic climate politics with strategic international interaction</w:t>
      </w:r>
      <w:r>
        <w:rPr>
          <w:color w:val="222222"/>
          <w:sz w:val="16"/>
          <w:szCs w:val="16"/>
        </w:rPr>
        <w:t>.76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Pr>
          <w:b/>
          <w:bCs/>
          <w:color w:val="222222"/>
          <w:u w:val="single"/>
          <w:shd w:val="clear" w:color="auto" w:fill="00FF00"/>
        </w:rPr>
        <w:t>The peer pressure function should work effectively</w:t>
      </w:r>
      <w:r>
        <w:rPr>
          <w:b/>
          <w:bCs/>
          <w:color w:val="222222"/>
          <w:u w:val="single"/>
        </w:rPr>
        <w:t> </w:t>
      </w:r>
      <w:r>
        <w:rPr>
          <w:color w:val="222222"/>
          <w:sz w:val="16"/>
          <w:szCs w:val="16"/>
        </w:rPr>
        <w:t>between nations, as they may easily identify </w:t>
      </w:r>
      <w:r>
        <w:rPr>
          <w:b/>
          <w:bCs/>
          <w:color w:val="222222"/>
          <w:u w:val="single"/>
          <w:shd w:val="clear" w:color="auto" w:fill="00FF00"/>
        </w:rPr>
        <w:t>and</w:t>
      </w:r>
      <w:r>
        <w:rPr>
          <w:color w:val="222222"/>
          <w:sz w:val="16"/>
          <w:szCs w:val="16"/>
        </w:rPr>
        <w:t> call out those that have failed to make a good faith effort to meet their voluntary contributions. The mandatory reporting serves to make the Agreement transparent and legitimate to the international community.79 The naming and shaming also </w:t>
      </w:r>
      <w:r>
        <w:rPr>
          <w:b/>
          <w:bCs/>
          <w:color w:val="222222"/>
          <w:u w:val="single"/>
          <w:shd w:val="clear" w:color="auto" w:fill="00FF00"/>
        </w:rPr>
        <w:t>anticipates pressure on the contributing parties from civil society</w:t>
      </w:r>
      <w:r>
        <w:rPr>
          <w:color w:val="222222"/>
          <w:sz w:val="16"/>
          <w:szCs w:val="16"/>
        </w:rPr>
        <w:t>,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Pr>
          <w:b/>
          <w:bCs/>
          <w:color w:val="222222"/>
          <w:u w:val="single"/>
          <w:shd w:val="clear" w:color="auto" w:fill="00FF00"/>
        </w:rPr>
        <w:t>operating with multiple kinds of enforcement</w:t>
      </w:r>
      <w:r>
        <w:rPr>
          <w:color w:val="222222"/>
          <w:sz w:val="16"/>
          <w:szCs w:val="16"/>
        </w:rPr>
        <w:t>, and engaging with both domestic and international paradigms over a long period of time, the Paris Agreement consciously </w:t>
      </w:r>
      <w:r>
        <w:rPr>
          <w:b/>
          <w:bCs/>
          <w:color w:val="222222"/>
          <w:u w:val="single"/>
          <w:shd w:val="clear" w:color="auto" w:fill="00FF00"/>
        </w:rPr>
        <w:t>increases the</w:t>
      </w:r>
      <w:r>
        <w:rPr>
          <w:color w:val="222222"/>
          <w:sz w:val="16"/>
          <w:szCs w:val="16"/>
        </w:rPr>
        <w:t> likelihood of </w:t>
      </w:r>
      <w:r>
        <w:rPr>
          <w:b/>
          <w:bCs/>
          <w:color w:val="222222"/>
          <w:u w:val="single"/>
          <w:shd w:val="clear" w:color="auto" w:fill="00FF00"/>
        </w:rPr>
        <w:t>immediate enforcement</w:t>
      </w:r>
      <w:r>
        <w:rPr>
          <w:color w:val="222222"/>
          <w:sz w:val="16"/>
          <w:szCs w:val="16"/>
        </w:rPr>
        <w:t> and </w:t>
      </w:r>
      <w:r>
        <w:rPr>
          <w:b/>
          <w:bCs/>
          <w:color w:val="222222"/>
          <w:u w:val="single"/>
          <w:shd w:val="clear" w:color="auto" w:fill="00FF00"/>
        </w:rPr>
        <w:t>of</w:t>
      </w:r>
      <w:r>
        <w:rPr>
          <w:color w:val="222222"/>
          <w:sz w:val="16"/>
          <w:szCs w:val="16"/>
        </w:rPr>
        <w:t> transitioning from mere statute to </w:t>
      </w:r>
      <w:r>
        <w:rPr>
          <w:b/>
          <w:bCs/>
          <w:color w:val="222222"/>
          <w:u w:val="single"/>
          <w:shd w:val="clear" w:color="auto" w:fill="00FF00"/>
        </w:rPr>
        <w:t>binding customary international law</w:t>
      </w:r>
      <w:r>
        <w:rPr>
          <w:color w:val="222222"/>
          <w:sz w:val="16"/>
          <w:szCs w:val="16"/>
        </w:rPr>
        <w:t>.82</w:t>
      </w:r>
    </w:p>
    <w:p w:rsidR="002C3F7C" w:rsidRDefault="002C3F7C" w:rsidP="002C3F7C">
      <w:pPr>
        <w:shd w:val="clear" w:color="auto" w:fill="FFFFFF"/>
        <w:spacing w:line="235" w:lineRule="atLeast"/>
        <w:rPr>
          <w:color w:val="222222"/>
        </w:rPr>
      </w:pPr>
      <w:r>
        <w:rPr>
          <w:color w:val="222222"/>
          <w:sz w:val="16"/>
          <w:szCs w:val="16"/>
        </w:rPr>
        <w:t> </w:t>
      </w:r>
    </w:p>
    <w:p w:rsidR="002C3F7C" w:rsidRDefault="002C3F7C" w:rsidP="002C3F7C">
      <w:pPr>
        <w:shd w:val="clear" w:color="auto" w:fill="FFFFFF"/>
        <w:spacing w:line="235" w:lineRule="atLeast"/>
        <w:rPr>
          <w:color w:val="222222"/>
        </w:rPr>
      </w:pPr>
      <w:r>
        <w:rPr>
          <w:color w:val="222222"/>
          <w:sz w:val="16"/>
          <w:szCs w:val="16"/>
        </w:rPr>
        <w:t> </w:t>
      </w:r>
    </w:p>
    <w:p w:rsidR="002C3F7C" w:rsidRDefault="002C3F7C" w:rsidP="002C3F7C">
      <w:pPr>
        <w:shd w:val="clear" w:color="auto" w:fill="FFFFFF"/>
        <w:spacing w:line="235" w:lineRule="atLeast"/>
        <w:rPr>
          <w:color w:val="222222"/>
        </w:rPr>
      </w:pPr>
      <w:r>
        <w:rPr>
          <w:color w:val="222222"/>
          <w:sz w:val="16"/>
          <w:szCs w:val="16"/>
        </w:rPr>
        <w:t> </w:t>
      </w:r>
    </w:p>
    <w:p w:rsidR="002C3F7C" w:rsidRDefault="002C3F7C" w:rsidP="002C3F7C">
      <w:pPr>
        <w:shd w:val="clear" w:color="auto" w:fill="FFFFFF"/>
        <w:spacing w:line="235" w:lineRule="atLeast"/>
        <w:rPr>
          <w:color w:val="222222"/>
        </w:rPr>
      </w:pPr>
      <w:r>
        <w:rPr>
          <w:b/>
          <w:bCs/>
          <w:color w:val="222222"/>
          <w:u w:val="single"/>
        </w:rPr>
        <w:t> </w:t>
      </w:r>
    </w:p>
    <w:p w:rsidR="002C3F7C" w:rsidRDefault="002C3F7C" w:rsidP="002C3F7C">
      <w:pPr>
        <w:pStyle w:val="Heading4"/>
        <w:shd w:val="clear" w:color="auto" w:fill="FFFFFF"/>
        <w:spacing w:line="278" w:lineRule="atLeast"/>
        <w:rPr>
          <w:color w:val="222222"/>
          <w:szCs w:val="26"/>
        </w:rPr>
      </w:pPr>
      <w:r>
        <w:rPr>
          <w:color w:val="222222"/>
          <w:szCs w:val="26"/>
        </w:rPr>
        <w:t>Anthropogenic warming causes extinction --- mitigation efforts now are key</w:t>
      </w:r>
    </w:p>
    <w:p w:rsidR="002C3F7C" w:rsidRDefault="002C3F7C" w:rsidP="002C3F7C">
      <w:pPr>
        <w:shd w:val="clear" w:color="auto" w:fill="FFFFFF"/>
        <w:spacing w:line="235" w:lineRule="atLeast"/>
        <w:rPr>
          <w:color w:val="222222"/>
        </w:rPr>
      </w:pPr>
      <w:r>
        <w:rPr>
          <w:b/>
          <w:bCs/>
          <w:color w:val="222222"/>
          <w:sz w:val="26"/>
          <w:szCs w:val="26"/>
        </w:rPr>
        <w:t>Griffin, 2015</w:t>
      </w:r>
      <w:r>
        <w:rPr>
          <w:b/>
          <w:bCs/>
          <w:color w:val="222222"/>
          <w:sz w:val="16"/>
          <w:szCs w:val="16"/>
        </w:rPr>
        <w:t> </w:t>
      </w:r>
      <w:r>
        <w:rPr>
          <w:color w:val="222222"/>
          <w:sz w:val="16"/>
          <w:szCs w:val="16"/>
        </w:rPr>
        <w:t>(David, Professor of Philosophy at Claremont, “The climate is ruined. So can civilization even survive?”, CNN, 4/14/2015, </w:t>
      </w:r>
      <w:hyperlink r:id="rId7" w:tgtFrame="_blank" w:history="1">
        <w:r>
          <w:rPr>
            <w:rStyle w:val="Hyperlink"/>
            <w:sz w:val="16"/>
            <w:szCs w:val="16"/>
          </w:rPr>
          <w:t>http://www.cnn.com/2015/01/14/opinion/co2-crisis-griffin/</w:t>
        </w:r>
      </w:hyperlink>
      <w:r>
        <w:rPr>
          <w:color w:val="222222"/>
          <w:sz w:val="16"/>
          <w:szCs w:val="16"/>
        </w:rPr>
        <w:t> )</w:t>
      </w:r>
    </w:p>
    <w:p w:rsidR="001C5D71" w:rsidRDefault="002C3F7C" w:rsidP="002C3F7C">
      <w:r>
        <w:rPr>
          <w:color w:val="222222"/>
          <w:sz w:val="16"/>
          <w:szCs w:val="16"/>
        </w:rPr>
        <w:t>Although most of us worry about other things, </w:t>
      </w:r>
      <w:r>
        <w:rPr>
          <w:color w:val="222222"/>
        </w:rPr>
        <w:t>climate scientists have become increasingly worried about the survival of civilization. For</w:t>
      </w:r>
      <w:r>
        <w:rPr>
          <w:color w:val="222222"/>
          <w:sz w:val="16"/>
          <w:szCs w:val="16"/>
        </w:rPr>
        <w:t> example, Lonnie Thompson, who received the U.S. National Medal of Science in 2010, said that </w:t>
      </w:r>
      <w:r>
        <w:rPr>
          <w:b/>
          <w:bCs/>
          <w:color w:val="222222"/>
          <w:shd w:val="clear" w:color="auto" w:fill="00FF00"/>
        </w:rPr>
        <w:t>virtually all climatologists "are</w:t>
      </w:r>
      <w:r>
        <w:rPr>
          <w:b/>
          <w:bCs/>
          <w:color w:val="222222"/>
        </w:rPr>
        <w:t> now </w:t>
      </w:r>
      <w:r>
        <w:rPr>
          <w:b/>
          <w:bCs/>
          <w:color w:val="222222"/>
          <w:shd w:val="clear" w:color="auto" w:fill="00FF00"/>
        </w:rPr>
        <w:t>convinced</w:t>
      </w:r>
      <w:r>
        <w:rPr>
          <w:b/>
          <w:bCs/>
          <w:color w:val="222222"/>
        </w:rPr>
        <w:t> that global </w:t>
      </w:r>
      <w:r>
        <w:rPr>
          <w:b/>
          <w:bCs/>
          <w:color w:val="222222"/>
          <w:shd w:val="clear" w:color="auto" w:fill="00FF00"/>
        </w:rPr>
        <w:t>warming poses a clear and present danger </w:t>
      </w:r>
      <w:r>
        <w:rPr>
          <w:b/>
          <w:bCs/>
          <w:color w:val="222222"/>
        </w:rPr>
        <w:t>to civilization." </w:t>
      </w:r>
      <w:r>
        <w:rPr>
          <w:color w:val="222222"/>
          <w:sz w:val="16"/>
          <w:szCs w:val="16"/>
        </w:rPr>
        <w:t>Informed journalists share this concern. </w:t>
      </w:r>
      <w:r>
        <w:rPr>
          <w:color w:val="222222"/>
        </w:rPr>
        <w:t>The climate crisis "threatens the survival of our civilization," said Pulitzer Prize-winner Ross Gelbspan. Mark Hertsgaard agrees</w:t>
      </w:r>
      <w:r>
        <w:rPr>
          <w:color w:val="222222"/>
          <w:sz w:val="16"/>
          <w:szCs w:val="16"/>
        </w:rPr>
        <w:t>, </w:t>
      </w:r>
      <w:r>
        <w:rPr>
          <w:b/>
          <w:bCs/>
          <w:color w:val="222222"/>
        </w:rPr>
        <w:t>saying that the </w:t>
      </w:r>
      <w:r>
        <w:rPr>
          <w:b/>
          <w:bCs/>
          <w:color w:val="222222"/>
          <w:shd w:val="clear" w:color="auto" w:fill="00FF00"/>
        </w:rPr>
        <w:t>continuation</w:t>
      </w:r>
      <w:r>
        <w:rPr>
          <w:b/>
          <w:bCs/>
          <w:color w:val="222222"/>
        </w:rPr>
        <w:t> of global warming </w:t>
      </w:r>
      <w:r>
        <w:rPr>
          <w:b/>
          <w:bCs/>
          <w:color w:val="222222"/>
          <w:shd w:val="clear" w:color="auto" w:fill="00FF00"/>
        </w:rPr>
        <w:t>"would create planetary conditions all but certain to end civilization</w:t>
      </w:r>
      <w:r>
        <w:rPr>
          <w:b/>
          <w:bCs/>
          <w:color w:val="222222"/>
        </w:rPr>
        <w:t> as we know it." </w:t>
      </w:r>
      <w:r>
        <w:rPr>
          <w:color w:val="222222"/>
          <w:sz w:val="16"/>
          <w:szCs w:val="16"/>
        </w:rPr>
        <w:t>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Pr>
          <w:color w:val="222222"/>
        </w:rPr>
        <w:t>The threat to civilization comes primarily from the increase of the level of carbon dioxide (CO2) in the atmosphere</w:t>
      </w:r>
      <w:r>
        <w:rPr>
          <w:color w:val="222222"/>
          <w:sz w:val="16"/>
          <w:szCs w:val="16"/>
        </w:rPr>
        <w:t>, due largely to the burning of fossil fuels. Before the rise of the industrial age, CO2 constituted only 275 ppm (parts per million) of the atmosphere. But it is now above 400 and rising about 2.5 ppm per year. </w:t>
      </w:r>
      <w:r>
        <w:rPr>
          <w:color w:val="222222"/>
        </w:rPr>
        <w:t>Because of the CO2 increase, the planet's average temperature has increased 0.85 degrees Celsius (1.5 degrees Fahrenheit). Although this increase may not seem much, it has already brought about serious changes. </w:t>
      </w:r>
      <w:r>
        <w:rPr>
          <w:color w:val="222222"/>
          <w:sz w:val="16"/>
          <w:szCs w:val="16"/>
        </w:rPr>
        <w:t>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Pr>
          <w:color w:val="222222"/>
        </w:rPr>
        <w:t>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Pr>
          <w:color w:val="222222"/>
          <w:sz w:val="16"/>
          <w:szCs w:val="16"/>
        </w:rPr>
        <w:t>But now, says physicist Stefan Rahmstorf, "We are catapulting ourselves way out of the Holocene." </w:t>
      </w:r>
      <w:r>
        <w:rPr>
          <w:b/>
          <w:bCs/>
          <w:color w:val="222222"/>
          <w:shd w:val="clear" w:color="auto" w:fill="00FF00"/>
        </w:rPr>
        <w:t>This catapult is dangerous</w:t>
      </w:r>
      <w:r>
        <w:rPr>
          <w:b/>
          <w:bCs/>
          <w:color w:val="222222"/>
        </w:rPr>
        <w:t>, because we have no evidence civilization can long survive with significantly higher temperatures</w:t>
      </w:r>
      <w:r>
        <w:rPr>
          <w:color w:val="222222"/>
          <w:sz w:val="16"/>
          <w:szCs w:val="16"/>
        </w:rPr>
        <w:t>. And yet, the world is on a trajectory that would lead to an increase of 4C (7F) in this century. In the opinion of many scientists and the World Bank, this could happen as early as the 2060s. </w:t>
      </w:r>
      <w:r>
        <w:rPr>
          <w:color w:val="222222"/>
        </w:rPr>
        <w:t>What would "a 4C world" be like? According to Kevin Anderson of the Tyndall Centre for Climate Change Research (at the University of East Anglia), "during New York's summer heat waves the warmest days would be around 10-12C (18-21.6F) hotter [than today's]." Moreover, he has said, </w:t>
      </w:r>
      <w:r>
        <w:rPr>
          <w:color w:val="222222"/>
          <w:shd w:val="clear" w:color="auto" w:fill="00FF00"/>
        </w:rPr>
        <w:t>above an increase of 4C only </w:t>
      </w:r>
      <w:r>
        <w:rPr>
          <w:b/>
          <w:bCs/>
          <w:color w:val="222222"/>
          <w:shd w:val="clear" w:color="auto" w:fill="00FF00"/>
        </w:rPr>
        <w:t>about 10% of the human population will survive.</w:t>
      </w:r>
      <w:r>
        <w:rPr>
          <w:b/>
          <w:bCs/>
          <w:color w:val="222222"/>
        </w:rPr>
        <w:t> </w:t>
      </w:r>
      <w:r>
        <w:rPr>
          <w:color w:val="222222"/>
          <w:sz w:val="16"/>
          <w:szCs w:val="16"/>
        </w:rPr>
        <w:t>Believe it or not, </w:t>
      </w:r>
      <w:r>
        <w:rPr>
          <w:color w:val="222222"/>
          <w:shd w:val="clear" w:color="auto" w:fill="00FF00"/>
        </w:rPr>
        <w:t>some scientists consider Anderson overly optimistic</w:t>
      </w:r>
      <w:r>
        <w:rPr>
          <w:color w:val="222222"/>
          <w:sz w:val="16"/>
          <w:szCs w:val="16"/>
        </w:rPr>
        <w:t>. </w:t>
      </w:r>
      <w:r>
        <w:rPr>
          <w:color w:val="222222"/>
        </w:rPr>
        <w:t>The main reason for pessimism is the fear that the planet's temperature may be close to a tipping point that would initiate a "low-end runaway greenhouse," involving </w:t>
      </w:r>
      <w:r>
        <w:rPr>
          <w:color w:val="222222"/>
          <w:shd w:val="clear" w:color="auto" w:fill="00FF00"/>
        </w:rPr>
        <w:t>"out-of-control amplifying feedbacks." </w:t>
      </w:r>
      <w:r>
        <w:rPr>
          <w:color w:val="222222"/>
        </w:rPr>
        <w:t>This</w:t>
      </w:r>
      <w:r>
        <w:rPr>
          <w:color w:val="222222"/>
          <w:sz w:val="16"/>
          <w:szCs w:val="16"/>
        </w:rPr>
        <w:t> condition would result, says Hansen, if all fossil fuels are burned (which is the intention of all fossil-fuel corporations and many governments). </w:t>
      </w:r>
      <w:r>
        <w:rPr>
          <w:b/>
          <w:bCs/>
          <w:color w:val="222222"/>
        </w:rPr>
        <w:t>This result "would </w:t>
      </w:r>
      <w:r>
        <w:rPr>
          <w:b/>
          <w:bCs/>
          <w:color w:val="222222"/>
          <w:shd w:val="clear" w:color="auto" w:fill="00FF00"/>
        </w:rPr>
        <w:t>make </w:t>
      </w:r>
      <w:r>
        <w:rPr>
          <w:b/>
          <w:bCs/>
          <w:color w:val="222222"/>
        </w:rPr>
        <w:t>most of </w:t>
      </w:r>
      <w:r>
        <w:rPr>
          <w:b/>
          <w:bCs/>
          <w:color w:val="222222"/>
          <w:shd w:val="clear" w:color="auto" w:fill="00FF00"/>
        </w:rPr>
        <w:t>the planet uninhabitable </w:t>
      </w:r>
      <w:r>
        <w:rPr>
          <w:b/>
          <w:bCs/>
          <w:color w:val="222222"/>
        </w:rPr>
        <w:t>by humans."</w:t>
      </w:r>
      <w:r>
        <w:rPr>
          <w:color w:val="222222"/>
          <w:sz w:val="16"/>
          <w:szCs w:val="16"/>
        </w:rPr>
        <w:t> </w:t>
      </w:r>
      <w:r>
        <w:rPr>
          <w:color w:val="222222"/>
        </w:rPr>
        <w:t>Moreover, many scientists believe that runaway global warming could occur much more quickly, because the </w:t>
      </w:r>
      <w:r>
        <w:rPr>
          <w:color w:val="222222"/>
          <w:shd w:val="clear" w:color="auto" w:fill="00FF00"/>
        </w:rPr>
        <w:t>rising temperature caused by CO2 could release </w:t>
      </w:r>
      <w:r>
        <w:rPr>
          <w:color w:val="222222"/>
        </w:rPr>
        <w:t>massive amounts of </w:t>
      </w:r>
      <w:r>
        <w:rPr>
          <w:color w:val="222222"/>
          <w:shd w:val="clear" w:color="auto" w:fill="00FF00"/>
        </w:rPr>
        <w:t>methane </w:t>
      </w:r>
      <w:r>
        <w:rPr>
          <w:color w:val="222222"/>
        </w:rPr>
        <w:t>(CH4), </w:t>
      </w:r>
      <w:r>
        <w:rPr>
          <w:color w:val="222222"/>
          <w:shd w:val="clear" w:color="auto" w:fill="00FF00"/>
        </w:rPr>
        <w:t>which is, </w:t>
      </w:r>
      <w:r>
        <w:rPr>
          <w:color w:val="222222"/>
        </w:rPr>
        <w:t>during its first 20 years, </w:t>
      </w:r>
      <w:r>
        <w:rPr>
          <w:color w:val="222222"/>
          <w:shd w:val="clear" w:color="auto" w:fill="00FF00"/>
        </w:rPr>
        <w:t>86 times more powerful </w:t>
      </w:r>
      <w:r>
        <w:rPr>
          <w:color w:val="222222"/>
        </w:rPr>
        <w:t>than CO2</w:t>
      </w:r>
      <w:r>
        <w:rPr>
          <w:color w:val="222222"/>
          <w:sz w:val="16"/>
          <w:szCs w:val="16"/>
        </w:rPr>
        <w:t>.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Pr>
          <w:color w:val="222222"/>
        </w:rPr>
        <w:t>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Pr>
          <w:color w:val="222222"/>
          <w:sz w:val="16"/>
          <w:szCs w:val="16"/>
        </w:rPr>
        <w:t>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Pr>
          <w:color w:val="222222"/>
        </w:rPr>
        <w:t>What can be done then? Given the failure of political leaders to deal with the CO2 problem, it is now too late to prevent terrible developments. </w:t>
      </w:r>
      <w:r>
        <w:rPr>
          <w:b/>
          <w:bCs/>
          <w:color w:val="222222"/>
          <w:shd w:val="clear" w:color="auto" w:fill="00FF00"/>
        </w:rPr>
        <w:t>But it may</w:t>
      </w:r>
      <w:r>
        <w:rPr>
          <w:b/>
          <w:bCs/>
          <w:color w:val="222222"/>
        </w:rPr>
        <w:t> -- just may -- </w:t>
      </w:r>
      <w:r>
        <w:rPr>
          <w:b/>
          <w:bCs/>
          <w:color w:val="222222"/>
          <w:shd w:val="clear" w:color="auto" w:fill="00FF00"/>
        </w:rPr>
        <w:t>be possible to keep</w:t>
      </w:r>
      <w:r>
        <w:rPr>
          <w:b/>
          <w:bCs/>
          <w:color w:val="222222"/>
        </w:rPr>
        <w:t> global </w:t>
      </w:r>
      <w:r>
        <w:rPr>
          <w:b/>
          <w:bCs/>
          <w:color w:val="222222"/>
          <w:shd w:val="clear" w:color="auto" w:fill="00FF00"/>
        </w:rPr>
        <w:t>warming from bringing about</w:t>
      </w:r>
      <w:r>
        <w:rPr>
          <w:b/>
          <w:bCs/>
          <w:color w:val="222222"/>
        </w:rPr>
        <w:t> the </w:t>
      </w:r>
      <w:r>
        <w:rPr>
          <w:b/>
          <w:bCs/>
          <w:color w:val="222222"/>
          <w:shd w:val="clear" w:color="auto" w:fill="00FF00"/>
        </w:rPr>
        <w:t>destruction</w:t>
      </w:r>
      <w:r>
        <w:rPr>
          <w:b/>
          <w:bCs/>
          <w:color w:val="222222"/>
        </w:rPr>
        <w:t> of civilization. To have a chance, </w:t>
      </w:r>
      <w:r>
        <w:rPr>
          <w:b/>
          <w:bCs/>
          <w:color w:val="222222"/>
          <w:shd w:val="clear" w:color="auto" w:fill="00FF00"/>
        </w:rPr>
        <w:t>we must</w:t>
      </w:r>
      <w:r>
        <w:rPr>
          <w:b/>
          <w:bCs/>
          <w:color w:val="222222"/>
        </w:rPr>
        <w:t>, as Hansen says, </w:t>
      </w:r>
      <w:r>
        <w:rPr>
          <w:b/>
          <w:bCs/>
          <w:color w:val="222222"/>
          <w:shd w:val="clear" w:color="auto" w:fill="00FF00"/>
        </w:rPr>
        <w:t>do everything</w:t>
      </w:r>
      <w:r>
        <w:rPr>
          <w:b/>
          <w:bCs/>
          <w:color w:val="222222"/>
        </w:rPr>
        <w:t> possible </w:t>
      </w:r>
      <w:r>
        <w:rPr>
          <w:b/>
          <w:bCs/>
          <w:color w:val="222222"/>
          <w:shd w:val="clear" w:color="auto" w:fill="00FF00"/>
        </w:rPr>
        <w:t>to "keep climate close to the Holocene range"</w:t>
      </w:r>
      <w:r>
        <w:rPr>
          <w:b/>
          <w:bCs/>
          <w:color w:val="222222"/>
        </w:rPr>
        <w:t> -- which means, mobilize the whole world to replace dirty energy with clean as soon as possible.</w:t>
      </w:r>
      <w:bookmarkEnd w:id="0"/>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7C"/>
    <w:rsid w:val="001C5D71"/>
    <w:rsid w:val="002C3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330C67-DC98-43E7-BB50-25ACE0880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2C3F7C"/>
    <w:rPr>
      <w:rFonts w:ascii="Calibri" w:eastAsiaTheme="minorHAnsi" w:hAnsi="Calibri"/>
      <w:lang w:eastAsia="en-US"/>
    </w:rPr>
  </w:style>
  <w:style w:type="paragraph" w:styleId="Heading1">
    <w:name w:val="heading 1"/>
    <w:aliases w:val="Pocket"/>
    <w:basedOn w:val="Normal"/>
    <w:next w:val="Normal"/>
    <w:link w:val="Heading1Char"/>
    <w:qFormat/>
    <w:rsid w:val="002C3F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3F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3F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C3F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3F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F7C"/>
  </w:style>
  <w:style w:type="character" w:customStyle="1" w:styleId="Heading2Char">
    <w:name w:val="Heading 2 Char"/>
    <w:aliases w:val="Hat Char"/>
    <w:basedOn w:val="DefaultParagraphFont"/>
    <w:link w:val="Heading2"/>
    <w:uiPriority w:val="1"/>
    <w:rsid w:val="002C3F7C"/>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C3F7C"/>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2C3F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2C3F7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2C3F7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C3F7C"/>
    <w:rPr>
      <w:color w:val="auto"/>
      <w:u w:val="none"/>
    </w:rPr>
  </w:style>
  <w:style w:type="paragraph" w:styleId="NoSpacing">
    <w:name w:val="No Spacing"/>
    <w:aliases w:val="Card Format,ClearFormatting,DDI Tag,Tag Title,No Spacing51,Dont use,Tag and Cite,No Spacing31,CD - Cite,No Spacing22,No Spacing41,No Spacing6,No Spacing7,No Spacing8,Dont u,No Spacing311,No Spacing2,tag,Card,card,Medium Grid 21"/>
    <w:basedOn w:val="Heading1"/>
    <w:link w:val="Hyperlink"/>
    <w:autoRedefine/>
    <w:uiPriority w:val="99"/>
    <w:qFormat/>
    <w:rsid w:val="002C3F7C"/>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2C3F7C"/>
    <w:pPr>
      <w:ind w:left="720"/>
      <w:jc w:val="both"/>
    </w:pPr>
    <w:rPr>
      <w:rFonts w:eastAsiaTheme="minorEastAsia"/>
      <w:b/>
      <w:iCs/>
      <w:u w:val="single"/>
      <w:lang w:eastAsia="zh-CN"/>
    </w:rPr>
  </w:style>
  <w:style w:type="character" w:customStyle="1" w:styleId="apple-converted-space">
    <w:name w:val="apple-converted-space"/>
    <w:basedOn w:val="DefaultParagraphFont"/>
    <w:rsid w:val="002C3F7C"/>
  </w:style>
  <w:style w:type="character" w:customStyle="1" w:styleId="Heading1Char">
    <w:name w:val="Heading 1 Char"/>
    <w:aliases w:val="Pocket Char"/>
    <w:basedOn w:val="DefaultParagraphFont"/>
    <w:link w:val="Heading1"/>
    <w:rsid w:val="002C3F7C"/>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2C3F7C"/>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2C3F7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timail.mpsomaha.org/fmlurlsvc/?fewReq=:B:JVE3PDg8Nyt7MD8jPStkaTA9PDc9PCt+ZGpjbHl4f2gwNDw8a2lpaThrbD8+PGs9bGs8OD84Ozw0bDo9aD40NWtrbGhvNWw8byt5MDw7PjQ/Pjo1PzkrfGRpMDxPT0tiQkFoPTw+OTQ4IDxPT0tiQkFqPTw+OTQ4K39ufXkwZ354Yzg1Ok1gZGFhbH9pfX4jYn9qK24wPjsrZWlhMD0=&amp;url=http%3a%2f%2fwww.cnn.com%2f2015%2f01%2f14%2fopinion%2fco2-crisis-griffin%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tappedcities.com/2020/06/12/the-week-without-police-what-we-can-learn-from-the-1971-police-strike/" TargetMode="External"/><Relationship Id="rId5" Type="http://schemas.openxmlformats.org/officeDocument/2006/relationships/hyperlink" Target="https://www.akpress.org/our-enemies-in-blu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6137</Words>
  <Characters>34987</Characters>
  <Application>Microsoft Office Word</Application>
  <DocSecurity>0</DocSecurity>
  <Lines>291</Lines>
  <Paragraphs>82</Paragraphs>
  <ScaleCrop>false</ScaleCrop>
  <Company>Millard Public Schools</Company>
  <LinksUpToDate>false</LinksUpToDate>
  <CharactersWithSpaces>41042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2021-12-11T18:51:00Z</dcterms:created>
  <dcterms:modified xsi:type="dcterms:W3CDTF">2021-12-11T18:52:00Z</dcterms:modified>
</cp:coreProperties>
</file>