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1C8A5" w14:textId="77777777" w:rsidR="0044650F" w:rsidRDefault="0044650F" w:rsidP="0044650F">
      <w:pPr>
        <w:pStyle w:val="Heading2"/>
      </w:pPr>
      <w:r>
        <w:t>I. Vaccine Apartheid</w:t>
      </w:r>
    </w:p>
    <w:p w14:paraId="7ADB11D1" w14:textId="77777777" w:rsidR="0044650F" w:rsidRPr="00BB588A" w:rsidRDefault="0044650F" w:rsidP="0044650F">
      <w:pPr>
        <w:pStyle w:val="Heading4"/>
        <w:rPr>
          <w:rFonts w:cs="Calibri"/>
          <w:color w:val="FF0000"/>
        </w:rPr>
      </w:pPr>
      <w:r w:rsidRPr="00BB588A">
        <w:rPr>
          <w:rFonts w:cs="Calibri"/>
        </w:rPr>
        <w:t xml:space="preserve">A TRIPS waiver for covid vaccines will not pass in the squo. Baschuk 7/26 </w:t>
      </w:r>
    </w:p>
    <w:p w14:paraId="414781C0" w14:textId="77777777" w:rsidR="0044650F" w:rsidRPr="00BB588A" w:rsidRDefault="0044650F" w:rsidP="0044650F">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6F498248" w14:textId="77777777" w:rsidR="0044650F" w:rsidRPr="003C7242" w:rsidRDefault="0044650F" w:rsidP="0044650F">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4"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5"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6"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7"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8"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9" w:tooltip="Company Overview" w:history="1">
        <w:r w:rsidRPr="00BB588A">
          <w:rPr>
            <w:rStyle w:val="Hyperlink"/>
            <w:rFonts w:eastAsiaTheme="majorEastAsia"/>
            <w:sz w:val="12"/>
          </w:rPr>
          <w:t>Moderna Inc.</w:t>
        </w:r>
      </w:hyperlink>
      <w:r w:rsidRPr="00BB588A">
        <w:rPr>
          <w:sz w:val="12"/>
        </w:rPr>
        <w:t xml:space="preserve">, </w:t>
      </w:r>
      <w:hyperlink r:id="rId10" w:tooltip="Company Overview" w:history="1">
        <w:r w:rsidRPr="00BB588A">
          <w:rPr>
            <w:rStyle w:val="Hyperlink"/>
            <w:rFonts w:eastAsiaTheme="majorEastAsia"/>
            <w:sz w:val="12"/>
          </w:rPr>
          <w:t>Pfizer Inc.</w:t>
        </w:r>
      </w:hyperlink>
      <w:r w:rsidRPr="00BB588A">
        <w:rPr>
          <w:sz w:val="12"/>
        </w:rPr>
        <w:t xml:space="preserve">, and </w:t>
      </w:r>
      <w:hyperlink r:id="rId11"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2" w:tooltip="Company Overview" w:history="1">
        <w:r w:rsidRPr="00BB588A">
          <w:rPr>
            <w:rStyle w:val="Hyperlink"/>
            <w:rFonts w:eastAsiaTheme="majorEastAsia"/>
            <w:sz w:val="12"/>
          </w:rPr>
          <w:t>Knowledge Ecology International</w:t>
        </w:r>
      </w:hyperlink>
      <w:r w:rsidRPr="00BB588A">
        <w:rPr>
          <w:sz w:val="12"/>
        </w:rPr>
        <w:t xml:space="preserve"> in Europe.</w:t>
      </w:r>
    </w:p>
    <w:p w14:paraId="7217F4B2" w14:textId="77777777" w:rsidR="0044650F" w:rsidRPr="00161F0C" w:rsidRDefault="0044650F" w:rsidP="0044650F">
      <w:pPr>
        <w:pStyle w:val="Heading4"/>
      </w:pPr>
      <w:r>
        <w:t>The only way to solve the pandemic is global vaccination, but current production is woefully short.</w:t>
      </w:r>
    </w:p>
    <w:p w14:paraId="1C134A46" w14:textId="77777777" w:rsidR="0044650F" w:rsidRPr="00E16557" w:rsidRDefault="0044650F" w:rsidP="0044650F">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2B1531C7" w14:textId="77777777" w:rsidR="0044650F" w:rsidRPr="002C3011" w:rsidRDefault="0044650F" w:rsidP="0044650F">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67236AAB" w14:textId="77777777" w:rsidR="0044650F" w:rsidRPr="00161F0C" w:rsidRDefault="0044650F" w:rsidP="0044650F">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54C017FB" w14:textId="77777777" w:rsidR="0044650F" w:rsidRPr="00161F0C" w:rsidRDefault="0044650F" w:rsidP="0044650F">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3" w:history="1">
        <w:r w:rsidRPr="00161F0C">
          <w:rPr>
            <w:rFonts w:eastAsia="Cambria"/>
          </w:rPr>
          <w:t>https://gh.bmj.com/content/6/6/e006504)//ML</w:t>
        </w:r>
      </w:hyperlink>
    </w:p>
    <w:p w14:paraId="6864EDAB" w14:textId="77777777" w:rsidR="0044650F" w:rsidRPr="00161F0C" w:rsidRDefault="0044650F" w:rsidP="0044650F">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4"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5"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16"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17"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18"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19"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0"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1"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2"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3"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4"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5"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26"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27"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28"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29"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0"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1"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2"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3"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4"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5"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36"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37"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38"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39"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02FEB222" w14:textId="77777777" w:rsidR="0044650F" w:rsidRPr="00E16557" w:rsidRDefault="0044650F" w:rsidP="0044650F">
      <w:pPr>
        <w:pStyle w:val="Heading4"/>
      </w:pPr>
      <w:r w:rsidRPr="00E16557">
        <w:t>Compulsory licensing is not sufficient – drug company resistance, IP thickets, and devolved decision-making.</w:t>
      </w:r>
    </w:p>
    <w:p w14:paraId="0004833E" w14:textId="77777777" w:rsidR="0044650F" w:rsidRPr="00E16557" w:rsidRDefault="0044650F" w:rsidP="0044650F">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82BA08A" w14:textId="77777777" w:rsidR="0044650F" w:rsidRPr="002F264B" w:rsidRDefault="0044650F" w:rsidP="0044650F">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4CBAB5C1" w14:textId="77777777" w:rsidR="0044650F" w:rsidRPr="007108BA" w:rsidRDefault="0044650F" w:rsidP="0044650F">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31DB7E30" w14:textId="77777777" w:rsidR="0044650F" w:rsidRPr="007108BA" w:rsidRDefault="0044650F" w:rsidP="0044650F">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4C84BF71" w14:textId="77777777" w:rsidR="0044650F" w:rsidRPr="00DC78EB" w:rsidRDefault="0044650F" w:rsidP="0044650F">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BB1413F" w14:textId="77777777" w:rsidR="0044650F" w:rsidRDefault="0044650F" w:rsidP="0044650F">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7A20D6A4" w14:textId="77777777" w:rsidR="0044650F" w:rsidRPr="00076CD9" w:rsidRDefault="0044650F" w:rsidP="0044650F">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58D739BA" w14:textId="77777777" w:rsidR="0044650F" w:rsidRPr="00076CD9" w:rsidRDefault="0044650F" w:rsidP="0044650F">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53CE80FE" w14:textId="77777777" w:rsidR="0044650F" w:rsidRPr="00076CD9" w:rsidRDefault="0044650F" w:rsidP="0044650F">
      <w:pPr>
        <w:ind w:left="720"/>
        <w:rPr>
          <w:sz w:val="12"/>
          <w:szCs w:val="12"/>
        </w:rPr>
      </w:pPr>
      <w:r w:rsidRPr="22DF304D">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r w:rsidRPr="22DF304D">
        <w:rPr>
          <w:rStyle w:val="Emphasis"/>
          <w:highlight w:val="yellow"/>
        </w:rPr>
        <w:t>.</w:t>
      </w:r>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nutritionrelated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43763BF" w14:textId="77777777" w:rsidR="0044650F" w:rsidRPr="00DC78EB" w:rsidRDefault="0044650F" w:rsidP="0044650F">
      <w:pPr>
        <w:rPr>
          <w:sz w:val="12"/>
        </w:rPr>
      </w:pPr>
    </w:p>
    <w:p w14:paraId="4BFA5733" w14:textId="77777777" w:rsidR="0044650F" w:rsidRDefault="0044650F" w:rsidP="0044650F">
      <w:pPr>
        <w:pStyle w:val="Heading2"/>
      </w:pPr>
      <w:r>
        <w:t>II. Solvency</w:t>
      </w:r>
    </w:p>
    <w:p w14:paraId="5DF01DEF" w14:textId="77777777" w:rsidR="0044650F" w:rsidRPr="00E16557" w:rsidRDefault="0044650F" w:rsidP="0044650F">
      <w:pPr>
        <w:pStyle w:val="Heading4"/>
      </w:pPr>
      <w:r>
        <w:t>Plan text: The member nations of the World Trade Organization ought to waive intellectual property protections for Covid-19 related medicines.</w:t>
      </w:r>
    </w:p>
    <w:p w14:paraId="5FB954EE" w14:textId="77777777" w:rsidR="0044650F" w:rsidRPr="00E16557" w:rsidRDefault="0044650F" w:rsidP="0044650F">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0" w:anchor="new_tab" w:history="1">
        <w:r w:rsidRPr="00E16557">
          <w:rPr>
            <w:rStyle w:val="Hyperlink"/>
          </w:rPr>
          <w:t>https://www.citizenstrade.org/ctc/wp-content/uploads/2021/06/COVIDTRIPSWaiver_SignOnLtr2_062221.pdf#new_tab</w:t>
        </w:r>
      </w:hyperlink>
      <w:r w:rsidRPr="00E16557">
        <w:t>&gt; AT</w:t>
      </w:r>
    </w:p>
    <w:p w14:paraId="63FC1902" w14:textId="77777777" w:rsidR="0044650F" w:rsidRPr="00DC5CFA" w:rsidRDefault="0044650F" w:rsidP="0044650F">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95846CE" w14:textId="77777777" w:rsidR="0044650F" w:rsidRPr="00E16557" w:rsidRDefault="0044650F" w:rsidP="0044650F">
      <w:pPr>
        <w:pStyle w:val="Heading4"/>
      </w:pPr>
      <w:r w:rsidRPr="00E16557">
        <w:t>A waiver would increase leverage over pharma and provide legal certainty needed to spur critical production.</w:t>
      </w:r>
    </w:p>
    <w:p w14:paraId="2AA127F3" w14:textId="77777777" w:rsidR="0044650F" w:rsidRPr="00E16557" w:rsidRDefault="0044650F" w:rsidP="0044650F">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3866A53" w14:textId="77777777" w:rsidR="0044650F" w:rsidRPr="00D308C4" w:rsidRDefault="0044650F" w:rsidP="0044650F">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56A9ABD9" w14:textId="77777777" w:rsidR="0044650F" w:rsidRPr="00E16557" w:rsidRDefault="0044650F" w:rsidP="0044650F">
      <w:pPr>
        <w:pStyle w:val="Heading4"/>
      </w:pPr>
      <w:r>
        <w:t>Legal certainty unlocks global production.</w:t>
      </w:r>
    </w:p>
    <w:p w14:paraId="4632786D" w14:textId="77777777" w:rsidR="0044650F" w:rsidRPr="00E16557" w:rsidRDefault="0044650F" w:rsidP="0044650F">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942CA36" w14:textId="77777777" w:rsidR="0044650F" w:rsidRPr="0061477E" w:rsidRDefault="0044650F" w:rsidP="0044650F">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32544093" w14:textId="77777777" w:rsidR="0044650F" w:rsidRPr="007108BA" w:rsidRDefault="0044650F" w:rsidP="0044650F">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653E21C4" w14:textId="77777777" w:rsidR="0044650F" w:rsidRPr="007108BA" w:rsidRDefault="0044650F" w:rsidP="0044650F">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BA2384B" w14:textId="77777777" w:rsidR="0044650F" w:rsidRPr="00F828E6" w:rsidRDefault="0044650F" w:rsidP="0044650F">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95651CA" w14:textId="77777777" w:rsidR="0044650F" w:rsidRDefault="0044650F" w:rsidP="0044650F">
      <w:pPr>
        <w:pStyle w:val="Heading2"/>
      </w:pPr>
      <w:r>
        <w:t>III. Framing</w:t>
      </w:r>
    </w:p>
    <w:p w14:paraId="3F8C833B" w14:textId="77777777" w:rsidR="0044650F" w:rsidRDefault="0044650F" w:rsidP="0044650F">
      <w:pPr>
        <w:pStyle w:val="Heading4"/>
      </w:pPr>
      <w:r>
        <w:t>The Aff challenges dehumanizing cultural frames that allow us to ignore human suffering. Recognition of common vulnerability is key to a politics that rejects violence, oppression, and indifference.</w:t>
      </w:r>
    </w:p>
    <w:p w14:paraId="0C9347E7" w14:textId="77777777" w:rsidR="0044650F" w:rsidRPr="00896404" w:rsidRDefault="0044650F" w:rsidP="0044650F">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093A17C0" w14:textId="77777777" w:rsidR="0044650F" w:rsidRPr="005F464B" w:rsidRDefault="0044650F" w:rsidP="0044650F">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unreality?¶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14ADE862" w14:textId="77777777" w:rsidR="0044650F" w:rsidRDefault="0044650F" w:rsidP="0044650F">
      <w:pPr>
        <w:spacing w:after="0" w:line="240" w:lineRule="auto"/>
        <w:ind w:left="720" w:right="720"/>
        <w:rPr>
          <w:rFonts w:eastAsia="Times New Roman" w:cs="Times New Roman"/>
          <w:sz w:val="24"/>
        </w:rPr>
      </w:pPr>
    </w:p>
    <w:p w14:paraId="6EB8C3F3" w14:textId="77777777" w:rsidR="0044650F" w:rsidRPr="003C5A91" w:rsidRDefault="0044650F" w:rsidP="0044650F">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41424500" w14:textId="77777777" w:rsidR="0044650F" w:rsidRPr="003C5A91" w:rsidRDefault="0044650F" w:rsidP="0044650F">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265DF76E" w14:textId="77777777" w:rsidR="0044650F" w:rsidRPr="003C5A91" w:rsidRDefault="0044650F" w:rsidP="0044650F">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7DE9F60C" w14:textId="77777777" w:rsidR="0044650F" w:rsidRDefault="0044650F" w:rsidP="0044650F">
      <w:pPr>
        <w:pStyle w:val="Heading2"/>
        <w:rPr>
          <w:rFonts w:eastAsia="MS Gothic"/>
        </w:rPr>
      </w:pPr>
      <w:r>
        <w:rPr>
          <w:rFonts w:eastAsia="MS Gothic"/>
        </w:rPr>
        <w:t>Underview 1</w:t>
      </w:r>
    </w:p>
    <w:p w14:paraId="13912851" w14:textId="77777777" w:rsidR="0044650F" w:rsidRPr="006213BA" w:rsidRDefault="0044650F" w:rsidP="0044650F">
      <w:pPr>
        <w:pStyle w:val="Heading4"/>
      </w:pPr>
      <w:r w:rsidRPr="006213BA">
        <w:t>Scholarly discourse and engagement with politics is key to effective structural reform - critique is insufficient.</w:t>
      </w:r>
    </w:p>
    <w:p w14:paraId="42C46BF0" w14:textId="77777777" w:rsidR="0044650F" w:rsidRPr="00AD1EE8" w:rsidRDefault="0044650F" w:rsidP="0044650F">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046DBF17" w14:textId="77777777" w:rsidR="0044650F" w:rsidRDefault="0044650F" w:rsidP="0044650F">
      <w:pPr>
        <w:ind w:left="720"/>
        <w:rPr>
          <w:rFonts w:eastAsia="Cambria"/>
          <w:sz w:val="8"/>
        </w:rPr>
      </w:pPr>
    </w:p>
    <w:p w14:paraId="01489439" w14:textId="77777777" w:rsidR="0044650F" w:rsidRPr="00AD1EE8" w:rsidRDefault="0044650F" w:rsidP="0044650F">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47439CAD" w14:textId="77777777" w:rsidR="001077F9" w:rsidRDefault="001077F9"/>
    <w:sectPr w:rsidR="001077F9" w:rsidSect="009B0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50F"/>
    <w:rsid w:val="001077F9"/>
    <w:rsid w:val="0044650F"/>
    <w:rsid w:val="009B0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2AA3E2"/>
  <w15:chartTrackingRefBased/>
  <w15:docId w15:val="{14ED26C2-0BEB-0D47-BBB2-3138B7095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650F"/>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44650F"/>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4465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44650F"/>
    <w:rPr>
      <w:rFonts w:ascii="Calibri" w:eastAsiaTheme="majorEastAsia" w:hAnsi="Calibri" w:cstheme="majorBidi"/>
      <w:b/>
      <w:bCs/>
      <w:sz w:val="44"/>
      <w:szCs w:val="44"/>
      <w:u w:val="doub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4650F"/>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44650F"/>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650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44650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4650F"/>
    <w:rPr>
      <w:color w:val="auto"/>
      <w:u w:val="none"/>
    </w:rPr>
  </w:style>
  <w:style w:type="paragraph" w:customStyle="1" w:styleId="textbold">
    <w:name w:val="text bold"/>
    <w:basedOn w:val="Normal"/>
    <w:link w:val="Emphasis"/>
    <w:uiPriority w:val="20"/>
    <w:qFormat/>
    <w:rsid w:val="0044650F"/>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h.bmj.com/content/6/6/e006504)//ML"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theme" Target="theme/theme1.xml"/><Relationship Id="rId7" Type="http://schemas.openxmlformats.org/officeDocument/2006/relationships/hyperlink" Target="https://www.bloomberg.com/news/articles/2021-06-03/eu-s-trade-response-to-pandemic-stops-short-of-vaccine-ip-waiver" TargetMode="External"/><Relationship Id="rId2" Type="http://schemas.openxmlformats.org/officeDocument/2006/relationships/settings" Target="settings.xml"/><Relationship Id="rId16" Type="http://schemas.openxmlformats.org/officeDocument/2006/relationships/hyperlink" Target="https://gh.bmj.com/content/6/6/e006504" TargetMode="External"/><Relationship Id="rId20" Type="http://schemas.openxmlformats.org/officeDocument/2006/relationships/hyperlink" Target="https://gh.bmj.com/content/6/6/e006504" TargetMode="External"/><Relationship Id="rId29" Type="http://schemas.openxmlformats.org/officeDocument/2006/relationships/hyperlink" Target="https://gh.bmj.com/content/6/6/e00650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c.europa.eu/commission/presscorner/detail/en/STATEMENT_21_2361" TargetMode="External"/><Relationship Id="rId11" Type="http://schemas.openxmlformats.org/officeDocument/2006/relationships/hyperlink" Target="https://www.bloomberg.com/quote/BNTX:US"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www.citizenstrade.org/ctc/wp-content/uploads/2021/06/COVIDTRIPSWaiver_SignOnLtr2_062221.pdf" TargetMode="External"/><Relationship Id="rId5" Type="http://schemas.openxmlformats.org/officeDocument/2006/relationships/hyperlink" Target="https://pmindiaun.gov.in/public_files/assets/pdf/Statement_as_delivered_on_Waiver_Proposal.pdf" TargetMode="External"/><Relationship Id="rId15" Type="http://schemas.openxmlformats.org/officeDocument/2006/relationships/hyperlink" Target="https://gh.bmj.com/content/6/6/e006504"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www.bloomberg.com/quote/PFE:US"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 Type="http://schemas.openxmlformats.org/officeDocument/2006/relationships/hyperlink" Target="https://www.who.int/director-general/speeches/detail/who-director-general-s-opening-remarks-at-the-wto---who-high-level-dialogue-expanding-covid-19-vaccine-manufacture-to-promote-equitable-access" TargetMode="External"/><Relationship Id="rId9" Type="http://schemas.openxmlformats.org/officeDocument/2006/relationships/hyperlink" Target="https://www.bloomberg.com/quote/MRNA:US" TargetMode="External"/><Relationship Id="rId14" Type="http://schemas.openxmlformats.org/officeDocument/2006/relationships/hyperlink" Target="https://gh.bmj.com/content/6/6/e006504"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8" Type="http://schemas.openxmlformats.org/officeDocument/2006/relationships/hyperlink" Target="https://twitter.com/AmbassadorTai/status/1390021205974003720?s=20" TargetMode="External"/><Relationship Id="rId3" Type="http://schemas.openxmlformats.org/officeDocument/2006/relationships/webSettings" Target="webSettings.xml"/><Relationship Id="rId12" Type="http://schemas.openxmlformats.org/officeDocument/2006/relationships/hyperlink" Target="https://www.bloomberg.com/quote/0746610D:US" TargetMode="External"/><Relationship Id="rId17" Type="http://schemas.openxmlformats.org/officeDocument/2006/relationships/hyperlink" Target="https://gh.bmj.com/content/6/6/e006504"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9538</Words>
  <Characters>54369</Characters>
  <Application>Microsoft Office Word</Application>
  <DocSecurity>0</DocSecurity>
  <Lines>453</Lines>
  <Paragraphs>127</Paragraphs>
  <ScaleCrop>false</ScaleCrop>
  <Company/>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Wollaeger, Emma</dc:creator>
  <cp:keywords/>
  <dc:description/>
  <cp:lastModifiedBy>Wollaeger, Emma</cp:lastModifiedBy>
  <cp:revision>1</cp:revision>
  <dcterms:created xsi:type="dcterms:W3CDTF">2021-09-18T14:42:00Z</dcterms:created>
  <dcterms:modified xsi:type="dcterms:W3CDTF">2021-09-18T14:43:00Z</dcterms:modified>
</cp:coreProperties>
</file>