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E0E2A" w14:textId="77777777" w:rsidR="009778AE" w:rsidRDefault="009778AE" w:rsidP="009778AE">
      <w:pPr>
        <w:pStyle w:val="Heading2"/>
      </w:pPr>
    </w:p>
    <w:p w14:paraId="032C859C" w14:textId="5C937F78" w:rsidR="009778AE" w:rsidRDefault="009778AE" w:rsidP="009778AE">
      <w:pPr>
        <w:pStyle w:val="Heading2"/>
      </w:pPr>
      <w:r>
        <w:lastRenderedPageBreak/>
        <w:t>Innov DA 3:25</w:t>
      </w:r>
    </w:p>
    <w:p w14:paraId="5E0E690B" w14:textId="77777777" w:rsidR="009778AE" w:rsidRPr="007F02DA" w:rsidRDefault="009778AE" w:rsidP="009778AE"/>
    <w:p w14:paraId="69E0ADC0" w14:textId="77777777" w:rsidR="009778AE" w:rsidRPr="00405D88" w:rsidRDefault="009778AE" w:rsidP="009778AE">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6B769F06" w14:textId="77777777" w:rsidR="009778AE" w:rsidRPr="00405D88" w:rsidRDefault="009778AE" w:rsidP="009778AE">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40BFA82F" w14:textId="77777777" w:rsidR="009778AE" w:rsidRPr="00405D88" w:rsidRDefault="009778AE" w:rsidP="009778AE">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13A3E86C" w14:textId="77777777" w:rsidR="009778AE" w:rsidRPr="00405D88" w:rsidRDefault="009778AE" w:rsidP="009778AE">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r w:rsidRPr="00405D88">
        <w:rPr>
          <w:rFonts w:cs="Calibri"/>
        </w:rPr>
        <w:t>Macdole and Ezell 4-29:</w:t>
      </w:r>
    </w:p>
    <w:p w14:paraId="12182671" w14:textId="77777777" w:rsidR="009778AE" w:rsidRPr="00405D88" w:rsidRDefault="009778AE" w:rsidP="009778AE">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w:t>
      </w:r>
      <w:r w:rsidRPr="00405D88">
        <w:lastRenderedPageBreak/>
        <w:t>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43878129" w14:textId="77777777" w:rsidR="009778AE" w:rsidRPr="00405D88" w:rsidRDefault="009778AE" w:rsidP="009778AE">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in an effort </w:t>
      </w:r>
      <w:r w:rsidRPr="000214A7">
        <w:rPr>
          <w:rStyle w:val="StyleUnderline"/>
          <w:highlight w:val="cyan"/>
        </w:rPr>
        <w:t>to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0214A7">
        <w:rPr>
          <w:rStyle w:val="StyleUnderline"/>
          <w:highlight w:val="cyan"/>
        </w:rPr>
        <w:t>Covaxin</w:t>
      </w:r>
      <w:r w:rsidRPr="00405D88">
        <w:rPr>
          <w:sz w:val="12"/>
        </w:rPr>
        <w:t xml:space="preserve"> Gilead: </w:t>
      </w:r>
      <w:r w:rsidRPr="000214A7">
        <w:rPr>
          <w:rStyle w:val="StyleUnderline"/>
          <w:highlight w:val="cyan"/>
        </w:rPr>
        <w:t>Remdesivir</w:t>
      </w:r>
      <w:r w:rsidRPr="00405D88">
        <w:rPr>
          <w:sz w:val="12"/>
        </w:rPr>
        <w:t xml:space="preserve"> LumiraDX: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 xml:space="preserve">drug </w:t>
      </w:r>
      <w:r w:rsidRPr="00405D88">
        <w:rPr>
          <w:rStyle w:val="Emphasis"/>
        </w:rPr>
        <w:lastRenderedPageBreak/>
        <w:t>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 xml:space="preserve">with strong IP protection, the chances of counterfeit products reaching the market are </w:t>
      </w:r>
      <w:r w:rsidRPr="000214A7">
        <w:rPr>
          <w:rStyle w:val="Emphasis"/>
          <w:highlight w:val="cyan"/>
        </w:rPr>
        <w:lastRenderedPageBreak/>
        <w:t>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4072E001" w14:textId="77777777" w:rsidR="009778AE" w:rsidRDefault="009778AE" w:rsidP="009778AE"/>
    <w:p w14:paraId="1208659A" w14:textId="77777777" w:rsidR="009778AE" w:rsidRPr="00405D88" w:rsidRDefault="009778AE" w:rsidP="009778AE">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672E7340" w14:textId="77777777" w:rsidR="009778AE" w:rsidRPr="00405D88" w:rsidRDefault="009778AE" w:rsidP="009778AE">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7C0841D4" w14:textId="77777777" w:rsidR="009778AE" w:rsidRPr="00405D88" w:rsidRDefault="009778AE" w:rsidP="009778AE">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r w:rsidRPr="001E68E0">
        <w:rPr>
          <w:b/>
          <w:bCs/>
          <w:highlight w:val="cyan"/>
          <w:u w:val="single"/>
        </w:rPr>
        <w:t>con-text</w:t>
      </w:r>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51000C">
        <w:rPr>
          <w:highlight w:val="cyan"/>
          <w:u w:val="single"/>
        </w:rPr>
        <w:t>the</w:t>
      </w:r>
      <w:r w:rsidRPr="00405D88">
        <w:rPr>
          <w:u w:val="single"/>
        </w:rPr>
        <w:t xml:space="preserve"> </w:t>
      </w:r>
      <w:r w:rsidRPr="001E68E0">
        <w:rPr>
          <w:highlight w:val="cyan"/>
          <w:u w:val="single"/>
        </w:rPr>
        <w:t>expertise, networks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r w:rsidRPr="001E68E0">
        <w:rPr>
          <w:rStyle w:val="Emphasis"/>
          <w:highlight w:val="cyan"/>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agents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63D24B37" w14:textId="77777777" w:rsidR="009778AE" w:rsidRPr="00405D88" w:rsidRDefault="009778AE" w:rsidP="009778AE">
      <w:pPr>
        <w:pStyle w:val="Heading4"/>
        <w:rPr>
          <w:rFonts w:cs="Calibri"/>
        </w:rPr>
      </w:pPr>
      <w:r w:rsidRPr="00405D88">
        <w:rPr>
          <w:rFonts w:cs="Calibri"/>
        </w:rPr>
        <w:t>Bioterror causes extinction---early response key</w:t>
      </w:r>
    </w:p>
    <w:p w14:paraId="159C57B9" w14:textId="77777777" w:rsidR="009778AE" w:rsidRPr="00405D88" w:rsidRDefault="009778AE" w:rsidP="009778AE">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9DE0669" w14:textId="77777777" w:rsidR="009778AE" w:rsidRPr="00405D88" w:rsidRDefault="009778AE" w:rsidP="009778AE">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lastRenderedPageBreak/>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open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66A3AA83" w14:textId="77777777" w:rsidR="009778AE" w:rsidRDefault="009778AE" w:rsidP="009778AE">
      <w:pPr>
        <w:pStyle w:val="Heading2"/>
      </w:pPr>
      <w:r>
        <w:lastRenderedPageBreak/>
        <w:t>Funding CP (covid vaccines)</w:t>
      </w:r>
    </w:p>
    <w:p w14:paraId="2FD14FB6" w14:textId="77777777" w:rsidR="009778AE" w:rsidRDefault="009778AE" w:rsidP="009778AE">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71A6EB8F" w14:textId="5FEBFD89" w:rsidR="009778AE" w:rsidRPr="0066493E" w:rsidRDefault="009778AE" w:rsidP="009778AE">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2BA7D03A" w14:textId="77777777" w:rsidR="009778AE" w:rsidRPr="0066493E" w:rsidRDefault="009778AE" w:rsidP="009778AE">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time.¶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5EF794A3" w14:textId="77777777" w:rsidR="00F54164" w:rsidRDefault="009778AE" w:rsidP="00F54164">
      <w:pPr>
        <w:pStyle w:val="Heading2"/>
      </w:pPr>
      <w:r>
        <w:lastRenderedPageBreak/>
        <w:t xml:space="preserve"> </w:t>
      </w:r>
      <w:r w:rsidR="00F54164">
        <w:t>AT COVID aff</w:t>
      </w:r>
    </w:p>
    <w:p w14:paraId="5B0E0F53" w14:textId="77777777" w:rsidR="00F54164" w:rsidRPr="000F16AD" w:rsidRDefault="00F54164" w:rsidP="00F54164">
      <w:pPr>
        <w:pStyle w:val="Heading3"/>
      </w:pPr>
      <w:r>
        <w:lastRenderedPageBreak/>
        <w:t>Solvency 1:00</w:t>
      </w:r>
    </w:p>
    <w:p w14:paraId="456EC263" w14:textId="77777777" w:rsidR="00F54164" w:rsidRDefault="00F54164" w:rsidP="00F54164">
      <w:pPr>
        <w:pStyle w:val="Heading4"/>
        <w:numPr>
          <w:ilvl w:val="0"/>
          <w:numId w:val="13"/>
        </w:numPr>
      </w:pPr>
      <w:r>
        <w:t>Kavanaugh- covid receives vast funding from private companies. They have much larger resources to devote to vaccine production and future innovation. The gov has no purpose to allocate budget to solving future diseases, but investors do.</w:t>
      </w:r>
    </w:p>
    <w:p w14:paraId="452424A2" w14:textId="77777777" w:rsidR="00F54164" w:rsidRDefault="00F54164" w:rsidP="00F54164">
      <w:pPr>
        <w:pStyle w:val="Heading4"/>
        <w:numPr>
          <w:ilvl w:val="0"/>
          <w:numId w:val="13"/>
        </w:numPr>
      </w:pPr>
      <w:r>
        <w:t>Zaracostas- the plan isn’t just a threat, it’s the real deal. Companies will have no chance to reduce prices.</w:t>
      </w:r>
    </w:p>
    <w:p w14:paraId="169E3E6F" w14:textId="77777777" w:rsidR="00F54164" w:rsidRDefault="00F54164" w:rsidP="00F54164">
      <w:pPr>
        <w:pStyle w:val="Heading4"/>
        <w:numPr>
          <w:ilvl w:val="0"/>
          <w:numId w:val="13"/>
        </w:numPr>
      </w:pPr>
      <w:r>
        <w:t>Labonte- their card doesn’t say that the plan actually increases medicine sharing. DEFINITELY doesn’t increase sharing because it means that companies have to work harder to hide tech so that other companies can’t profit off of it in the future.</w:t>
      </w:r>
    </w:p>
    <w:p w14:paraId="4FCDEB29" w14:textId="77777777" w:rsidR="00F54164" w:rsidRDefault="00F54164" w:rsidP="00F54164">
      <w:pPr>
        <w:pStyle w:val="Heading4"/>
        <w:numPr>
          <w:ilvl w:val="0"/>
          <w:numId w:val="13"/>
        </w:numPr>
      </w:pPr>
      <w:r>
        <w:t>Fatton- doesn’t take into account things like refrigeration, transportation, and supplies. The data comes from countries saying that they would be willing to try to ramp up capacity.</w:t>
      </w:r>
    </w:p>
    <w:p w14:paraId="29C35EA2" w14:textId="77777777" w:rsidR="00F54164" w:rsidRDefault="00F54164" w:rsidP="00F54164">
      <w:pPr>
        <w:pStyle w:val="Heading4"/>
        <w:numPr>
          <w:ilvl w:val="0"/>
          <w:numId w:val="13"/>
        </w:numPr>
      </w:pPr>
      <w:r>
        <w:t>Kumar- read the card. It is extremely power tagged. The card says nothing about increasing incentives, in fact, provides an alt cause of limitations. “Their facilities” means nothing. There is no context forwhat it could be referring to. It can’t support the idea that countries would stop producing necessary vaccines if they already are.</w:t>
      </w:r>
    </w:p>
    <w:p w14:paraId="4712456B" w14:textId="77777777" w:rsidR="00F54164" w:rsidRDefault="00F54164" w:rsidP="00F54164">
      <w:pPr>
        <w:pStyle w:val="Heading4"/>
        <w:numPr>
          <w:ilvl w:val="0"/>
          <w:numId w:val="13"/>
        </w:numPr>
      </w:pPr>
      <w:r>
        <w:t>Lindsy has zero warrant. Hundreds of health crises could be declared emergency situations, but the waiver creates a precedent for future waiver and sets the brink lower for what should be a waiver under the TRIPS agreement. Means they still link to the innovation da.</w:t>
      </w:r>
    </w:p>
    <w:p w14:paraId="22FDE82C" w14:textId="77777777" w:rsidR="00F54164" w:rsidRDefault="00F54164" w:rsidP="00F54164">
      <w:pPr>
        <w:pStyle w:val="Heading3"/>
      </w:pPr>
      <w:r>
        <w:lastRenderedPageBreak/>
        <w:t>Africa War :40</w:t>
      </w:r>
    </w:p>
    <w:p w14:paraId="01C0B2B6" w14:textId="77777777" w:rsidR="00F54164" w:rsidRPr="002C6DE8" w:rsidRDefault="00F54164" w:rsidP="00F54164">
      <w:pPr>
        <w:pStyle w:val="Heading4"/>
        <w:numPr>
          <w:ilvl w:val="0"/>
          <w:numId w:val="14"/>
        </w:numPr>
      </w:pPr>
      <w:r>
        <w:t xml:space="preserve">A) </w:t>
      </w:r>
      <w:r w:rsidRPr="002C6DE8">
        <w:t xml:space="preserve">Africa War won’t escalate or they can’t solve </w:t>
      </w:r>
    </w:p>
    <w:p w14:paraId="5894919C" w14:textId="77777777" w:rsidR="00F54164" w:rsidRPr="002C6DE8" w:rsidRDefault="00F54164" w:rsidP="00F54164">
      <w:r w:rsidRPr="002C6DE8">
        <w:rPr>
          <w:rStyle w:val="Style13ptBold"/>
        </w:rPr>
        <w:t>Straus 12</w:t>
      </w:r>
      <w:r w:rsidRPr="002C6DE8">
        <w:t>—professor of politics at the University of Wisconsin (Scott, WARS DO END! CHANGING PATTERNS OF POLITICAL VIOLENCE IN SUB-SAHARAN AFRICA, afraf.oxfordjournals.org/content/early/2012/03/01/afraf.ads015.full)</w:t>
      </w:r>
    </w:p>
    <w:p w14:paraId="56A2EEEE" w14:textId="77777777" w:rsidR="00F54164" w:rsidRPr="002C6DE8" w:rsidRDefault="00F54164" w:rsidP="00F54164">
      <w:pPr>
        <w:rPr>
          <w:sz w:val="12"/>
        </w:rPr>
      </w:pPr>
      <w:r w:rsidRPr="002C6DE8">
        <w:rPr>
          <w:sz w:val="12"/>
        </w:rPr>
        <w:t xml:space="preserve">The principal finding is that in the twenty-first century both the volume and the character of civil wars have changed in significant ways.5 </w:t>
      </w:r>
      <w:r w:rsidRPr="002C6DE8">
        <w:rPr>
          <w:rStyle w:val="StyleUnderline"/>
          <w:highlight w:val="yellow"/>
        </w:rPr>
        <w:t>Civil w</w:t>
      </w:r>
      <w:r w:rsidRPr="002C6DE8">
        <w:rPr>
          <w:rStyle w:val="StyleUnderline"/>
        </w:rPr>
        <w:t>ars</w:t>
      </w:r>
      <w:r w:rsidRPr="002C6DE8">
        <w:rPr>
          <w:sz w:val="12"/>
        </w:rPr>
        <w:t xml:space="preserve"> are and </w:t>
      </w:r>
      <w:r w:rsidRPr="002C6DE8">
        <w:rPr>
          <w:rStyle w:val="StyleUnderline"/>
        </w:rPr>
        <w:t xml:space="preserve">have been the dominant form of warfare </w:t>
      </w:r>
      <w:r w:rsidRPr="002C6DE8">
        <w:rPr>
          <w:rStyle w:val="StyleUnderline"/>
          <w:highlight w:val="yellow"/>
        </w:rPr>
        <w:t>in Africa</w:t>
      </w:r>
      <w:r w:rsidRPr="002C6DE8">
        <w:rPr>
          <w:rStyle w:val="StyleUnderline"/>
        </w:rPr>
        <w:t xml:space="preserve">, but they </w:t>
      </w:r>
      <w:r w:rsidRPr="002C6DE8">
        <w:rPr>
          <w:rStyle w:val="StyleUnderline"/>
          <w:highlight w:val="yellow"/>
        </w:rPr>
        <w:t xml:space="preserve">have </w:t>
      </w:r>
      <w:r w:rsidRPr="002C6DE8">
        <w:rPr>
          <w:rStyle w:val="Emphasis"/>
          <w:highlight w:val="yellow"/>
        </w:rPr>
        <w:t>declined steeply in recent years</w:t>
      </w:r>
      <w:r w:rsidRPr="002C6DE8">
        <w:rPr>
          <w:rStyle w:val="Emphasis"/>
        </w:rPr>
        <w:t>,</w:t>
      </w:r>
      <w:r w:rsidRPr="002C6DE8">
        <w:rPr>
          <w:sz w:val="12"/>
        </w:rPr>
        <w:t xml:space="preserve"> so that </w:t>
      </w:r>
      <w:r w:rsidRPr="002C6DE8">
        <w:rPr>
          <w:rStyle w:val="StyleUnderline"/>
        </w:rPr>
        <w:t>today</w:t>
      </w:r>
      <w:r w:rsidRPr="002C6DE8">
        <w:rPr>
          <w:sz w:val="12"/>
        </w:rPr>
        <w:t xml:space="preserve"> </w:t>
      </w:r>
      <w:r w:rsidRPr="002C6DE8">
        <w:rPr>
          <w:rStyle w:val="StyleUnderline"/>
        </w:rPr>
        <w:t>there are half as many as in the 1990s</w:t>
      </w:r>
      <w:r w:rsidRPr="002C6DE8">
        <w:rPr>
          <w:sz w:val="12"/>
        </w:rPr>
        <w:t xml:space="preserve">. This change tracks global patterns of decline in warfare.6 While some students of African armed conflicts, such as Paul Williams, note the recent trend,7 it is fair to say that </w:t>
      </w:r>
      <w:r w:rsidRPr="002C6DE8">
        <w:rPr>
          <w:rStyle w:val="Emphasis"/>
        </w:rPr>
        <w:t xml:space="preserve">the change in the prevalence of </w:t>
      </w:r>
      <w:r w:rsidRPr="002C6DE8">
        <w:rPr>
          <w:rStyle w:val="Emphasis"/>
          <w:highlight w:val="yellow"/>
        </w:rPr>
        <w:t>civil wars</w:t>
      </w:r>
      <w:r w:rsidRPr="002C6DE8">
        <w:rPr>
          <w:rStyle w:val="Emphasis"/>
        </w:rPr>
        <w:t xml:space="preserve"> is not recognized</w:t>
      </w:r>
      <w:r w:rsidRPr="002C6DE8">
        <w:rPr>
          <w:sz w:val="12"/>
        </w:rPr>
        <w:t xml:space="preserve"> by most Africanists and generalists. Equally important but even less noted is that the character of warfare in Africa has changed. </w:t>
      </w:r>
      <w:r w:rsidRPr="002C6DE8">
        <w:rPr>
          <w:rStyle w:val="StyleUnderline"/>
        </w:rPr>
        <w:t>Today's wars are</w:t>
      </w:r>
      <w:r w:rsidRPr="002C6DE8">
        <w:rPr>
          <w:sz w:val="12"/>
        </w:rPr>
        <w:t xml:space="preserve"> typically </w:t>
      </w:r>
      <w:r w:rsidRPr="002C6DE8">
        <w:rPr>
          <w:rStyle w:val="StyleUnderline"/>
        </w:rPr>
        <w:t xml:space="preserve">fought on the peripheries of states, and insurgents </w:t>
      </w:r>
      <w:r w:rsidRPr="002C6DE8">
        <w:rPr>
          <w:rStyle w:val="StyleUnderline"/>
          <w:highlight w:val="yellow"/>
        </w:rPr>
        <w:t xml:space="preserve">tend to be </w:t>
      </w:r>
      <w:r w:rsidRPr="002C6DE8">
        <w:rPr>
          <w:rStyle w:val="Emphasis"/>
          <w:highlight w:val="yellow"/>
        </w:rPr>
        <w:t>militarily weak and factionalized</w:t>
      </w:r>
      <w:r w:rsidRPr="002C6DE8">
        <w:rPr>
          <w:sz w:val="12"/>
        </w:rPr>
        <w:t xml:space="preserve">. The </w:t>
      </w:r>
      <w:r w:rsidRPr="002C6DE8">
        <w:rPr>
          <w:rStyle w:val="Emphasis"/>
          <w:highlight w:val="yellow"/>
        </w:rPr>
        <w:t>large wars</w:t>
      </w:r>
      <w:r w:rsidRPr="002C6DE8">
        <w:rPr>
          <w:rStyle w:val="Emphasis"/>
        </w:rPr>
        <w:t xml:space="preserve"> that pitted</w:t>
      </w:r>
      <w:r w:rsidRPr="002C6DE8">
        <w:rPr>
          <w:sz w:val="12"/>
        </w:rPr>
        <w:t xml:space="preserve"> major </w:t>
      </w:r>
      <w:r w:rsidRPr="002C6DE8">
        <w:rPr>
          <w:rStyle w:val="Emphasis"/>
        </w:rPr>
        <w:t>fighting forces against each other,</w:t>
      </w:r>
      <w:r w:rsidRPr="002C6DE8">
        <w:rPr>
          <w:sz w:val="12"/>
        </w:rPr>
        <w:t xml:space="preserve"> in which insurgents threatened to capture a capital or to have enough power to secede, and in which insurgents held significant territory – from the Biafra secessionists in Nigeria, to UNITA in Angola, RENAMO in Mozambique, the TPLF in Ethiopia, the EPLF in Eritrea, the SPLM in Sudan, the NRM in Uganda and the RPF in Rwanda – </w:t>
      </w:r>
      <w:r w:rsidRPr="002C6DE8">
        <w:rPr>
          <w:rStyle w:val="Emphasis"/>
          <w:highlight w:val="yellow"/>
        </w:rPr>
        <w:t>are few and far between</w:t>
      </w:r>
      <w:r w:rsidRPr="002C6DE8">
        <w:rPr>
          <w:sz w:val="12"/>
        </w:rPr>
        <w:t xml:space="preserve"> in contemporary sub-Saharan Africa. Somalia's Al-Shabab holds territory and represents a significant threat to the Somali federal transitional government, but given the 20-year void at the centre of Somalia the case is not representative. In April 2011, rebel forces in Côte d'Ivoire captured Abidjan, but they did so with external help and after incumbent Laurent Gbagbo, facing a phalanx of domestic, regional, and international opposition, tried to steal an election.8 </w:t>
      </w:r>
      <w:r w:rsidRPr="002C6DE8">
        <w:rPr>
          <w:rStyle w:val="StyleUnderline"/>
        </w:rPr>
        <w:t>More characteristic</w:t>
      </w:r>
      <w:r w:rsidRPr="002C6DE8">
        <w:rPr>
          <w:sz w:val="12"/>
        </w:rPr>
        <w:t xml:space="preserve"> of the late 2000s and the early 2010s </w:t>
      </w:r>
      <w:r w:rsidRPr="002C6DE8">
        <w:rPr>
          <w:rStyle w:val="StyleUnderline"/>
        </w:rPr>
        <w:t>are</w:t>
      </w:r>
      <w:r w:rsidRPr="002C6DE8">
        <w:rPr>
          <w:sz w:val="12"/>
        </w:rPr>
        <w:t xml:space="preserve"> the </w:t>
      </w:r>
      <w:r w:rsidRPr="002C6DE8">
        <w:rPr>
          <w:rStyle w:val="StyleUnderline"/>
        </w:rPr>
        <w:t xml:space="preserve">low-level </w:t>
      </w:r>
      <w:r w:rsidRPr="002C6DE8">
        <w:rPr>
          <w:rStyle w:val="StyleUnderline"/>
          <w:highlight w:val="yellow"/>
        </w:rPr>
        <w:t>insurgencies</w:t>
      </w:r>
      <w:r w:rsidRPr="002C6DE8">
        <w:rPr>
          <w:sz w:val="12"/>
          <w:highlight w:val="yellow"/>
        </w:rPr>
        <w:t xml:space="preserve"> </w:t>
      </w:r>
      <w:r w:rsidRPr="002C6DE8">
        <w:rPr>
          <w:rStyle w:val="StyleUnderline"/>
          <w:highlight w:val="yellow"/>
        </w:rPr>
        <w:t>in</w:t>
      </w:r>
      <w:r w:rsidRPr="002C6DE8">
        <w:rPr>
          <w:sz w:val="12"/>
        </w:rPr>
        <w:t xml:space="preserve"> Casamance (</w:t>
      </w:r>
      <w:r w:rsidRPr="002C6DE8">
        <w:rPr>
          <w:rStyle w:val="StyleUnderline"/>
          <w:highlight w:val="yellow"/>
        </w:rPr>
        <w:t>Senegal</w:t>
      </w:r>
      <w:r w:rsidRPr="002C6DE8">
        <w:rPr>
          <w:sz w:val="12"/>
        </w:rPr>
        <w:t>), the Ogaden (</w:t>
      </w:r>
      <w:r w:rsidRPr="002C6DE8">
        <w:rPr>
          <w:rStyle w:val="StyleUnderline"/>
          <w:highlight w:val="yellow"/>
        </w:rPr>
        <w:t>Ethiopia</w:t>
      </w:r>
      <w:r w:rsidRPr="002C6DE8">
        <w:rPr>
          <w:sz w:val="12"/>
        </w:rPr>
        <w:t>), the Caprivi strip (</w:t>
      </w:r>
      <w:r w:rsidRPr="002C6DE8">
        <w:rPr>
          <w:rStyle w:val="StyleUnderline"/>
          <w:highlight w:val="yellow"/>
        </w:rPr>
        <w:t>Namibia</w:t>
      </w:r>
      <w:r w:rsidRPr="002C6DE8">
        <w:rPr>
          <w:sz w:val="12"/>
        </w:rPr>
        <w:t>), northern Uganda (</w:t>
      </w:r>
      <w:r w:rsidRPr="002C6DE8">
        <w:rPr>
          <w:rStyle w:val="StyleUnderline"/>
        </w:rPr>
        <w:t>the Lord's Resistance Army</w:t>
      </w:r>
      <w:r w:rsidRPr="002C6DE8">
        <w:rPr>
          <w:sz w:val="12"/>
        </w:rPr>
        <w:t>), Cabinda (</w:t>
      </w:r>
      <w:r w:rsidRPr="002C6DE8">
        <w:rPr>
          <w:rStyle w:val="StyleUnderline"/>
          <w:highlight w:val="yellow"/>
        </w:rPr>
        <w:t>Angola</w:t>
      </w:r>
      <w:r w:rsidRPr="002C6DE8">
        <w:rPr>
          <w:sz w:val="12"/>
        </w:rPr>
        <w:t>), Nigeria (</w:t>
      </w:r>
      <w:r w:rsidRPr="002C6DE8">
        <w:rPr>
          <w:rStyle w:val="StyleUnderline"/>
          <w:highlight w:val="yellow"/>
        </w:rPr>
        <w:t>Boko Haram</w:t>
      </w:r>
      <w:r w:rsidRPr="002C6DE8">
        <w:rPr>
          <w:sz w:val="12"/>
        </w:rPr>
        <w:t xml:space="preserve">), </w:t>
      </w:r>
      <w:r w:rsidRPr="002C6DE8">
        <w:rPr>
          <w:rStyle w:val="StyleUnderline"/>
        </w:rPr>
        <w:t xml:space="preserve">Chad </w:t>
      </w:r>
      <w:r w:rsidRPr="002C6DE8">
        <w:rPr>
          <w:rStyle w:val="StyleUnderline"/>
          <w:highlight w:val="yellow"/>
        </w:rPr>
        <w:t>and the Central African Republic</w:t>
      </w:r>
      <w:r w:rsidRPr="002C6DE8">
        <w:rPr>
          <w:sz w:val="12"/>
        </w:rPr>
        <w:t xml:space="preserve"> (various armed groups in the east), </w:t>
      </w:r>
      <w:r w:rsidRPr="002C6DE8">
        <w:rPr>
          <w:rStyle w:val="StyleUnderline"/>
        </w:rPr>
        <w:t>Sudan</w:t>
      </w:r>
      <w:r w:rsidRPr="002C6DE8">
        <w:rPr>
          <w:sz w:val="12"/>
        </w:rPr>
        <w:t xml:space="preserve"> (Darfur), </w:t>
      </w:r>
      <w:r w:rsidRPr="002C6DE8">
        <w:rPr>
          <w:rStyle w:val="StyleUnderline"/>
        </w:rPr>
        <w:t>and South Sudan, as well as the</w:t>
      </w:r>
      <w:r w:rsidRPr="002C6DE8">
        <w:rPr>
          <w:sz w:val="12"/>
        </w:rPr>
        <w:t xml:space="preserve"> insurgent-bandits in eastern </w:t>
      </w:r>
      <w:r w:rsidRPr="002C6DE8">
        <w:rPr>
          <w:rStyle w:val="StyleUnderline"/>
        </w:rPr>
        <w:t>Congo</w:t>
      </w:r>
      <w:r w:rsidRPr="002C6DE8">
        <w:rPr>
          <w:sz w:val="12"/>
        </w:rPr>
        <w:t xml:space="preserve"> (a variety of armed actors, including Rwandan insurgents) </w:t>
      </w:r>
      <w:r w:rsidRPr="002C6DE8">
        <w:rPr>
          <w:rStyle w:val="StyleUnderline"/>
        </w:rPr>
        <w:t>and northern Mali</w:t>
      </w:r>
      <w:r w:rsidRPr="002C6DE8">
        <w:rPr>
          <w:sz w:val="12"/>
        </w:rPr>
        <w:t xml:space="preserve"> (al-Qaeda in the Maghreb). Although </w:t>
      </w:r>
      <w:r w:rsidRPr="002C6DE8">
        <w:rPr>
          <w:rStyle w:val="StyleUnderline"/>
        </w:rPr>
        <w:t>these</w:t>
      </w:r>
      <w:r w:rsidRPr="002C6DE8">
        <w:rPr>
          <w:sz w:val="12"/>
        </w:rPr>
        <w:t xml:space="preserve"> armed </w:t>
      </w:r>
      <w:r w:rsidRPr="002C6DE8">
        <w:rPr>
          <w:rStyle w:val="StyleUnderline"/>
        </w:rPr>
        <w:t>groups</w:t>
      </w:r>
      <w:r w:rsidRPr="002C6DE8">
        <w:rPr>
          <w:sz w:val="12"/>
        </w:rPr>
        <w:t xml:space="preserve"> are in some cases capable of sowing terror and disruption, they </w:t>
      </w:r>
      <w:r w:rsidRPr="002C6DE8">
        <w:rPr>
          <w:rStyle w:val="Emphasis"/>
          <w:highlight w:val="yellow"/>
        </w:rPr>
        <w:t>tend to be small in size, internally divided, poorly structured</w:t>
      </w:r>
      <w:r w:rsidRPr="002C6DE8">
        <w:rPr>
          <w:rStyle w:val="Emphasis"/>
        </w:rPr>
        <w:t xml:space="preserve"> and trained, </w:t>
      </w:r>
      <w:r w:rsidRPr="002C6DE8">
        <w:rPr>
          <w:rStyle w:val="Emphasis"/>
          <w:highlight w:val="yellow"/>
        </w:rPr>
        <w:t xml:space="preserve">and </w:t>
      </w:r>
      <w:r w:rsidRPr="002C6DE8">
        <w:rPr>
          <w:rStyle w:val="Emphasis"/>
          <w:highlight w:val="yellow"/>
          <w:bdr w:val="single" w:sz="4" w:space="0" w:color="auto"/>
        </w:rPr>
        <w:t>without access to heavy weapons</w:t>
      </w:r>
      <w:r w:rsidRPr="002C6DE8">
        <w:rPr>
          <w:sz w:val="12"/>
        </w:rPr>
        <w:t xml:space="preserve">.9 Several of today's rebel groups have strong transnational characteristics, that is, insurgents move fluidly between states. </w:t>
      </w:r>
      <w:r w:rsidRPr="002C6DE8">
        <w:rPr>
          <w:rStyle w:val="StyleUnderline"/>
        </w:rPr>
        <w:t>Few are</w:t>
      </w:r>
      <w:r w:rsidRPr="002C6DE8">
        <w:rPr>
          <w:sz w:val="12"/>
        </w:rPr>
        <w:t xml:space="preserve"> at present </w:t>
      </w:r>
      <w:r w:rsidRPr="002C6DE8">
        <w:rPr>
          <w:rStyle w:val="StyleUnderline"/>
        </w:rPr>
        <w:t xml:space="preserve">a </w:t>
      </w:r>
      <w:r w:rsidRPr="002C6DE8">
        <w:rPr>
          <w:sz w:val="12"/>
        </w:rPr>
        <w:t xml:space="preserve">significant military </w:t>
      </w:r>
      <w:r w:rsidRPr="002C6DE8">
        <w:rPr>
          <w:rStyle w:val="StyleUnderline"/>
        </w:rPr>
        <w:t>threat</w:t>
      </w:r>
      <w:r w:rsidRPr="002C6DE8">
        <w:rPr>
          <w:sz w:val="12"/>
        </w:rPr>
        <w:t xml:space="preserve"> to the governments they face or in a position to seize and hold large swaths of territory.</w:t>
      </w:r>
    </w:p>
    <w:p w14:paraId="43B50876" w14:textId="77777777" w:rsidR="00F54164" w:rsidRPr="002C6DE8" w:rsidRDefault="00F54164" w:rsidP="00F54164">
      <w:pPr>
        <w:pStyle w:val="Heading4"/>
      </w:pPr>
      <w:r>
        <w:t xml:space="preserve">b) </w:t>
      </w:r>
      <w:r w:rsidRPr="002C6DE8">
        <w:t>Peacekeeping</w:t>
      </w:r>
    </w:p>
    <w:p w14:paraId="13127534" w14:textId="77777777" w:rsidR="00F54164" w:rsidRPr="002C6DE8" w:rsidRDefault="00F54164" w:rsidP="00F54164">
      <w:r w:rsidRPr="002C6DE8">
        <w:t xml:space="preserve">H˚avard </w:t>
      </w:r>
      <w:r w:rsidRPr="002C6DE8">
        <w:rPr>
          <w:rStyle w:val="Style13ptBold"/>
        </w:rPr>
        <w:t>Hegre 13</w:t>
      </w:r>
      <w:r w:rsidRPr="002C6DE8">
        <w:t xml:space="preserve"> , Centre for the Study of Civil War, Lisa Hultman, Uppsala University , H˚avard Mokleiv Nyg˚ard, University of Oslo, 6/11/13, Evaluating the conflict-reducing effect of UN peacekeeping operation, http://havardhegre.files.wordpress.com/2013/10/pko_prediction_2012.pd</w:t>
      </w:r>
    </w:p>
    <w:p w14:paraId="462719AB" w14:textId="77777777" w:rsidR="00F54164" w:rsidRPr="002C6DE8" w:rsidRDefault="00F54164" w:rsidP="00F54164">
      <w:pPr>
        <w:rPr>
          <w:szCs w:val="20"/>
          <w:u w:val="single"/>
        </w:rPr>
      </w:pPr>
      <w:r w:rsidRPr="002C6DE8">
        <w:rPr>
          <w:rStyle w:val="StyleUnderline"/>
          <w:highlight w:val="cyan"/>
        </w:rPr>
        <w:t>PKOs</w:t>
      </w:r>
      <w:r w:rsidRPr="002C6DE8">
        <w:rPr>
          <w:rStyle w:val="StyleUnderline"/>
        </w:rPr>
        <w:t xml:space="preserve"> seem to </w:t>
      </w:r>
      <w:r w:rsidRPr="002C6DE8">
        <w:rPr>
          <w:rStyle w:val="StyleUnderline"/>
          <w:highlight w:val="cyan"/>
        </w:rPr>
        <w:t>have the strongest effects in</w:t>
      </w:r>
      <w:r w:rsidRPr="002C6DE8">
        <w:rPr>
          <w:rStyle w:val="StyleUnderline"/>
        </w:rPr>
        <w:t xml:space="preserve"> ‘West Asia and </w:t>
      </w:r>
      <w:r w:rsidRPr="002C6DE8">
        <w:rPr>
          <w:rStyle w:val="StyleUnderline"/>
          <w:highlight w:val="cyan"/>
        </w:rPr>
        <w:t>North Africa</w:t>
      </w:r>
      <w:r w:rsidRPr="002C6DE8">
        <w:rPr>
          <w:rStyle w:val="StyleUnderline"/>
        </w:rPr>
        <w:t>’, ‘East, Central, and Southern Africa’ and ‘South and Central Asia’</w:t>
      </w:r>
      <w:r w:rsidRPr="002C6DE8">
        <w:rPr>
          <w:sz w:val="16"/>
        </w:rPr>
        <w:t xml:space="preserve"> (regions 4, 6, and 7). Since the other three regions have had few major conflicts in the post-Cold war period, </w:t>
      </w:r>
      <w:r w:rsidRPr="002C6DE8">
        <w:rPr>
          <w:rStyle w:val="StyleUnderline"/>
        </w:rPr>
        <w:t xml:space="preserve">the model </w:t>
      </w:r>
      <w:r w:rsidRPr="002C6DE8">
        <w:rPr>
          <w:rStyle w:val="Emphasis"/>
          <w:highlight w:val="cyan"/>
        </w:rPr>
        <w:t>predicts a continued low incidence of these conflicts</w:t>
      </w:r>
      <w:r w:rsidRPr="002C6DE8">
        <w:rPr>
          <w:rStyle w:val="StyleUnderline"/>
        </w:rPr>
        <w:t>.</w:t>
      </w:r>
      <w:r w:rsidRPr="002C6DE8">
        <w:rPr>
          <w:sz w:val="16"/>
        </w:rPr>
        <w:t xml:space="preserve"> Since PKOs in our scenarios are initiated only in major conflicts, we consequently predict fewer deployments in these regions, and they therefore only marginally affect the regional incidence of conflict. In the other three regions, however, </w:t>
      </w:r>
      <w:r w:rsidRPr="002C6DE8">
        <w:rPr>
          <w:rStyle w:val="StyleUnderline"/>
        </w:rPr>
        <w:t xml:space="preserve">PKOs substantially reduce the number of conflicts. In the ‘West Asia and North Africa’ region, </w:t>
      </w:r>
      <w:r w:rsidRPr="002C6DE8">
        <w:rPr>
          <w:rStyle w:val="StyleUnderline"/>
          <w:highlight w:val="cyan"/>
        </w:rPr>
        <w:t xml:space="preserve">we predict a </w:t>
      </w:r>
      <w:r w:rsidRPr="002C6DE8">
        <w:rPr>
          <w:rStyle w:val="Emphasis"/>
          <w:highlight w:val="cyan"/>
        </w:rPr>
        <w:t>clear decline in the incidence of conflict</w:t>
      </w:r>
      <w:r w:rsidRPr="002C6DE8">
        <w:rPr>
          <w:rStyle w:val="StyleUnderline"/>
          <w:highlight w:val="cyan"/>
        </w:rPr>
        <w:t xml:space="preserve"> because of the relatively high levels of socio-economic development in the region</w:t>
      </w:r>
      <w:r w:rsidRPr="002C6DE8">
        <w:rPr>
          <w:rStyle w:val="StyleUnderline"/>
        </w:rPr>
        <w:t xml:space="preserve">. Particularly in the first 15 years of the simulation, </w:t>
      </w:r>
      <w:r w:rsidRPr="002C6DE8">
        <w:rPr>
          <w:rStyle w:val="StyleUnderline"/>
          <w:highlight w:val="cyan"/>
        </w:rPr>
        <w:t>PKOs</w:t>
      </w:r>
      <w:r w:rsidRPr="002C6DE8">
        <w:rPr>
          <w:rStyle w:val="StyleUnderline"/>
        </w:rPr>
        <w:t xml:space="preserve"> with strong mandates would according to our model </w:t>
      </w:r>
      <w:r w:rsidRPr="002C6DE8">
        <w:rPr>
          <w:rStyle w:val="StyleUnderline"/>
          <w:highlight w:val="cyan"/>
        </w:rPr>
        <w:t>reinforce this declining trend.</w:t>
      </w:r>
      <w:r w:rsidRPr="002C6DE8">
        <w:rPr>
          <w:rStyle w:val="StyleUnderline"/>
        </w:rPr>
        <w:t xml:space="preserve"> </w:t>
      </w:r>
      <w:r w:rsidRPr="002C6DE8">
        <w:rPr>
          <w:sz w:val="16"/>
        </w:rPr>
        <w:t>Since there are few large countries in the region, there is little difference between S6 and S8 for this region.</w:t>
      </w:r>
    </w:p>
    <w:p w14:paraId="65107D6D" w14:textId="77777777" w:rsidR="00F54164" w:rsidRPr="000F16AD" w:rsidRDefault="00F54164" w:rsidP="00F54164"/>
    <w:p w14:paraId="44A8A34D" w14:textId="77777777" w:rsidR="00F54164" w:rsidRDefault="00F54164" w:rsidP="00F54164">
      <w:pPr>
        <w:pStyle w:val="Heading3"/>
      </w:pPr>
      <w:r>
        <w:t>Offense</w:t>
      </w:r>
    </w:p>
    <w:p w14:paraId="148D9F9C" w14:textId="77777777" w:rsidR="00F54164" w:rsidRPr="00630988" w:rsidRDefault="00F54164" w:rsidP="00F54164">
      <w:pPr>
        <w:pStyle w:val="ListParagraph"/>
        <w:keepNext/>
        <w:keepLines/>
        <w:numPr>
          <w:ilvl w:val="0"/>
          <w:numId w:val="15"/>
        </w:numPr>
        <w:spacing w:before="40" w:after="0"/>
        <w:outlineLvl w:val="3"/>
        <w:rPr>
          <w:rFonts w:eastAsia="Times New Roman" w:cs="Times New Roman"/>
          <w:b/>
          <w:iCs/>
          <w:sz w:val="26"/>
        </w:rPr>
      </w:pPr>
      <w:r w:rsidRPr="00630988">
        <w:rPr>
          <w:rFonts w:eastAsia="Times New Roman" w:cs="Times New Roman"/>
          <w:b/>
          <w:iCs/>
          <w:sz w:val="26"/>
        </w:rPr>
        <w:t>IPR is key to stopping counterfeits.</w:t>
      </w:r>
    </w:p>
    <w:p w14:paraId="1830E6F6" w14:textId="77777777" w:rsidR="00F54164" w:rsidRPr="00630988" w:rsidRDefault="00F54164" w:rsidP="00F54164">
      <w:pPr>
        <w:pStyle w:val="ListParagraph"/>
        <w:ind w:left="1440"/>
        <w:rPr>
          <w:rFonts w:eastAsia="Calibri"/>
        </w:rPr>
      </w:pPr>
      <w:r w:rsidRPr="00630988">
        <w:rPr>
          <w:rFonts w:eastAsia="Calibri"/>
          <w:b/>
          <w:bCs/>
          <w:sz w:val="26"/>
        </w:rPr>
        <w:t>Kilbride 2020</w:t>
      </w:r>
      <w:r w:rsidRPr="00630988">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27192331" w14:textId="77777777" w:rsidR="00F54164" w:rsidRPr="00630988" w:rsidRDefault="00F54164" w:rsidP="00F54164">
      <w:pPr>
        <w:pStyle w:val="ListParagraph"/>
        <w:ind w:left="1440"/>
        <w:rPr>
          <w:rFonts w:eastAsia="Calibri"/>
          <w:u w:val="single"/>
        </w:rPr>
      </w:pPr>
      <w:r w:rsidRPr="00630988">
        <w:rPr>
          <w:rFonts w:eastAsia="Calibri"/>
          <w:sz w:val="12"/>
        </w:rPr>
        <w:t xml:space="preserve">Finally: A safe, legitimate marketplace. </w:t>
      </w:r>
      <w:r w:rsidRPr="00630988">
        <w:rPr>
          <w:rFonts w:eastAsia="Calibri"/>
          <w:highlight w:val="yellow"/>
          <w:u w:val="single"/>
        </w:rPr>
        <w:t>Patents</w:t>
      </w:r>
      <w:r w:rsidRPr="00630988">
        <w:rPr>
          <w:rFonts w:eastAsia="Calibri"/>
          <w:u w:val="single"/>
        </w:rPr>
        <w:t xml:space="preserve"> facilitate a market for innovative medicines</w:t>
      </w:r>
      <w:r w:rsidRPr="00630988">
        <w:rPr>
          <w:rFonts w:eastAsia="Calibri"/>
          <w:sz w:val="12"/>
        </w:rPr>
        <w:t xml:space="preserve">, throughout the development stage, as well as in commercialization.  Licensing arrangements facilitate the types of collaborations that have proven so successful in 2020; </w:t>
      </w:r>
      <w:r w:rsidRPr="00630988">
        <w:rPr>
          <w:rFonts w:eastAsia="Calibri"/>
          <w:u w:val="single"/>
        </w:rPr>
        <w:t xml:space="preserve">they also </w:t>
      </w:r>
      <w:r w:rsidRPr="00630988">
        <w:rPr>
          <w:rFonts w:eastAsia="Calibri"/>
          <w:highlight w:val="yellow"/>
          <w:u w:val="single"/>
        </w:rPr>
        <w:t>ensure that third-party manufacturers are making, using, and selling COVID</w:t>
      </w:r>
      <w:r w:rsidRPr="00630988">
        <w:rPr>
          <w:rFonts w:eastAsia="Calibri"/>
          <w:u w:val="single"/>
        </w:rPr>
        <w:t xml:space="preserve">-19 </w:t>
      </w:r>
      <w:r w:rsidRPr="00630988">
        <w:rPr>
          <w:rFonts w:eastAsia="Calibri"/>
          <w:highlight w:val="yellow"/>
          <w:u w:val="single"/>
        </w:rPr>
        <w:t>solutions safely and ethically.</w:t>
      </w:r>
      <w:r w:rsidRPr="00630988">
        <w:rPr>
          <w:rFonts w:eastAsia="Calibri"/>
          <w:sz w:val="12"/>
        </w:rPr>
        <w:t xml:space="preserve"> </w:t>
      </w:r>
      <w:r w:rsidRPr="00630988">
        <w:rPr>
          <w:rFonts w:eastAsia="Calibri"/>
          <w:highlight w:val="yellow"/>
          <w:u w:val="single"/>
        </w:rPr>
        <w:t>Without it, counterfeiters</w:t>
      </w:r>
      <w:r w:rsidRPr="00630988">
        <w:rPr>
          <w:rFonts w:eastAsia="Calibri"/>
          <w:u w:val="single"/>
        </w:rPr>
        <w:t xml:space="preserve"> and other bad actors could </w:t>
      </w:r>
      <w:r w:rsidRPr="00630988">
        <w:rPr>
          <w:rFonts w:eastAsia="Calibri"/>
          <w:highlight w:val="yellow"/>
          <w:u w:val="single"/>
        </w:rPr>
        <w:t>put shoddy, unreliable, and</w:t>
      </w:r>
      <w:r w:rsidRPr="00630988">
        <w:rPr>
          <w:rFonts w:eastAsia="Calibri"/>
          <w:u w:val="single"/>
        </w:rPr>
        <w:t xml:space="preserve"> downright </w:t>
      </w:r>
      <w:r w:rsidRPr="00630988">
        <w:rPr>
          <w:rFonts w:eastAsia="Calibri"/>
          <w:highlight w:val="yellow"/>
          <w:u w:val="single"/>
        </w:rPr>
        <w:t>dangerous dupes on the market,</w:t>
      </w:r>
      <w:r w:rsidRPr="00630988">
        <w:rPr>
          <w:rFonts w:eastAsia="Calibri"/>
          <w:u w:val="single"/>
        </w:rPr>
        <w:t xml:space="preserve"> all the </w:t>
      </w:r>
      <w:r w:rsidRPr="00630988">
        <w:rPr>
          <w:rFonts w:eastAsia="Calibri"/>
          <w:highlight w:val="yellow"/>
          <w:u w:val="single"/>
        </w:rPr>
        <w:t>while marketing them as legitimate products.</w:t>
      </w:r>
      <w:r w:rsidRPr="00630988">
        <w:rPr>
          <w:rFonts w:eastAsia="Calibri"/>
          <w:u w:val="single"/>
        </w:rPr>
        <w:t xml:space="preserve"> It’s literally a matter of life and death: </w:t>
      </w:r>
      <w:r w:rsidRPr="00630988">
        <w:rPr>
          <w:rFonts w:eastAsia="Calibri"/>
          <w:highlight w:val="yellow"/>
          <w:u w:val="single"/>
        </w:rPr>
        <w:t>Thousands, if not millions, of people die each year at the hands of counterfeit drugs.</w:t>
      </w:r>
    </w:p>
    <w:p w14:paraId="0A67CEA5" w14:textId="77777777" w:rsidR="00F54164" w:rsidRPr="009778AE" w:rsidRDefault="00F54164" w:rsidP="00F54164">
      <w:pPr>
        <w:pStyle w:val="Heading4"/>
        <w:numPr>
          <w:ilvl w:val="0"/>
          <w:numId w:val="15"/>
        </w:numPr>
        <w:rPr>
          <w:rFonts w:eastAsia="Calibri" w:cstheme="minorBidi"/>
          <w:sz w:val="22"/>
          <w:u w:val="single"/>
        </w:rPr>
      </w:pPr>
      <w:r w:rsidRPr="002176FE">
        <w:t>Turns case – increased vaccine hesitancy means you’ll never solve.</w:t>
      </w:r>
    </w:p>
    <w:p w14:paraId="4B6F3A20" w14:textId="77777777" w:rsidR="00F54164" w:rsidRPr="002176FE" w:rsidRDefault="00F54164" w:rsidP="00F54164">
      <w:pPr>
        <w:rPr>
          <w:rFonts w:eastAsia="Calibri"/>
        </w:rPr>
      </w:pPr>
      <w:r w:rsidRPr="002176FE">
        <w:rPr>
          <w:rFonts w:eastAsia="Calibri"/>
          <w:b/>
          <w:bCs/>
          <w:sz w:val="26"/>
        </w:rPr>
        <w:t>Baschuk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0515C195" w14:textId="77777777" w:rsidR="00F54164" w:rsidRPr="002176FE" w:rsidRDefault="00F54164" w:rsidP="00F54164">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arrangements.¶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2EB03072" w14:textId="77777777" w:rsidR="00F54164" w:rsidRPr="004E0D98" w:rsidRDefault="00F54164" w:rsidP="00F54164">
      <w:pPr>
        <w:pStyle w:val="Heading4"/>
        <w:numPr>
          <w:ilvl w:val="0"/>
          <w:numId w:val="15"/>
        </w:numPr>
        <w:rPr>
          <w:rFonts w:eastAsia="SimSun" w:cs="Times New Roman"/>
        </w:rPr>
      </w:pPr>
      <w:r>
        <w:t xml:space="preserve"> 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383F4B8C" w14:textId="77777777" w:rsidR="00F54164" w:rsidRPr="004E0D98" w:rsidRDefault="00F54164" w:rsidP="00F54164">
      <w:pPr>
        <w:rPr>
          <w:rFonts w:eastAsia="Calibri"/>
        </w:rPr>
      </w:pPr>
      <w:r>
        <w:rPr>
          <w:rStyle w:val="Style13ptBold"/>
        </w:rPr>
        <w:t>Crosby et al. 21</w:t>
      </w:r>
      <w:r w:rsidRPr="004E0D98">
        <w:rPr>
          <w:rFonts w:eastAsia="Calibri"/>
        </w:rPr>
        <w:t>Daniel Crosby, Evan Diamond, Isabel Fernandez De La Cuesta, Jamieson Greer, Jeffrey Telep,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JPark</w:t>
      </w:r>
    </w:p>
    <w:p w14:paraId="6F42144C" w14:textId="77777777" w:rsidR="00F54164" w:rsidRDefault="00F54164" w:rsidP="00F54164">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55118AAA" w14:textId="77777777" w:rsidR="00F54164" w:rsidRPr="00630988" w:rsidRDefault="00F54164" w:rsidP="00F54164"/>
    <w:p w14:paraId="1D017AB2" w14:textId="77777777" w:rsidR="00F54164" w:rsidRDefault="00F54164" w:rsidP="00F54164">
      <w:pPr>
        <w:pStyle w:val="Heading3"/>
      </w:pPr>
      <w:r>
        <w:t>Inherency</w:t>
      </w:r>
    </w:p>
    <w:p w14:paraId="5CCCB775" w14:textId="77777777" w:rsidR="00F54164" w:rsidRPr="00F601E6" w:rsidRDefault="00F54164" w:rsidP="00F54164">
      <w:pPr>
        <w:pStyle w:val="Heading4"/>
        <w:numPr>
          <w:ilvl w:val="0"/>
          <w:numId w:val="17"/>
        </w:numPr>
      </w:pPr>
      <w:r>
        <w:t xml:space="preserve">No inherency - The Covid vaccine waiver will pass in the status quo—many countries are switching their positions now . </w:t>
      </w:r>
    </w:p>
    <w:p w14:paraId="7BACB2DD" w14:textId="34A6F792" w:rsidR="00E42E4C" w:rsidRPr="00F601E6" w:rsidRDefault="00E42E4C" w:rsidP="00C82901">
      <w:pPr>
        <w:pStyle w:val="Heading4"/>
        <w:numPr>
          <w:ilvl w:val="0"/>
          <w:numId w:val="17"/>
        </w:numPr>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9958F5"/>
    <w:multiLevelType w:val="hybridMultilevel"/>
    <w:tmpl w:val="F4D66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A34A77"/>
    <w:multiLevelType w:val="hybridMultilevel"/>
    <w:tmpl w:val="93C693EA"/>
    <w:lvl w:ilvl="0" w:tplc="8BE41FF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36E6F"/>
    <w:multiLevelType w:val="hybridMultilevel"/>
    <w:tmpl w:val="61A0B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0C6A6E"/>
    <w:multiLevelType w:val="hybridMultilevel"/>
    <w:tmpl w:val="FD72AC24"/>
    <w:lvl w:ilvl="0" w:tplc="C0089D24">
      <w:numFmt w:val="bullet"/>
      <w:lvlText w:val="-"/>
      <w:lvlJc w:val="left"/>
      <w:pPr>
        <w:ind w:left="1440" w:hanging="360"/>
      </w:pPr>
      <w:rPr>
        <w:rFonts w:ascii="Calibri" w:eastAsiaTheme="majorEastAsia"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2352B4"/>
    <w:multiLevelType w:val="hybridMultilevel"/>
    <w:tmpl w:val="9354868E"/>
    <w:lvl w:ilvl="0" w:tplc="FD7E63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88461FD"/>
    <w:multiLevelType w:val="hybridMultilevel"/>
    <w:tmpl w:val="09AC65DA"/>
    <w:lvl w:ilvl="0" w:tplc="B1F20988">
      <w:start w:val="1"/>
      <w:numFmt w:val="decimal"/>
      <w:lvlText w:val="%1."/>
      <w:lvlJc w:val="left"/>
      <w:pPr>
        <w:ind w:left="1440" w:hanging="360"/>
      </w:pPr>
      <w:rPr>
        <w:rFonts w:eastAsiaTheme="majorEastAsia" w:cstheme="majorBidi" w:hint="default"/>
        <w:sz w:val="26"/>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CAA086C"/>
    <w:multiLevelType w:val="hybridMultilevel"/>
    <w:tmpl w:val="52727AA2"/>
    <w:lvl w:ilvl="0" w:tplc="E8CEE1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7"/>
  </w:num>
  <w:num w:numId="15">
    <w:abstractNumId w:val="16"/>
  </w:num>
  <w:num w:numId="16">
    <w:abstractNumId w:val="1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6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78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6AD"/>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98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8AE"/>
    <w:rsid w:val="00981F23"/>
    <w:rsid w:val="00990634"/>
    <w:rsid w:val="00991733"/>
    <w:rsid w:val="00992078"/>
    <w:rsid w:val="00992BE3"/>
    <w:rsid w:val="009A1467"/>
    <w:rsid w:val="009A6464"/>
    <w:rsid w:val="009B69F5"/>
    <w:rsid w:val="009C1D4D"/>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90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16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FD44AD"/>
  <w14:defaultImageDpi w14:val="300"/>
  <w15:docId w15:val="{2FB41BBE-9C79-C94E-8EB1-C1E7F53F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78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78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9778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78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9778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78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78AE"/>
  </w:style>
  <w:style w:type="character" w:customStyle="1" w:styleId="Heading1Char">
    <w:name w:val="Heading 1 Char"/>
    <w:aliases w:val="Pocket Char"/>
    <w:basedOn w:val="DefaultParagraphFont"/>
    <w:link w:val="Heading1"/>
    <w:uiPriority w:val="9"/>
    <w:rsid w:val="009778AE"/>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9778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78A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778A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778A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9778AE"/>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9778A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78A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778AE"/>
    <w:rPr>
      <w:color w:val="auto"/>
      <w:u w:val="none"/>
    </w:rPr>
  </w:style>
  <w:style w:type="paragraph" w:styleId="DocumentMap">
    <w:name w:val="Document Map"/>
    <w:basedOn w:val="Normal"/>
    <w:link w:val="DocumentMapChar"/>
    <w:uiPriority w:val="99"/>
    <w:semiHidden/>
    <w:unhideWhenUsed/>
    <w:rsid w:val="009778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78AE"/>
    <w:rPr>
      <w:rFonts w:ascii="Lucida Grande" w:hAnsi="Lucida Grande" w:cs="Lucida Grande"/>
    </w:rPr>
  </w:style>
  <w:style w:type="paragraph" w:customStyle="1" w:styleId="textbold">
    <w:name w:val="text bold"/>
    <w:basedOn w:val="Normal"/>
    <w:link w:val="Emphasis"/>
    <w:uiPriority w:val="20"/>
    <w:qFormat/>
    <w:rsid w:val="009778AE"/>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Card Format"/>
    <w:basedOn w:val="Heading1"/>
    <w:link w:val="Hyperlink"/>
    <w:autoRedefine/>
    <w:uiPriority w:val="99"/>
    <w:qFormat/>
    <w:rsid w:val="009778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778A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34"/>
    <w:qFormat/>
    <w:rsid w:val="00977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12</Pages>
  <Words>8007</Words>
  <Characters>45646</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3</cp:revision>
  <dcterms:created xsi:type="dcterms:W3CDTF">2021-09-18T19:56:00Z</dcterms:created>
  <dcterms:modified xsi:type="dcterms:W3CDTF">2021-09-18T21:23:00Z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