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78C45" w14:textId="77777777" w:rsidR="008D576F" w:rsidRDefault="008D576F" w:rsidP="008D576F">
      <w:pPr>
        <w:pStyle w:val="Heading1"/>
      </w:pPr>
      <w:r>
        <w:t>T Nebel</w:t>
      </w:r>
    </w:p>
    <w:p w14:paraId="235CF4EE" w14:textId="77777777" w:rsidR="008D576F" w:rsidRDefault="008D576F" w:rsidP="008D576F">
      <w:pPr>
        <w:pStyle w:val="Heading2"/>
      </w:pPr>
      <w:r>
        <w:lastRenderedPageBreak/>
        <w:t>NC - T Nebel</w:t>
      </w:r>
    </w:p>
    <w:p w14:paraId="402D1B56" w14:textId="77777777" w:rsidR="008D576F" w:rsidRPr="00B02FC5" w:rsidRDefault="008D576F" w:rsidP="008D576F">
      <w:pPr>
        <w:pStyle w:val="Heading3"/>
      </w:pPr>
      <w:r>
        <w:lastRenderedPageBreak/>
        <w:t>NC – T Nebel Medicines</w:t>
      </w:r>
    </w:p>
    <w:p w14:paraId="1D7E9A05" w14:textId="77777777" w:rsidR="008D576F" w:rsidRPr="009811A7" w:rsidRDefault="008D576F" w:rsidP="008D576F">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1CE77B40" w14:textId="77777777" w:rsidR="008D576F" w:rsidRPr="009811A7" w:rsidRDefault="008D576F" w:rsidP="008D576F">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776FFA06" w14:textId="77777777" w:rsidR="008D576F" w:rsidRPr="009811A7" w:rsidRDefault="008D576F" w:rsidP="008D576F">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DD7A5BA" w14:textId="77777777" w:rsidR="008D576F" w:rsidRPr="009811A7" w:rsidRDefault="008D576F" w:rsidP="008D576F">
      <w:pPr>
        <w:rPr>
          <w:sz w:val="12"/>
        </w:rPr>
      </w:pPr>
    </w:p>
    <w:p w14:paraId="74FD999F" w14:textId="77777777" w:rsidR="008D576F" w:rsidRPr="009811A7" w:rsidRDefault="008D576F" w:rsidP="008D576F">
      <w:pPr>
        <w:pStyle w:val="Heading4"/>
        <w:rPr>
          <w:rFonts w:cs="Calibri"/>
        </w:rPr>
      </w:pPr>
      <w:r w:rsidRPr="009811A7">
        <w:rPr>
          <w:rFonts w:cs="Calibri"/>
        </w:rPr>
        <w:t>It applies to medicines:</w:t>
      </w:r>
    </w:p>
    <w:p w14:paraId="3FFB6CC9" w14:textId="77777777" w:rsidR="008D576F" w:rsidRPr="009811A7" w:rsidRDefault="008D576F" w:rsidP="008D576F">
      <w:pPr>
        <w:pStyle w:val="Heading4"/>
        <w:numPr>
          <w:ilvl w:val="0"/>
          <w:numId w:val="13"/>
        </w:numPr>
        <w:tabs>
          <w:tab w:val="num" w:pos="360"/>
          <w:tab w:val="num" w:pos="720"/>
        </w:tabs>
        <w:ind w:left="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2B8936F5" w14:textId="77777777" w:rsidR="008D576F" w:rsidRDefault="008D576F" w:rsidP="008D576F">
      <w:pPr>
        <w:pStyle w:val="Heading4"/>
        <w:numPr>
          <w:ilvl w:val="0"/>
          <w:numId w:val="13"/>
        </w:numPr>
        <w:tabs>
          <w:tab w:val="num" w:pos="360"/>
          <w:tab w:val="num" w:pos="720"/>
        </w:tabs>
        <w:ind w:left="0" w:firstLine="0"/>
        <w:rPr>
          <w:rFonts w:cs="Calibri"/>
        </w:rPr>
      </w:pPr>
      <w:r w:rsidRPr="009811A7">
        <w:rPr>
          <w:rFonts w:cs="Calibri"/>
        </w:rPr>
        <w:t>Adverb test – adding “usually” to the res doesn’t substantially change its meaning because a reduction is permanent</w:t>
      </w:r>
    </w:p>
    <w:p w14:paraId="4A0E29F9" w14:textId="77777777" w:rsidR="008D576F" w:rsidRPr="009811A7" w:rsidRDefault="008D576F" w:rsidP="008D576F"/>
    <w:p w14:paraId="1C6D0E8D" w14:textId="77777777" w:rsidR="008D576F" w:rsidRPr="009811A7" w:rsidRDefault="008D576F" w:rsidP="008D576F">
      <w:pPr>
        <w:pStyle w:val="Heading4"/>
        <w:rPr>
          <w:rFonts w:cs="Calibri"/>
        </w:rPr>
      </w:pPr>
      <w:r w:rsidRPr="009811A7">
        <w:rPr>
          <w:rFonts w:cs="Calibri"/>
        </w:rPr>
        <w:t>Vote neg:</w:t>
      </w:r>
    </w:p>
    <w:p w14:paraId="1ED3E994" w14:textId="77777777" w:rsidR="008D576F" w:rsidRPr="009811A7" w:rsidRDefault="008D576F" w:rsidP="008D576F">
      <w:pPr>
        <w:pStyle w:val="Heading4"/>
        <w:numPr>
          <w:ilvl w:val="0"/>
          <w:numId w:val="14"/>
        </w:numPr>
        <w:tabs>
          <w:tab w:val="num" w:pos="360"/>
        </w:tabs>
        <w:ind w:left="0" w:firstLine="0"/>
        <w:rPr>
          <w:rFonts w:cs="Calibri"/>
        </w:rPr>
      </w:pPr>
      <w:r w:rsidRPr="009811A7">
        <w:rPr>
          <w:rFonts w:cs="Calibri"/>
        </w:rPr>
        <w:t>Semantics o</w:t>
      </w:r>
      <w:r w:rsidRPr="009811A7">
        <w:rPr>
          <w:rFonts w:eastAsia="MS Gothic" w:cs="Calibri"/>
        </w:rPr>
        <w:t>utweigh:</w:t>
      </w:r>
    </w:p>
    <w:p w14:paraId="42B488A4" w14:textId="77777777" w:rsidR="008D576F" w:rsidRPr="009811A7" w:rsidRDefault="008D576F" w:rsidP="008D576F">
      <w:pPr>
        <w:pStyle w:val="Heading4"/>
        <w:numPr>
          <w:ilvl w:val="1"/>
          <w:numId w:val="14"/>
        </w:numPr>
        <w:tabs>
          <w:tab w:val="num" w:pos="360"/>
        </w:tabs>
        <w:ind w:left="0" w:firstLine="0"/>
        <w:rPr>
          <w:rFonts w:cs="Calibri"/>
        </w:rPr>
      </w:pPr>
      <w:r w:rsidRPr="009811A7">
        <w:rPr>
          <w:rFonts w:cs="Calibri"/>
        </w:rPr>
        <w:t>T is a constitutive rule of the activity and a basic aff burden – they agreed to debate the topic when they came here</w:t>
      </w:r>
    </w:p>
    <w:p w14:paraId="22EAC60F" w14:textId="77777777" w:rsidR="008D576F" w:rsidRPr="009811A7" w:rsidRDefault="008D576F" w:rsidP="008D576F">
      <w:pPr>
        <w:pStyle w:val="Heading4"/>
        <w:numPr>
          <w:ilvl w:val="1"/>
          <w:numId w:val="14"/>
        </w:numPr>
        <w:tabs>
          <w:tab w:val="num" w:pos="360"/>
        </w:tabs>
        <w:ind w:left="0" w:firstLine="0"/>
        <w:rPr>
          <w:rFonts w:cs="Calibri"/>
        </w:rPr>
      </w:pPr>
      <w:r w:rsidRPr="009811A7">
        <w:rPr>
          <w:rFonts w:cs="Calibri"/>
        </w:rPr>
        <w:t>Jurisdiction – you can’t vote aff if they haven’t affirmed the resolution</w:t>
      </w:r>
    </w:p>
    <w:p w14:paraId="23BCF60F" w14:textId="77777777" w:rsidR="008D576F" w:rsidRDefault="008D576F" w:rsidP="008D576F">
      <w:pPr>
        <w:pStyle w:val="Heading4"/>
        <w:numPr>
          <w:ilvl w:val="1"/>
          <w:numId w:val="14"/>
        </w:numPr>
        <w:tabs>
          <w:tab w:val="num" w:pos="36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2338514D" w14:textId="77777777" w:rsidR="008D576F" w:rsidRPr="009811A7" w:rsidRDefault="008D576F" w:rsidP="008D576F"/>
    <w:p w14:paraId="4293C51F" w14:textId="77777777" w:rsidR="008D576F" w:rsidRPr="00122B32" w:rsidRDefault="008D576F" w:rsidP="008D576F">
      <w:pPr>
        <w:pStyle w:val="Heading4"/>
        <w:numPr>
          <w:ilvl w:val="0"/>
          <w:numId w:val="14"/>
        </w:numPr>
        <w:tabs>
          <w:tab w:val="num" w:pos="360"/>
        </w:tabs>
        <w:ind w:left="0" w:firstLine="0"/>
        <w:rPr>
          <w:rFonts w:cs="Calibri"/>
        </w:rPr>
      </w:pPr>
      <w:r w:rsidRPr="009811A7">
        <w:rPr>
          <w:rFonts w:cs="Calibri"/>
        </w:rPr>
        <w:t>Limits – there are countless affs accounting for thousands of medicines – unlimited topics incentivize obscure affs that negs won’t have prep on – limits are key to reciprocal prep burden – potential abuse doesn’t justify foregoing the topic and 1AR theory checks PICs</w:t>
      </w:r>
    </w:p>
    <w:p w14:paraId="39FE2169" w14:textId="77777777" w:rsidR="008D576F" w:rsidRPr="009811A7" w:rsidRDefault="008D576F" w:rsidP="008D576F"/>
    <w:p w14:paraId="6554893E" w14:textId="77777777" w:rsidR="008D576F" w:rsidRPr="009811A7" w:rsidRDefault="008D576F" w:rsidP="008D576F">
      <w:pPr>
        <w:pStyle w:val="Heading4"/>
        <w:rPr>
          <w:rFonts w:cs="Calibri"/>
        </w:rPr>
      </w:pPr>
      <w:r w:rsidRPr="009811A7">
        <w:rPr>
          <w:rFonts w:cs="Calibri"/>
        </w:rPr>
        <w:t xml:space="preserve">There are over 20,000 affs </w:t>
      </w:r>
    </w:p>
    <w:p w14:paraId="7721F007" w14:textId="77777777" w:rsidR="008D576F" w:rsidRPr="009811A7" w:rsidRDefault="008D576F" w:rsidP="008D576F">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6C023AF2" w14:textId="77777777" w:rsidR="008D576F" w:rsidRPr="009811A7" w:rsidRDefault="008D576F" w:rsidP="008D576F">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2C9C403D" w14:textId="77777777" w:rsidR="008D576F" w:rsidRPr="009811A7" w:rsidRDefault="008D576F" w:rsidP="008D576F">
      <w:pPr>
        <w:rPr>
          <w:sz w:val="12"/>
          <w:szCs w:val="12"/>
        </w:rPr>
      </w:pPr>
      <w:r w:rsidRPr="009811A7">
        <w:rPr>
          <w:sz w:val="12"/>
          <w:szCs w:val="12"/>
        </w:rPr>
        <w:lastRenderedPageBreak/>
        <w:t>FDA oversees over 6,500 different medical device product categories.</w:t>
      </w:r>
    </w:p>
    <w:p w14:paraId="0159346A" w14:textId="77777777" w:rsidR="008D576F" w:rsidRPr="009811A7" w:rsidRDefault="008D576F" w:rsidP="008D576F">
      <w:pPr>
        <w:rPr>
          <w:sz w:val="12"/>
          <w:szCs w:val="12"/>
        </w:rPr>
      </w:pPr>
      <w:r w:rsidRPr="009811A7">
        <w:rPr>
          <w:sz w:val="12"/>
          <w:szCs w:val="12"/>
        </w:rPr>
        <w:t>There are over 1,600 FDA-approved animal drug products.</w:t>
      </w:r>
    </w:p>
    <w:p w14:paraId="563C6839" w14:textId="77777777" w:rsidR="008D576F" w:rsidRPr="009811A7" w:rsidRDefault="008D576F" w:rsidP="008D576F">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667748DE" w14:textId="77777777" w:rsidR="008D576F" w:rsidRPr="009811A7" w:rsidRDefault="008D576F" w:rsidP="008D576F"/>
    <w:p w14:paraId="0933631D" w14:textId="77777777" w:rsidR="008D576F" w:rsidRDefault="008D576F" w:rsidP="008D576F">
      <w:pPr>
        <w:pStyle w:val="Heading4"/>
        <w:numPr>
          <w:ilvl w:val="0"/>
          <w:numId w:val="14"/>
        </w:numPr>
        <w:tabs>
          <w:tab w:val="num" w:pos="360"/>
        </w:tabs>
        <w:ind w:left="0" w:firstLine="0"/>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136E09AF" w14:textId="77777777" w:rsidR="008D576F" w:rsidRPr="009811A7" w:rsidRDefault="008D576F" w:rsidP="008D576F"/>
    <w:p w14:paraId="7F763040" w14:textId="77777777" w:rsidR="008D576F" w:rsidRPr="009811A7" w:rsidRDefault="008D576F" w:rsidP="008D576F">
      <w:pPr>
        <w:pStyle w:val="Heading4"/>
        <w:numPr>
          <w:ilvl w:val="0"/>
          <w:numId w:val="14"/>
        </w:numPr>
        <w:tabs>
          <w:tab w:val="num" w:pos="360"/>
        </w:tabs>
        <w:ind w:left="0" w:firstLine="0"/>
        <w:rPr>
          <w:rFonts w:cs="Calibri"/>
        </w:rPr>
      </w:pPr>
      <w:r w:rsidRPr="009811A7">
        <w:rPr>
          <w:rFonts w:cs="Calibri"/>
        </w:rPr>
        <w:t>TVA solves – read as an advantage to whole rez</w:t>
      </w:r>
    </w:p>
    <w:p w14:paraId="7425F17F" w14:textId="77777777" w:rsidR="008D576F" w:rsidRPr="009811A7" w:rsidRDefault="008D576F" w:rsidP="008D576F"/>
    <w:p w14:paraId="6EAE84DA" w14:textId="77777777" w:rsidR="008D576F" w:rsidRPr="009811A7" w:rsidRDefault="008D576F" w:rsidP="008D576F">
      <w:pPr>
        <w:pStyle w:val="Heading4"/>
        <w:rPr>
          <w:rFonts w:cs="Calibri"/>
        </w:rPr>
      </w:pPr>
      <w:r w:rsidRPr="009811A7">
        <w:rPr>
          <w:rFonts w:cs="Calibri"/>
        </w:rPr>
        <w:t>Paradigm issues:</w:t>
      </w:r>
    </w:p>
    <w:p w14:paraId="382B98CE" w14:textId="77777777" w:rsidR="008D576F" w:rsidRPr="009811A7" w:rsidRDefault="008D576F" w:rsidP="008D576F">
      <w:pPr>
        <w:pStyle w:val="Heading4"/>
        <w:numPr>
          <w:ilvl w:val="0"/>
          <w:numId w:val="15"/>
        </w:numPr>
        <w:tabs>
          <w:tab w:val="num" w:pos="360"/>
        </w:tabs>
        <w:ind w:left="0" w:firstLine="0"/>
        <w:rPr>
          <w:rFonts w:cs="Calibri"/>
        </w:rPr>
      </w:pPr>
      <w:r w:rsidRPr="009811A7">
        <w:rPr>
          <w:rFonts w:cs="Calibri"/>
        </w:rPr>
        <w:t xml:space="preserve">Drop the debater – their abusive advocacy skewed the debate from the start </w:t>
      </w:r>
    </w:p>
    <w:p w14:paraId="7B91E92E" w14:textId="77777777" w:rsidR="008D576F" w:rsidRPr="009811A7" w:rsidRDefault="008D576F" w:rsidP="008D576F">
      <w:pPr>
        <w:pStyle w:val="Heading4"/>
        <w:numPr>
          <w:ilvl w:val="0"/>
          <w:numId w:val="15"/>
        </w:numPr>
        <w:tabs>
          <w:tab w:val="num" w:pos="360"/>
        </w:tabs>
        <w:ind w:left="0" w:firstLine="0"/>
        <w:rPr>
          <w:rFonts w:cs="Calibri"/>
        </w:rPr>
      </w:pPr>
      <w:r w:rsidRPr="009811A7">
        <w:rPr>
          <w:rFonts w:cs="Calibri"/>
        </w:rPr>
        <w:t>Comes before 1AR theory – NC abuse is responsive to them not being topical</w:t>
      </w:r>
    </w:p>
    <w:p w14:paraId="27AB7B74" w14:textId="77777777" w:rsidR="008D576F" w:rsidRPr="009811A7" w:rsidRDefault="008D576F" w:rsidP="008D576F">
      <w:pPr>
        <w:pStyle w:val="Heading4"/>
        <w:numPr>
          <w:ilvl w:val="0"/>
          <w:numId w:val="15"/>
        </w:numPr>
        <w:tabs>
          <w:tab w:val="num" w:pos="360"/>
        </w:tabs>
        <w:ind w:left="0" w:firstLine="0"/>
        <w:rPr>
          <w:rFonts w:cs="Calibri"/>
        </w:rPr>
      </w:pPr>
      <w:r w:rsidRPr="009811A7">
        <w:rPr>
          <w:rFonts w:cs="Calibri"/>
        </w:rPr>
        <w:t>Competing interps – reasonability invites arbitrary judge intervention and a race to the bottom of questionable argumentation</w:t>
      </w:r>
    </w:p>
    <w:p w14:paraId="78ABE0C9" w14:textId="77777777" w:rsidR="008D576F" w:rsidRPr="009811A7" w:rsidRDefault="008D576F" w:rsidP="008D576F">
      <w:pPr>
        <w:pStyle w:val="Heading4"/>
        <w:numPr>
          <w:ilvl w:val="0"/>
          <w:numId w:val="15"/>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74DB8271" w14:textId="77777777" w:rsidR="008D576F" w:rsidRPr="009811A7" w:rsidRDefault="008D576F" w:rsidP="008D576F">
      <w:pPr>
        <w:pStyle w:val="Heading4"/>
        <w:numPr>
          <w:ilvl w:val="0"/>
          <w:numId w:val="15"/>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242819F8" w14:textId="77777777" w:rsidR="008D576F" w:rsidRPr="009811A7" w:rsidRDefault="008D576F" w:rsidP="008D576F">
      <w:pPr>
        <w:pStyle w:val="Heading4"/>
        <w:numPr>
          <w:ilvl w:val="0"/>
          <w:numId w:val="15"/>
        </w:numPr>
        <w:tabs>
          <w:tab w:val="num" w:pos="360"/>
        </w:tabs>
        <w:ind w:left="0" w:firstLine="0"/>
        <w:rPr>
          <w:rFonts w:cs="Calibri"/>
        </w:rPr>
      </w:pPr>
      <w:r w:rsidRPr="009811A7">
        <w:rPr>
          <w:rFonts w:cs="Calibri"/>
        </w:rPr>
        <w:t>Education is a voter – why schools fund debate</w:t>
      </w:r>
    </w:p>
    <w:p w14:paraId="7EA8335E" w14:textId="77777777" w:rsidR="008D576F" w:rsidRDefault="008D576F" w:rsidP="008D576F">
      <w:pPr>
        <w:pStyle w:val="Heading2"/>
        <w:rPr>
          <w:rFonts w:cs="Calibri"/>
        </w:rPr>
      </w:pPr>
    </w:p>
    <w:p w14:paraId="4F46FE99" w14:textId="60001811" w:rsidR="008D576F" w:rsidRDefault="008D576F" w:rsidP="008D576F">
      <w:pPr>
        <w:pStyle w:val="Heading2"/>
        <w:rPr>
          <w:rFonts w:cs="Calibri"/>
        </w:rPr>
      </w:pPr>
      <w:r>
        <w:rPr>
          <w:rFonts w:cs="Calibri"/>
        </w:rPr>
        <w:lastRenderedPageBreak/>
        <w:t>Innovation DA (w econ) (4)</w:t>
      </w:r>
    </w:p>
    <w:p w14:paraId="71A20926" w14:textId="77777777" w:rsidR="008D576F" w:rsidRDefault="008D576F" w:rsidP="008D576F">
      <w:pPr>
        <w:pStyle w:val="Heading3"/>
      </w:pPr>
      <w:r>
        <w:lastRenderedPageBreak/>
        <w:t>Bioterror 2:45</w:t>
      </w:r>
    </w:p>
    <w:p w14:paraId="7045E146" w14:textId="77777777" w:rsidR="008D576F" w:rsidRPr="00405D88" w:rsidRDefault="008D576F" w:rsidP="008D576F">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r w:rsidRPr="00405D88">
        <w:rPr>
          <w:rFonts w:cs="Calibri"/>
        </w:rPr>
        <w:t>Macdole and Ezell 4-29:</w:t>
      </w:r>
    </w:p>
    <w:p w14:paraId="43E03EFA" w14:textId="77777777" w:rsidR="008D576F" w:rsidRPr="00405D88" w:rsidRDefault="008D576F" w:rsidP="008D576F">
      <w:r w:rsidRPr="00405D88">
        <w:t>Jaci Mcdole and Stephen Ezell, 21 - ("Ten Ways Ip Has Enabled Innovations That Have Helped Sustain The World Through The Pandemic," Information Technology &amp; Innovation Foundation, 4-29-2021, https://itif.org/publications/2021/04/29/ten-ways-ip-has-enabled-innovations-have-helped-sustain-world-through)//marlborough-wr/</w:t>
      </w:r>
    </w:p>
    <w:p w14:paraId="0CDCE31A" w14:textId="77777777" w:rsidR="008D576F" w:rsidRPr="00405D88" w:rsidRDefault="008D576F" w:rsidP="008D576F">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in an effort </w:t>
      </w:r>
      <w:r w:rsidRPr="000214A7">
        <w:rPr>
          <w:rStyle w:val="StyleUnderline"/>
          <w:highlight w:val="cyan"/>
        </w:rPr>
        <w:t>to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0214A7">
        <w:rPr>
          <w:rStyle w:val="StyleUnderline"/>
          <w:highlight w:val="cyan"/>
        </w:rPr>
        <w:t>Covaxin</w:t>
      </w:r>
      <w:r w:rsidRPr="00405D88">
        <w:rPr>
          <w:sz w:val="12"/>
        </w:rPr>
        <w:t xml:space="preserve"> Gilead: </w:t>
      </w:r>
      <w:r w:rsidRPr="000214A7">
        <w:rPr>
          <w:rStyle w:val="StyleUnderline"/>
          <w:highlight w:val="cyan"/>
        </w:rPr>
        <w:t>Remdesivir</w:t>
      </w:r>
      <w:r w:rsidRPr="00405D88">
        <w:rPr>
          <w:sz w:val="12"/>
        </w:rPr>
        <w:t xml:space="preserve"> LumiraDX: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 xml:space="preserve">including basic research, drug discovery, pre-clinical trials, three stages of </w:t>
      </w:r>
      <w:r w:rsidRPr="009D3BB2">
        <w:rPr>
          <w:rStyle w:val="StyleUnderline"/>
        </w:rPr>
        <w:t>human clinical trials, regulatory review, and post-approval research and safety monitoring.</w:t>
      </w:r>
      <w:r w:rsidRPr="009D3BB2">
        <w:rPr>
          <w:sz w:val="12"/>
        </w:rPr>
        <w:t xml:space="preserve"> The </w:t>
      </w:r>
      <w:r w:rsidRPr="009D3BB2">
        <w:rPr>
          <w:rStyle w:val="StyleUnderline"/>
        </w:rPr>
        <w:t>drug development process spans an average of 11.5 to 15 years.</w:t>
      </w:r>
      <w:r w:rsidRPr="009D3BB2">
        <w:rPr>
          <w:sz w:val="12"/>
        </w:rPr>
        <w:t xml:space="preserve">6 </w:t>
      </w:r>
      <w:r w:rsidRPr="009D3BB2">
        <w:rPr>
          <w:rStyle w:val="StyleUnderline"/>
        </w:rPr>
        <w:t>For every 5,000 to 10,000 compounds screened</w:t>
      </w:r>
      <w:r w:rsidRPr="009D3BB2">
        <w:rPr>
          <w:sz w:val="12"/>
        </w:rPr>
        <w:t xml:space="preserve"> on average </w:t>
      </w:r>
      <w:r w:rsidRPr="009D3BB2">
        <w:rPr>
          <w:rStyle w:val="StyleUnderline"/>
        </w:rPr>
        <w:t>during the basic research and drug discovery phases,</w:t>
      </w:r>
      <w:r w:rsidRPr="009D3BB2">
        <w:rPr>
          <w:sz w:val="12"/>
        </w:rPr>
        <w:t xml:space="preserve"> </w:t>
      </w:r>
      <w:r w:rsidRPr="009D3BB2">
        <w:rPr>
          <w:rStyle w:val="StyleUnderline"/>
        </w:rPr>
        <w:t>approximately 250 molecular compounds</w:t>
      </w:r>
      <w:r w:rsidRPr="009D3BB2">
        <w:rPr>
          <w:sz w:val="12"/>
        </w:rPr>
        <w:t xml:space="preserve">, or </w:t>
      </w:r>
      <w:r w:rsidRPr="009D3BB2">
        <w:rPr>
          <w:rStyle w:val="Emphasis"/>
        </w:rPr>
        <w:t>2.5 to 5 percent, make it to preclinical testing.</w:t>
      </w:r>
      <w:r w:rsidRPr="009D3BB2">
        <w:rPr>
          <w:sz w:val="12"/>
        </w:rPr>
        <w:t xml:space="preserve"> </w:t>
      </w:r>
      <w:r w:rsidRPr="009D3BB2">
        <w:rPr>
          <w:rStyle w:val="StyleUnderline"/>
        </w:rPr>
        <w:t xml:space="preserve">Out of those 250 molecular compounds, </w:t>
      </w:r>
      <w:r w:rsidRPr="009D3BB2">
        <w:rPr>
          <w:rStyle w:val="Emphasis"/>
        </w:rPr>
        <w:t xml:space="preserve">approximately 5 </w:t>
      </w:r>
      <w:r w:rsidRPr="000214A7">
        <w:rPr>
          <w:rStyle w:val="Emphasis"/>
          <w:highlight w:val="cyan"/>
        </w:rPr>
        <w:t>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w:t>
      </w:r>
      <w:r w:rsidRPr="009D3BB2">
        <w:rPr>
          <w:sz w:val="12"/>
        </w:rPr>
        <w:t xml:space="preserve">testing, </w:t>
      </w:r>
      <w:r w:rsidRPr="009D3BB2">
        <w:rPr>
          <w:rStyle w:val="StyleUnderline"/>
        </w:rPr>
        <w:t xml:space="preserve">less than 12 percent are ultimately approved for use by the </w:t>
      </w:r>
      <w:r w:rsidRPr="009D3BB2">
        <w:rPr>
          <w:sz w:val="12"/>
        </w:rPr>
        <w:t xml:space="preserve">U.S. </w:t>
      </w:r>
      <w:r w:rsidRPr="009D3BB2">
        <w:rPr>
          <w:rStyle w:val="StyleUnderline"/>
        </w:rPr>
        <w:t>F</w:t>
      </w:r>
      <w:r w:rsidRPr="009D3BB2">
        <w:rPr>
          <w:sz w:val="12"/>
        </w:rPr>
        <w:t xml:space="preserve">ood and </w:t>
      </w:r>
      <w:r w:rsidRPr="009D3BB2">
        <w:rPr>
          <w:rStyle w:val="StyleUnderline"/>
        </w:rPr>
        <w:t>D</w:t>
      </w:r>
      <w:r w:rsidRPr="009D3BB2">
        <w:rPr>
          <w:sz w:val="12"/>
        </w:rPr>
        <w:t xml:space="preserve">rug </w:t>
      </w:r>
      <w:r w:rsidRPr="009D3BB2">
        <w:rPr>
          <w:rStyle w:val="StyleUnderline"/>
        </w:rPr>
        <w:t>A</w:t>
      </w:r>
      <w:r w:rsidRPr="009D3BB2">
        <w:rPr>
          <w:sz w:val="12"/>
        </w:rPr>
        <w:t xml:space="preserve">dministration (FDA).7 In addition to high risks, </w:t>
      </w:r>
      <w:r w:rsidRPr="009D3BB2">
        <w:rPr>
          <w:rStyle w:val="Emphasis"/>
        </w:rPr>
        <w:t>drug development is costly</w:t>
      </w:r>
      <w:r w:rsidRPr="009D3BB2">
        <w:rPr>
          <w:sz w:val="12"/>
        </w:rPr>
        <w:t xml:space="preserve">, </w:t>
      </w:r>
      <w:r w:rsidRPr="009D3BB2">
        <w:rPr>
          <w:rStyle w:val="StyleUnderline"/>
        </w:rPr>
        <w:t>and</w:t>
      </w:r>
      <w:r w:rsidRPr="009D3BB2">
        <w:rPr>
          <w:sz w:val="12"/>
        </w:rPr>
        <w:t xml:space="preserve"> the </w:t>
      </w:r>
      <w:r w:rsidRPr="009D3BB2">
        <w:rPr>
          <w:rStyle w:val="StyleUnderline"/>
        </w:rPr>
        <w:t>expenses</w:t>
      </w:r>
      <w:r w:rsidRPr="009D3BB2">
        <w:rPr>
          <w:sz w:val="12"/>
        </w:rPr>
        <w:t xml:space="preserve"> associated with it </w:t>
      </w:r>
      <w:r w:rsidRPr="009D3BB2">
        <w:rPr>
          <w:rStyle w:val="StyleUnderline"/>
        </w:rPr>
        <w:t>are increasing.</w:t>
      </w:r>
      <w:r w:rsidRPr="009D3BB2">
        <w:rPr>
          <w:sz w:val="12"/>
        </w:rPr>
        <w:t xml:space="preserve"> A 2019 report by the Deloitte Center for Health Solutions concluded that </w:t>
      </w:r>
      <w:r w:rsidRPr="009D3BB2">
        <w:rPr>
          <w:rStyle w:val="Emphasis"/>
        </w:rPr>
        <w:t>since 2010 the average cost of bringing a new drug to market increased by 67 percent</w:t>
      </w:r>
      <w:r w:rsidRPr="009D3BB2">
        <w:rPr>
          <w:sz w:val="12"/>
        </w:rPr>
        <w:t>.8 Numerous studies</w:t>
      </w:r>
      <w:r w:rsidRPr="00405D88">
        <w:rPr>
          <w:sz w:val="12"/>
        </w:rPr>
        <w:t xml:space="preserve">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 xml:space="preserve">1 percent (maybe </w:t>
      </w:r>
      <w:r w:rsidRPr="00405D88">
        <w:rPr>
          <w:rStyle w:val="StyleUnderline"/>
        </w:rPr>
        <w:lastRenderedPageBreak/>
        <w:t>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 xml:space="preserve">Without IP protection, biopharmaceutical manufacturers have little incentive to take the risks </w:t>
      </w:r>
      <w:r w:rsidRPr="009D3BB2">
        <w:rPr>
          <w:rStyle w:val="StyleUnderline"/>
        </w:rPr>
        <w:t>necessary to</w:t>
      </w:r>
      <w:r w:rsidRPr="00405D88">
        <w:rPr>
          <w:rStyle w:val="StyleUnderline"/>
        </w:rPr>
        <w:t xml:space="preserve"> engage </w:t>
      </w:r>
      <w:r w:rsidRPr="009D3BB2">
        <w:rPr>
          <w:rStyle w:val="StyleUnderline"/>
        </w:rPr>
        <w:t>in the R&amp;D process because they would be unable to recoup even a fraction of the costs incurred. Diminished revenues also result in reduced investments in R&amp;D which means</w:t>
      </w:r>
      <w:r w:rsidRPr="000214A7">
        <w:rPr>
          <w:rStyle w:val="StyleUnderline"/>
          <w:highlight w:val="cyan"/>
        </w:rPr>
        <w:t xml:space="preserve">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9D3BB2">
        <w:rPr>
          <w:sz w:val="12"/>
        </w:rPr>
        <w:t xml:space="preserve">13 THE IMPORTANCE OF INTELLECTUAL PROPERTY TO INNOVATION Although anti-IP proponents have attacked biopharmaceutical manufacturers particularly hard, the reality is </w:t>
      </w:r>
      <w:r w:rsidRPr="009D3BB2">
        <w:rPr>
          <w:rStyle w:val="Emphasis"/>
        </w:rPr>
        <w:t>all IP-protected innovations are at risk if these rights are ignored, or vitiated.</w:t>
      </w:r>
      <w:r w:rsidRPr="009D3BB2">
        <w:rPr>
          <w:sz w:val="12"/>
        </w:rPr>
        <w:t xml:space="preserve"> </w:t>
      </w:r>
      <w:r w:rsidRPr="009D3BB2">
        <w:rPr>
          <w:rStyle w:val="StyleUnderline"/>
        </w:rPr>
        <w:t>Certain arguments have shown a desire for the term “COVID-19 innovations” to include</w:t>
      </w:r>
      <w:r w:rsidRPr="00405D88">
        <w:rPr>
          <w:rStyle w:val="StyleUnderline"/>
        </w:rPr>
        <w:t xml:space="preserv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 xml:space="preserve">with strong IP protection, </w:t>
      </w:r>
      <w:r w:rsidRPr="009D3BB2">
        <w:rPr>
          <w:rStyle w:val="Emphasis"/>
        </w:rPr>
        <w:t>the</w:t>
      </w:r>
      <w:r w:rsidRPr="000214A7">
        <w:rPr>
          <w:rStyle w:val="Emphasis"/>
          <w:highlight w:val="cyan"/>
        </w:rPr>
        <w:t xml:space="preserve"> chances of counterfeit products </w:t>
      </w:r>
      <w:r w:rsidRPr="009D3BB2">
        <w:rPr>
          <w:rStyle w:val="Emphasis"/>
        </w:rPr>
        <w:t xml:space="preserve">reaching the market </w:t>
      </w:r>
      <w:r w:rsidRPr="000214A7">
        <w:rPr>
          <w:rStyle w:val="Emphasis"/>
          <w:highlight w:val="cyan"/>
        </w:rPr>
        <w:t xml:space="preserve">are </w:t>
      </w:r>
      <w:r w:rsidRPr="009D3BB2">
        <w:rPr>
          <w:rStyle w:val="Emphasis"/>
        </w:rPr>
        <w:t xml:space="preserve">significantly </w:t>
      </w:r>
      <w:r w:rsidRPr="000214A7">
        <w:rPr>
          <w:rStyle w:val="Emphasis"/>
          <w:highlight w:val="cyan"/>
        </w:rPr>
        <w:t>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w:t>
      </w:r>
      <w:r w:rsidRPr="00405D88">
        <w:rPr>
          <w:sz w:val="12"/>
        </w:rPr>
        <w:lastRenderedPageBreak/>
        <w:t xml:space="preserve">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 xml:space="preserve">IP-intensive industries support at least 45 million jobs and contribute more than $6 trillion dollars to, or 38.2 </w:t>
      </w:r>
      <w:r w:rsidRPr="009D3BB2">
        <w:rPr>
          <w:rStyle w:val="StyleUnderline"/>
        </w:rPr>
        <w:t>percent of, GDP.</w:t>
      </w:r>
      <w:r w:rsidRPr="009D3BB2">
        <w:rPr>
          <w:sz w:val="12"/>
        </w:rPr>
        <w:t>27 In 2020</w:t>
      </w:r>
      <w:r w:rsidRPr="009D3BB2">
        <w:rPr>
          <w:rStyle w:val="StyleUnderline"/>
        </w:rPr>
        <w:t>, global patent filings</w:t>
      </w:r>
      <w:r w:rsidRPr="009D3BB2">
        <w:rPr>
          <w:sz w:val="12"/>
        </w:rPr>
        <w:t xml:space="preserve"> through the World Intellectual Property Organization’s (WIPO) Patent Cooperation Treaty (PCT) system </w:t>
      </w:r>
      <w:r w:rsidRPr="009D3BB2">
        <w:rPr>
          <w:rStyle w:val="StyleUnderline"/>
        </w:rPr>
        <w:t>reached a record 275,900 filings amidst the pandemic, growing 4 percent</w:t>
      </w:r>
      <w:r w:rsidRPr="009D3BB2">
        <w:rPr>
          <w:sz w:val="12"/>
        </w:rPr>
        <w:t xml:space="preserve"> </w:t>
      </w:r>
      <w:r w:rsidRPr="009D3BB2">
        <w:rPr>
          <w:rStyle w:val="StyleUnderline"/>
        </w:rPr>
        <w:t>from 2019.</w:t>
      </w:r>
      <w:r w:rsidRPr="009D3BB2">
        <w:rPr>
          <w:sz w:val="12"/>
        </w:rPr>
        <w:t>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w:t>
      </w:r>
      <w:r w:rsidRPr="00405D88">
        <w:rPr>
          <w:sz w:val="12"/>
        </w:rPr>
        <w:t xml:space="preserve">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w:t>
      </w:r>
      <w:r w:rsidRPr="009D3BB2">
        <w:rPr>
          <w:sz w:val="12"/>
        </w:rPr>
        <w:t xml:space="preserve">can generate, for both developing and developed countries alike.31 First, </w:t>
      </w:r>
      <w:r w:rsidRPr="009D3BB2">
        <w:rPr>
          <w:rStyle w:val="StyleUnderline"/>
        </w:rPr>
        <w:t>stronger IP protection spurs the virtuous cycle of</w:t>
      </w:r>
      <w:r w:rsidRPr="009D3BB2">
        <w:rPr>
          <w:rStyle w:val="Emphasis"/>
        </w:rPr>
        <w:t xml:space="preserve"> innovation </w:t>
      </w:r>
      <w:r w:rsidRPr="009D3BB2">
        <w:rPr>
          <w:rStyle w:val="StyleUnderline"/>
        </w:rPr>
        <w:t>by increasing the appropriability of returns, enabling economic gain and catalyzing economic growth.</w:t>
      </w:r>
      <w:r w:rsidRPr="009D3BB2">
        <w:rPr>
          <w:sz w:val="12"/>
        </w:rPr>
        <w:t xml:space="preserve"> Second, </w:t>
      </w:r>
      <w:r w:rsidRPr="009D3BB2">
        <w:rPr>
          <w:rStyle w:val="StyleUnderline"/>
        </w:rPr>
        <w:t>through patents—which require innovators to disclose certain knowledge as a condition of protection—</w:t>
      </w:r>
      <w:r w:rsidRPr="009D3BB2">
        <w:rPr>
          <w:rStyle w:val="Emphasis"/>
        </w:rPr>
        <w:t>knowledge spillovers</w:t>
      </w:r>
      <w:r w:rsidRPr="009D3BB2">
        <w:rPr>
          <w:rStyle w:val="StyleUnderline"/>
        </w:rPr>
        <w:t xml:space="preserve"> build a platform of knowledge that enables other innovators.</w:t>
      </w:r>
      <w:r w:rsidRPr="009D3BB2">
        <w:rPr>
          <w:sz w:val="12"/>
        </w:rPr>
        <w:t xml:space="preserve"> For instance, studies have found that </w:t>
      </w:r>
      <w:r w:rsidRPr="009D3BB2">
        <w:rPr>
          <w:rStyle w:val="StyleUnderline"/>
        </w:rPr>
        <w:t>the</w:t>
      </w:r>
      <w:r w:rsidRPr="00405D88">
        <w:rPr>
          <w:rStyle w:val="StyleUnderline"/>
        </w:rPr>
        <w:t xml:space="preserv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11010D9A" w14:textId="77777777" w:rsidR="008D576F" w:rsidRDefault="008D576F" w:rsidP="008D576F"/>
    <w:p w14:paraId="7073866A" w14:textId="77777777" w:rsidR="008D576F" w:rsidRPr="00405D88" w:rsidRDefault="008D576F" w:rsidP="008D576F">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1AF87690" w14:textId="77777777" w:rsidR="008D576F" w:rsidRPr="00405D88" w:rsidRDefault="008D576F" w:rsidP="008D576F">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48E93513" w14:textId="77777777" w:rsidR="008D576F" w:rsidRPr="00405D88" w:rsidRDefault="008D576F" w:rsidP="008D576F">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lastRenderedPageBreak/>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r w:rsidRPr="001E68E0">
        <w:rPr>
          <w:b/>
          <w:bCs/>
          <w:highlight w:val="cyan"/>
          <w:u w:val="single"/>
        </w:rPr>
        <w:t>con-text</w:t>
      </w:r>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51000C">
        <w:rPr>
          <w:highlight w:val="cyan"/>
          <w:u w:val="single"/>
        </w:rPr>
        <w:t>the</w:t>
      </w:r>
      <w:r w:rsidRPr="00405D88">
        <w:rPr>
          <w:u w:val="single"/>
        </w:rPr>
        <w:t xml:space="preserve"> </w:t>
      </w:r>
      <w:r w:rsidRPr="001E68E0">
        <w:rPr>
          <w:highlight w:val="cyan"/>
          <w:u w:val="single"/>
        </w:rPr>
        <w:t>expertise, networks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r w:rsidRPr="001E68E0">
        <w:rPr>
          <w:rStyle w:val="Emphasis"/>
          <w:highlight w:val="cyan"/>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agents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35A5EDAC" w14:textId="77777777" w:rsidR="008D576F" w:rsidRPr="00405D88" w:rsidRDefault="008D576F" w:rsidP="008D576F">
      <w:pPr>
        <w:pStyle w:val="Heading4"/>
        <w:rPr>
          <w:rFonts w:cs="Calibri"/>
        </w:rPr>
      </w:pPr>
      <w:r w:rsidRPr="00405D88">
        <w:rPr>
          <w:rFonts w:cs="Calibri"/>
        </w:rPr>
        <w:t>Bioterror causes extinction---early response key</w:t>
      </w:r>
    </w:p>
    <w:p w14:paraId="399BBC2C" w14:textId="77777777" w:rsidR="008D576F" w:rsidRPr="00405D88" w:rsidRDefault="008D576F" w:rsidP="008D576F">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7ADAB60B" w14:textId="77777777" w:rsidR="00187238" w:rsidRDefault="008D576F" w:rsidP="008D576F">
      <w:pPr>
        <w:ind w:left="720"/>
        <w:rPr>
          <w:rStyle w:val="Emphasis"/>
          <w:highlight w:val="cyan"/>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w:t>
      </w:r>
      <w:r w:rsidRPr="00405D88">
        <w:rPr>
          <w:rStyle w:val="StyleUnderline"/>
        </w:rPr>
        <w:lastRenderedPageBreak/>
        <w:t>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p>
    <w:p w14:paraId="52E85872" w14:textId="77777777" w:rsidR="00187238" w:rsidRDefault="00187238" w:rsidP="008D576F">
      <w:pPr>
        <w:ind w:left="720"/>
        <w:rPr>
          <w:rStyle w:val="StyleUnderline"/>
          <w:highlight w:val="cyan"/>
        </w:rPr>
      </w:pPr>
    </w:p>
    <w:p w14:paraId="268EB1E9" w14:textId="3386BC08" w:rsidR="008D576F" w:rsidRPr="00405D88" w:rsidRDefault="008D576F" w:rsidP="008D576F">
      <w:pPr>
        <w:ind w:left="720"/>
        <w:rPr>
          <w:rStyle w:val="StyleUnderline"/>
        </w:rPr>
      </w:pP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open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4B4C0DE3" w14:textId="77777777" w:rsidR="008D576F" w:rsidRPr="00405D88" w:rsidRDefault="008D576F" w:rsidP="008D576F"/>
    <w:p w14:paraId="448AAFC3" w14:textId="77777777" w:rsidR="008D576F" w:rsidRDefault="008D576F" w:rsidP="008D576F">
      <w:pPr>
        <w:pStyle w:val="Heading2"/>
      </w:pPr>
      <w:r>
        <w:lastRenderedPageBreak/>
        <w:t>Dollar Dominance 2:00</w:t>
      </w:r>
    </w:p>
    <w:p w14:paraId="1785B258" w14:textId="77777777" w:rsidR="008D576F" w:rsidRDefault="008D576F" w:rsidP="008D576F">
      <w:pPr>
        <w:pStyle w:val="Heading4"/>
      </w:pPr>
      <w:r>
        <w:t>IPR is key for U.S Dollar Centrality – it allows US firms near if not complete monopolies pushing dollars into international markets and stabilizing US financial influence</w:t>
      </w:r>
    </w:p>
    <w:p w14:paraId="7F17A006" w14:textId="77777777" w:rsidR="008D576F" w:rsidRPr="00DF338E" w:rsidRDefault="008D576F" w:rsidP="008D576F">
      <w:pPr>
        <w:spacing w:after="0"/>
      </w:pPr>
      <w:r>
        <w:t>Schwartz ‘19</w:t>
      </w:r>
    </w:p>
    <w:p w14:paraId="48630003" w14:textId="77777777" w:rsidR="008D576F" w:rsidRPr="00DF338E" w:rsidRDefault="008D576F" w:rsidP="008D576F">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19045A6B" w14:textId="77777777" w:rsidR="008D576F" w:rsidRDefault="008D576F" w:rsidP="008D576F">
      <w:pPr>
        <w:ind w:left="720"/>
        <w:rPr>
          <w:sz w:val="16"/>
        </w:rPr>
      </w:pPr>
      <w:r w:rsidRPr="001C4B90">
        <w:rPr>
          <w:rStyle w:val="Emphasis"/>
          <w:highlight w:val="green"/>
        </w:rPr>
        <w:t>Mechanism one relates to</w:t>
      </w:r>
      <w:r w:rsidRPr="00376126">
        <w:rPr>
          <w:sz w:val="16"/>
        </w:rPr>
        <w:t xml:space="preserve"> Strange’s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institutional 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That said, surely dollar acceptability faces limits set by persistent US current account deficits?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Eichengreen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(Nitzan,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Strange’s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(Drahos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r w:rsidRPr="00CD770D">
        <w:rPr>
          <w:rStyle w:val="Emphasis"/>
        </w:rPr>
        <w:t>This shifts</w:t>
      </w:r>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 xml:space="preserve">a small number </w:t>
      </w:r>
      <w:r w:rsidRPr="00CD770D">
        <w:rPr>
          <w:rStyle w:val="Emphasis"/>
        </w:rPr>
        <w:lastRenderedPageBreak/>
        <w:t>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(more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(Hozic, 1999; Hurt, 2010; Mazzucato,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growth and destabilizes the global financial system. Domestically, the current account deficits necessary for a dollar-centric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570D80DA" w14:textId="77777777" w:rsidR="008D576F" w:rsidRPr="00060D60" w:rsidRDefault="008D576F" w:rsidP="008D576F">
      <w:pPr>
        <w:keepNext/>
        <w:keepLines/>
        <w:spacing w:before="40" w:after="0"/>
        <w:outlineLvl w:val="3"/>
        <w:rPr>
          <w:rFonts w:eastAsia="SimSun" w:cs="Times New Roman"/>
          <w:b/>
          <w:iCs/>
          <w:sz w:val="26"/>
        </w:rPr>
      </w:pPr>
      <w:r w:rsidRPr="00060D60">
        <w:rPr>
          <w:rFonts w:eastAsia="SimSun" w:cs="Times New Roman"/>
          <w:b/>
          <w:iCs/>
          <w:sz w:val="26"/>
        </w:rPr>
        <w:t xml:space="preserve">Collapse of dollar </w:t>
      </w:r>
      <w:r>
        <w:rPr>
          <w:rFonts w:eastAsia="SimSun" w:cs="Times New Roman"/>
          <w:b/>
          <w:iCs/>
          <w:sz w:val="26"/>
        </w:rPr>
        <w:t>centrality</w:t>
      </w:r>
      <w:r w:rsidRPr="00060D60">
        <w:rPr>
          <w:rFonts w:eastAsia="SimSun" w:cs="Times New Roman"/>
          <w:b/>
          <w:iCs/>
          <w:sz w:val="26"/>
        </w:rPr>
        <w:t xml:space="preserve"> </w:t>
      </w:r>
      <w:r>
        <w:rPr>
          <w:rFonts w:eastAsia="SimSun" w:cs="Times New Roman"/>
          <w:b/>
          <w:iCs/>
          <w:sz w:val="26"/>
        </w:rPr>
        <w:t>decks the US economy, prevents stimulus, and undermines security spending which</w:t>
      </w:r>
      <w:r w:rsidRPr="00060D60">
        <w:rPr>
          <w:rFonts w:eastAsia="SimSun" w:cs="Times New Roman"/>
          <w:b/>
          <w:iCs/>
          <w:sz w:val="26"/>
        </w:rPr>
        <w:t xml:space="preserve"> emboldens China </w:t>
      </w:r>
      <w:r>
        <w:rPr>
          <w:rFonts w:eastAsia="SimSun" w:cs="Times New Roman"/>
          <w:b/>
          <w:iCs/>
          <w:sz w:val="26"/>
        </w:rPr>
        <w:t>aggression</w:t>
      </w:r>
      <w:r w:rsidRPr="00060D60">
        <w:rPr>
          <w:rFonts w:eastAsia="SimSun" w:cs="Times New Roman"/>
          <w:b/>
          <w:iCs/>
          <w:sz w:val="26"/>
        </w:rPr>
        <w:t>.</w:t>
      </w:r>
    </w:p>
    <w:p w14:paraId="3C151E10" w14:textId="77777777" w:rsidR="008D576F" w:rsidRPr="00060D60" w:rsidRDefault="008D576F" w:rsidP="008D576F">
      <w:pPr>
        <w:rPr>
          <w:rFonts w:eastAsia="Calibri"/>
        </w:rPr>
      </w:pPr>
      <w:r w:rsidRPr="00060D60">
        <w:rPr>
          <w:rFonts w:eastAsia="Calibri"/>
          <w:b/>
          <w:bCs/>
          <w:sz w:val="26"/>
        </w:rPr>
        <w:t>Zoffer 12</w:t>
      </w:r>
      <w:r w:rsidRPr="00060D60">
        <w:rPr>
          <w:rFonts w:eastAsia="Calibri"/>
        </w:rPr>
        <w:t xml:space="preserve"> - Josh Zoffer (Legal Intern at the IMF, Yale Law), "Future of Dollar Hegemony", Harvard International Review,  July 7, 2012. [http://hir.harvard.edu/article/?a=2951] DM</w:t>
      </w:r>
    </w:p>
    <w:p w14:paraId="112F10C0" w14:textId="77777777" w:rsidR="008D576F" w:rsidRDefault="008D576F" w:rsidP="008D576F">
      <w:pPr>
        <w:ind w:left="720"/>
        <w:rPr>
          <w:rFonts w:eastAsia="Calibri"/>
          <w:b/>
          <w:iCs/>
          <w:highlight w:val="yellow"/>
          <w:u w:val="single"/>
        </w:rPr>
      </w:pPr>
      <w:r w:rsidRPr="00060D60">
        <w:rPr>
          <w:rFonts w:eastAsia="Calibri"/>
          <w:sz w:val="12"/>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060D60">
        <w:rPr>
          <w:rFonts w:eastAsia="Calibri"/>
          <w:b/>
          <w:iCs/>
          <w:highlight w:val="yellow"/>
          <w:u w:val="single"/>
        </w:rPr>
        <w:t>The</w:t>
      </w:r>
      <w:r w:rsidRPr="00060D60">
        <w:rPr>
          <w:rFonts w:eastAsia="Calibri"/>
          <w:b/>
          <w:iCs/>
          <w:u w:val="single"/>
        </w:rPr>
        <w:t xml:space="preserve"> implications of a </w:t>
      </w:r>
      <w:r w:rsidRPr="00060D60">
        <w:rPr>
          <w:rFonts w:eastAsia="Calibri"/>
          <w:sz w:val="12"/>
        </w:rPr>
        <w:t>true</w:t>
      </w:r>
      <w:r w:rsidRPr="00060D60">
        <w:rPr>
          <w:rFonts w:eastAsia="Calibri"/>
          <w:b/>
          <w:iCs/>
          <w:u w:val="single"/>
        </w:rPr>
        <w:t xml:space="preserve"> </w:t>
      </w:r>
      <w:r w:rsidRPr="00060D60">
        <w:rPr>
          <w:rFonts w:eastAsia="Calibri"/>
          <w:b/>
          <w:iCs/>
          <w:highlight w:val="yellow"/>
          <w:u w:val="single"/>
        </w:rPr>
        <w:t>end to dollar hegemony</w:t>
      </w:r>
      <w:r w:rsidRPr="00060D60">
        <w:rPr>
          <w:rFonts w:eastAsia="Calibri"/>
          <w:b/>
          <w:iCs/>
          <w:u w:val="single"/>
        </w:rPr>
        <w:t>, a shift away from the dollar as</w:t>
      </w:r>
      <w:r w:rsidRPr="00060D60">
        <w:rPr>
          <w:rFonts w:eastAsia="Calibri"/>
          <w:sz w:val="12"/>
        </w:rPr>
        <w:t xml:space="preserve"> a reserve currency and </w:t>
      </w:r>
      <w:r w:rsidRPr="00060D60">
        <w:rPr>
          <w:rFonts w:eastAsia="Calibri"/>
          <w:b/>
          <w:iCs/>
          <w:u w:val="single"/>
        </w:rPr>
        <w:t xml:space="preserve">pricing </w:t>
      </w:r>
      <w:r w:rsidRPr="00060D60">
        <w:rPr>
          <w:rFonts w:eastAsia="Calibri"/>
          <w:sz w:val="12"/>
        </w:rPr>
        <w:t>standard</w:t>
      </w:r>
      <w:r w:rsidRPr="00060D60">
        <w:rPr>
          <w:rFonts w:eastAsia="Calibri"/>
          <w:b/>
          <w:iCs/>
          <w:u w:val="single"/>
        </w:rPr>
        <w:t xml:space="preserve"> for oil </w:t>
      </w:r>
      <w:r w:rsidRPr="00060D60">
        <w:rPr>
          <w:rFonts w:eastAsia="Calibri"/>
          <w:sz w:val="12"/>
        </w:rPr>
        <w:t>transactions</w:t>
      </w:r>
      <w:r w:rsidRPr="00060D60">
        <w:rPr>
          <w:rFonts w:eastAsia="Calibri"/>
          <w:b/>
          <w:iCs/>
          <w:u w:val="single"/>
        </w:rPr>
        <w:t xml:space="preserve">, </w:t>
      </w:r>
      <w:r w:rsidRPr="00060D60">
        <w:rPr>
          <w:rFonts w:eastAsia="Calibri"/>
          <w:b/>
          <w:iCs/>
          <w:highlight w:val="yellow"/>
          <w:u w:val="single"/>
        </w:rPr>
        <w:t>could be catastrophic</w:t>
      </w:r>
      <w:r w:rsidRPr="00060D60">
        <w:rPr>
          <w:rFonts w:eastAsia="Calibri"/>
          <w:sz w:val="12"/>
        </w:rPr>
        <w:t xml:space="preserve"> for the United States. In the worst case scenario, </w:t>
      </w:r>
      <w:r w:rsidRPr="00060D60">
        <w:rPr>
          <w:rFonts w:eastAsia="Calibri"/>
          <w:b/>
          <w:iCs/>
          <w:highlight w:val="yellow"/>
          <w:u w:val="single"/>
        </w:rPr>
        <w:t>a drastic drop in demand for dollar-denominated assets</w:t>
      </w:r>
    </w:p>
    <w:p w14:paraId="716E7A85" w14:textId="77777777" w:rsidR="005B3755" w:rsidRDefault="00187238" w:rsidP="005B3755">
      <w:pPr>
        <w:pStyle w:val="Heading2"/>
      </w:pPr>
      <w:r>
        <w:lastRenderedPageBreak/>
        <w:t xml:space="preserve"> </w:t>
      </w:r>
      <w:r w:rsidR="005B3755">
        <w:t>AT HIV/AIDS</w:t>
      </w:r>
    </w:p>
    <w:p w14:paraId="365F3727" w14:textId="77777777" w:rsidR="005B3755" w:rsidRPr="008800F9" w:rsidRDefault="005B3755" w:rsidP="005B3755">
      <w:pPr>
        <w:pStyle w:val="Heading4"/>
        <w:numPr>
          <w:ilvl w:val="0"/>
          <w:numId w:val="12"/>
        </w:numPr>
      </w:pPr>
      <w:r>
        <w:t xml:space="preserve">No solvency—there are already generic versions of HIV/AIDS drugs. </w:t>
      </w:r>
      <w:r w:rsidRPr="00FB19E7">
        <w:rPr>
          <w:rFonts w:cs="Calibri"/>
        </w:rPr>
        <w:t>Kapczynski 19</w:t>
      </w:r>
    </w:p>
    <w:p w14:paraId="7DD3B04D" w14:textId="77777777" w:rsidR="005B3755" w:rsidRPr="00FB19E7" w:rsidRDefault="005B3755" w:rsidP="005B3755">
      <w:r w:rsidRPr="00FB19E7">
        <w:t>Amy Kapczynski [professor of law at Yale Law School, faculty co-director of the Global Health Justice Partnership, and co-founder of the Law and Political Economy Blog], 19 - ("The Right to Medicines in an Age of Neoliberalism," Humanity Journal, 4-26-2019, http://humanityjournal.org/issue10-1/the-right-to-medicines-in-an-age-of-neoliberalism/)//ML</w:t>
      </w:r>
    </w:p>
    <w:p w14:paraId="3D1F71B5" w14:textId="77777777" w:rsidR="005B3755" w:rsidRPr="00970CFD" w:rsidRDefault="005B3755" w:rsidP="005B3755">
      <w:pPr>
        <w:rPr>
          <w:sz w:val="12"/>
        </w:rPr>
      </w:pPr>
      <w:r w:rsidRPr="00F73167">
        <w:rPr>
          <w:rStyle w:val="StyleUnderline"/>
        </w:rPr>
        <w:t>Why are these newer medicines so astronomically costly? Not because they are costly to make, but because producers enjoy monopoly rights. For example, a new breakthrough treatment for hepatitis C can be made for as little as $170, but the company holding the key patents priced it at $84,000 in the</w:t>
      </w:r>
      <w:r w:rsidRPr="00FB19E7">
        <w:rPr>
          <w:rStyle w:val="StyleUnderline"/>
        </w:rPr>
        <w:t xml:space="preserve"> United State</w:t>
      </w:r>
      <w:r w:rsidRPr="00FB19E7">
        <w:rPr>
          <w:sz w:val="12"/>
        </w:rPr>
        <w:t xml:space="preserve">s.85 This is, in fact, one of the core insights that fueled the access to medicines campaign: </w:t>
      </w:r>
      <w:r w:rsidRPr="00FB19E7">
        <w:rPr>
          <w:rStyle w:val="StyleUnderline"/>
          <w:highlight w:val="yellow"/>
        </w:rPr>
        <w:t>HIV medicines that were being sold</w:t>
      </w:r>
      <w:r w:rsidRPr="00FB19E7">
        <w:rPr>
          <w:rStyle w:val="StyleUnderline"/>
        </w:rPr>
        <w:t xml:space="preserve"> for $10,000 to </w:t>
      </w:r>
      <w:r w:rsidRPr="00FB19E7">
        <w:rPr>
          <w:rStyle w:val="StyleUnderline"/>
          <w:highlight w:val="yellow"/>
        </w:rPr>
        <w:t>$15,000 a year</w:t>
      </w:r>
      <w:r w:rsidRPr="00FB19E7">
        <w:rPr>
          <w:sz w:val="12"/>
        </w:rPr>
        <w:t xml:space="preserve"> (and that must be taken for life) </w:t>
      </w:r>
      <w:r w:rsidRPr="00FB19E7">
        <w:rPr>
          <w:rStyle w:val="StyleUnderline"/>
          <w:highlight w:val="yellow"/>
        </w:rPr>
        <w:t>could be sold for as little as $100</w:t>
      </w:r>
      <w:r w:rsidRPr="00FB19E7">
        <w:rPr>
          <w:rStyle w:val="StyleUnderline"/>
        </w:rPr>
        <w:t xml:space="preserve"> </w:t>
      </w:r>
      <w:r w:rsidRPr="00FB19E7">
        <w:rPr>
          <w:sz w:val="12"/>
        </w:rPr>
        <w:t xml:space="preserve">in the absence of monopoly.86 </w:t>
      </w:r>
      <w:r w:rsidRPr="00F73167">
        <w:rPr>
          <w:rStyle w:val="StyleUnderline"/>
          <w:highlight w:val="yellow"/>
        </w:rPr>
        <w:t>The treatment of millions of people with HIV in the global South has been</w:t>
      </w:r>
      <w:r w:rsidRPr="00F73167">
        <w:rPr>
          <w:rStyle w:val="StyleUnderline"/>
        </w:rPr>
        <w:t xml:space="preserve">, in fact, </w:t>
      </w:r>
      <w:r w:rsidRPr="00F73167">
        <w:rPr>
          <w:rStyle w:val="StyleUnderline"/>
          <w:highlight w:val="yellow"/>
        </w:rPr>
        <w:t>predicated on the use of cheaper, high-quality generic medicines, often imported from India or made locally</w:t>
      </w:r>
      <w:r w:rsidRPr="00F73167">
        <w:rPr>
          <w:rStyle w:val="StyleUnderline"/>
        </w:rPr>
        <w:t xml:space="preserve">.¶ </w:t>
      </w:r>
    </w:p>
    <w:p w14:paraId="7A5A10C8" w14:textId="77777777" w:rsidR="005B3755" w:rsidRPr="00A013B9" w:rsidRDefault="005B3755" w:rsidP="005B3755">
      <w:pPr>
        <w:pStyle w:val="Heading4"/>
        <w:numPr>
          <w:ilvl w:val="0"/>
          <w:numId w:val="12"/>
        </w:numPr>
      </w:pPr>
      <w:r>
        <w:t>Turn- TRIPS reduces global health inequality</w:t>
      </w:r>
    </w:p>
    <w:p w14:paraId="6C42B54D" w14:textId="77777777" w:rsidR="005B3755" w:rsidRDefault="005B3755" w:rsidP="005B3755">
      <w:r>
        <w:t xml:space="preserve">Samir Raheem </w:t>
      </w:r>
      <w:r w:rsidRPr="003C696D">
        <w:rPr>
          <w:rStyle w:val="Style13ptBold"/>
        </w:rPr>
        <w:t>Alsoodani 15</w:t>
      </w:r>
      <w:r>
        <w:t xml:space="preserve">, “"The WTO Agreement on Trade-Related Aspects of Intellectual Property Rights (TRIPS) may offered an access to essential pharmaceutical drugs for developing countries,” Journal Of the College of law /Al-Nahrain University 2015, Volume 17, Issue 2, Pages 393-410, </w:t>
      </w:r>
      <w:hyperlink r:id="rId9" w:history="1">
        <w:r w:rsidRPr="00686BA3">
          <w:rPr>
            <w:rStyle w:val="Hyperlink"/>
          </w:rPr>
          <w:t>https://www.iasj.net/iasj/article/109180</w:t>
        </w:r>
      </w:hyperlink>
    </w:p>
    <w:p w14:paraId="5632337F" w14:textId="77777777" w:rsidR="005B3755" w:rsidRPr="003C696D" w:rsidRDefault="005B3755" w:rsidP="005B3755">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5EEE77F6" w14:textId="77777777" w:rsidR="005B3755" w:rsidRDefault="005B3755" w:rsidP="005B3755">
      <w:pPr>
        <w:pStyle w:val="Heading4"/>
        <w:numPr>
          <w:ilvl w:val="0"/>
          <w:numId w:val="12"/>
        </w:numPr>
      </w:pPr>
      <w:r>
        <w:t>TRIPS enhances human rights</w:t>
      </w:r>
    </w:p>
    <w:p w14:paraId="7D7CF6A0" w14:textId="77777777" w:rsidR="005B3755" w:rsidRDefault="005B3755" w:rsidP="005B3755">
      <w:r>
        <w:t xml:space="preserve">Samir Raheem </w:t>
      </w:r>
      <w:r w:rsidRPr="003C696D">
        <w:rPr>
          <w:rStyle w:val="Style13ptBold"/>
        </w:rPr>
        <w:t>Alsoodani 15</w:t>
      </w:r>
      <w:r>
        <w:t xml:space="preserve">, “"The WTO Agreement on Trade-Related Aspects of Intellectual Property Rights (TRIPS) may offered an access to essential pharmaceutical drugs for developing countries,” Journal Of the College of law /Al-Nahrain University 2015, Volume 17, Issue 2, Pages 393-410, </w:t>
      </w:r>
      <w:hyperlink r:id="rId10" w:history="1">
        <w:r w:rsidRPr="00686BA3">
          <w:rPr>
            <w:rStyle w:val="Hyperlink"/>
          </w:rPr>
          <w:t>https://www.iasj.net/iasj/article/109180</w:t>
        </w:r>
      </w:hyperlink>
    </w:p>
    <w:p w14:paraId="3E0E454C" w14:textId="77777777" w:rsidR="005B3755" w:rsidRDefault="005B3755" w:rsidP="005B3755">
      <w:r w:rsidRPr="00F36EFD">
        <w:rPr>
          <w:rStyle w:val="StyleUnderline"/>
        </w:rPr>
        <w:t xml:space="preserve">In contrast, </w:t>
      </w:r>
      <w:r w:rsidRPr="00F22002">
        <w:rPr>
          <w:rStyle w:val="StyleUnderline"/>
          <w:highlight w:val="green"/>
        </w:rPr>
        <w:t>Anderson and Wager</w:t>
      </w:r>
      <w:r w:rsidRPr="00F36EFD">
        <w:rPr>
          <w:rStyle w:val="StyleUnderline"/>
        </w:rPr>
        <w:t xml:space="preserve"> (2006) </w:t>
      </w:r>
      <w:r w:rsidRPr="00F22002">
        <w:rPr>
          <w:rStyle w:val="StyleUnderline"/>
          <w:highlight w:val="green"/>
        </w:rPr>
        <w:t>believe</w:t>
      </w:r>
      <w:r w:rsidRPr="00F36EFD">
        <w:rPr>
          <w:rStyle w:val="StyleUnderline"/>
        </w:rPr>
        <w:t xml:space="preserve"> that the </w:t>
      </w:r>
      <w:r w:rsidRPr="00F22002">
        <w:rPr>
          <w:rStyle w:val="StyleUnderline"/>
          <w:highlight w:val="green"/>
        </w:rPr>
        <w:t>TRIPS</w:t>
      </w:r>
      <w:r w:rsidRPr="00F36EFD">
        <w:rPr>
          <w:rStyle w:val="StyleUnderline"/>
        </w:rPr>
        <w:t xml:space="preserve"> Agreement provisions </w:t>
      </w:r>
      <w:r w:rsidRPr="00F22002">
        <w:rPr>
          <w:rStyle w:val="Emphasis"/>
          <w:highlight w:val="green"/>
        </w:rPr>
        <w:t>enhanced human rights principles</w:t>
      </w:r>
      <w:r w:rsidRPr="00F36EFD">
        <w:rPr>
          <w:rStyle w:val="StyleUnderline"/>
        </w:rPr>
        <w:t xml:space="preserve">, because of the many features throughout the TRIPS Agreement, such as the </w:t>
      </w:r>
      <w:r w:rsidRPr="00F22002">
        <w:rPr>
          <w:rStyle w:val="StyleUnderline"/>
          <w:highlight w:val="green"/>
        </w:rPr>
        <w:t>emphasis on the need for a balance</w:t>
      </w:r>
      <w:r w:rsidRPr="00F36EFD">
        <w:rPr>
          <w:rStyle w:val="StyleUnderline"/>
        </w:rPr>
        <w:t xml:space="preserve"> between the advantages, the commitments, and the </w:t>
      </w:r>
      <w:r w:rsidRPr="00F36EFD">
        <w:rPr>
          <w:rStyle w:val="StyleUnderline"/>
        </w:rPr>
        <w:lastRenderedPageBreak/>
        <w:t xml:space="preserve">rights for both the users and the producers of the invention. Other examples include </w:t>
      </w:r>
      <w:r w:rsidRPr="00F22002">
        <w:rPr>
          <w:rStyle w:val="StyleUnderline"/>
          <w:highlight w:val="green"/>
        </w:rPr>
        <w:t>nondiscrimination treatment</w:t>
      </w:r>
      <w:r w:rsidRPr="00F36EFD">
        <w:rPr>
          <w:rStyle w:val="StyleUnderline"/>
        </w:rPr>
        <w:t xml:space="preserve">, and the </w:t>
      </w:r>
      <w:r w:rsidRPr="00F22002">
        <w:rPr>
          <w:rStyle w:val="StyleUnderline"/>
          <w:highlight w:val="green"/>
        </w:rPr>
        <w:t>stipulation that all disputes must be settled under the WTO system</w:t>
      </w:r>
      <w:r w:rsidRPr="00F36EFD">
        <w:rPr>
          <w:rStyle w:val="StyleUnderline"/>
        </w:rPr>
        <w:t xml:space="preserve">, which </w:t>
      </w:r>
      <w:r w:rsidRPr="00F22002">
        <w:rPr>
          <w:rStyle w:val="Emphasis"/>
          <w:highlight w:val="green"/>
        </w:rPr>
        <w:t>secures the rule of law</w:t>
      </w:r>
      <w:r w:rsidRPr="00F36EFD">
        <w:rPr>
          <w:rStyle w:val="StyleUnderline"/>
        </w:rPr>
        <w:t xml:space="preserve"> governing international trade. The </w:t>
      </w:r>
      <w:r w:rsidRPr="00F22002">
        <w:rPr>
          <w:rStyle w:val="Emphasis"/>
          <w:highlight w:val="green"/>
        </w:rPr>
        <w:t>TRIPS Agreement has favoured the least developed countries</w:t>
      </w:r>
      <w:r w:rsidRPr="00F22002">
        <w:rPr>
          <w:rStyle w:val="StyleUnderline"/>
          <w:highlight w:val="green"/>
        </w:rPr>
        <w:t xml:space="preserve"> with </w:t>
      </w:r>
      <w:r w:rsidRPr="00F22002">
        <w:rPr>
          <w:rStyle w:val="Emphasis"/>
          <w:highlight w:val="green"/>
        </w:rPr>
        <w:t>distinctive and more lenient treatment</w:t>
      </w:r>
      <w:r w:rsidRPr="00F36EFD">
        <w:rPr>
          <w:rStyle w:val="StyleUnderline"/>
        </w:rPr>
        <w:t>, as these countries have until 2016 to enforce protection of patent rights with regards to undisclosed data relating to pharmaceutical products</w:t>
      </w:r>
      <w:r>
        <w:t>.</w:t>
      </w:r>
    </w:p>
    <w:p w14:paraId="4485411C" w14:textId="77777777" w:rsidR="005B3755" w:rsidRDefault="005B3755" w:rsidP="005B3755">
      <w:pPr>
        <w:pStyle w:val="Heading4"/>
        <w:numPr>
          <w:ilvl w:val="0"/>
          <w:numId w:val="12"/>
        </w:numPr>
      </w:pPr>
      <w:r>
        <w:t>No link. Conflict has happened before. The EU. Conteols an enourmous part of the WTO, the WTO fill follow the EU. The WTO is not a private entity. It is a bunch of states deciding to make treaties. Unless they can provide conclusive ev that says that individual countries don’t like the EU, then they shouldn’t win a klink</w:t>
      </w:r>
    </w:p>
    <w:p w14:paraId="471FBA78" w14:textId="77777777" w:rsidR="005B3755" w:rsidRPr="00F601E6" w:rsidRDefault="005B3755" w:rsidP="005B3755">
      <w:pPr>
        <w:pStyle w:val="ListParagraph"/>
        <w:numPr>
          <w:ilvl w:val="0"/>
          <w:numId w:val="12"/>
        </w:numPr>
      </w:pPr>
      <w:r>
        <w:t xml:space="preserve">No link for war </w:t>
      </w:r>
    </w:p>
    <w:p w14:paraId="064AB2A6" w14:textId="27416BA1" w:rsidR="00E42E4C" w:rsidRPr="00F601E6" w:rsidRDefault="00E42E4C" w:rsidP="00187238">
      <w:pPr>
        <w:pStyle w:val="ListParagraph"/>
        <w:numPr>
          <w:ilvl w:val="0"/>
          <w:numId w:val="12"/>
        </w:numPr>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324673"/>
    <w:multiLevelType w:val="hybridMultilevel"/>
    <w:tmpl w:val="3E944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813714"/>
    <w:multiLevelType w:val="hybridMultilevel"/>
    <w:tmpl w:val="16DC3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8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57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238"/>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97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75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76F"/>
    <w:rsid w:val="008D724A"/>
    <w:rsid w:val="008E7A3E"/>
    <w:rsid w:val="008F41FD"/>
    <w:rsid w:val="008F4479"/>
    <w:rsid w:val="008F4BA0"/>
    <w:rsid w:val="00901726"/>
    <w:rsid w:val="009175E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9F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41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50B531"/>
  <w14:defaultImageDpi w14:val="300"/>
  <w15:docId w15:val="{50EED281-5B01-3542-8A77-6DEBC2D4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75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75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9175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175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9175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75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75E3"/>
  </w:style>
  <w:style w:type="character" w:customStyle="1" w:styleId="Heading1Char">
    <w:name w:val="Heading 1 Char"/>
    <w:aliases w:val="Pocket Char"/>
    <w:basedOn w:val="DefaultParagraphFont"/>
    <w:link w:val="Heading1"/>
    <w:uiPriority w:val="9"/>
    <w:rsid w:val="009175E3"/>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9175E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9175E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9175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75E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9175E3"/>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9175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75E3"/>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175E3"/>
    <w:rPr>
      <w:color w:val="auto"/>
      <w:u w:val="none"/>
    </w:rPr>
  </w:style>
  <w:style w:type="paragraph" w:styleId="DocumentMap">
    <w:name w:val="Document Map"/>
    <w:basedOn w:val="Normal"/>
    <w:link w:val="DocumentMapChar"/>
    <w:uiPriority w:val="99"/>
    <w:semiHidden/>
    <w:unhideWhenUsed/>
    <w:rsid w:val="009175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75E3"/>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8D576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D576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s1">
    <w:name w:val="Emphasis1"/>
    <w:basedOn w:val="Normal"/>
    <w:autoRedefine/>
    <w:uiPriority w:val="20"/>
    <w:qFormat/>
    <w:rsid w:val="008D576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1872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iasj.net/iasj/article/109180" TargetMode="External"/><Relationship Id="rId4" Type="http://schemas.openxmlformats.org/officeDocument/2006/relationships/customXml" Target="../customXml/item4.xml"/><Relationship Id="rId9" Type="http://schemas.openxmlformats.org/officeDocument/2006/relationships/hyperlink" Target="https://www.iasj.net/iasj/article/1091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16</Pages>
  <Words>6738</Words>
  <Characters>38409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4</cp:revision>
  <dcterms:created xsi:type="dcterms:W3CDTF">2021-09-18T16:07:00Z</dcterms:created>
  <dcterms:modified xsi:type="dcterms:W3CDTF">2021-09-18T18:53:00Z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