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15D74" w14:textId="77777777" w:rsidR="00217B3F" w:rsidRDefault="00217B3F" w:rsidP="00217B3F">
      <w:pPr>
        <w:pStyle w:val="Heading3"/>
      </w:pPr>
      <w:r>
        <w:t xml:space="preserve">3 </w:t>
      </w:r>
    </w:p>
    <w:p w14:paraId="59AAE9EE" w14:textId="77777777" w:rsidR="00217B3F" w:rsidRDefault="00217B3F" w:rsidP="00217B3F">
      <w:pPr>
        <w:pStyle w:val="Heading4"/>
      </w:pPr>
      <w:r>
        <w:t xml:space="preserve">Russia and China are in a space arms race- the plan causes China to bow out and Russia wins. This independently </w:t>
      </w:r>
      <w:r w:rsidRPr="00DF51C6">
        <w:rPr>
          <w:rFonts w:cs="Arial"/>
          <w:sz w:val="28"/>
        </w:rPr>
        <w:t>turns case</w:t>
      </w:r>
      <w:r>
        <w:rPr>
          <w:rFonts w:cs="Arial"/>
          <w:sz w:val="28"/>
        </w:rPr>
        <w:t xml:space="preserve"> because </w:t>
      </w:r>
      <w:r>
        <w:t>their Bowman and Thompson + Rogin cards are not about a Russian-Sino alliance, but about an arms race between the countries. Bowman and Thompson 20:</w:t>
      </w:r>
    </w:p>
    <w:p w14:paraId="0CDD488C" w14:textId="77777777" w:rsidR="00217B3F" w:rsidRDefault="00217B3F" w:rsidP="00217B3F">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 }, 20 - ("Russia and China Seek to Tie America’s Hands in Space," Foreign Policy, 11-12-2020, https://foreignpolicy.com/2021/03/31/russia-china-space-war-treaty-demilitarization-satellites/)//marlborough-wr/</w:t>
      </w:r>
    </w:p>
    <w:p w14:paraId="2034EAB8" w14:textId="77777777" w:rsidR="00217B3F" w:rsidRDefault="00217B3F" w:rsidP="00217B3F">
      <w:pPr>
        <w:ind w:left="720"/>
        <w:rPr>
          <w:rStyle w:val="StyleUnderline"/>
        </w:rPr>
      </w:pPr>
      <w:r w:rsidRPr="00EE2F38">
        <w:rPr>
          <w:sz w:val="12"/>
        </w:rPr>
        <w:t xml:space="preserve">Consider the actions of the United States’ two great-power adversaries when it comes to anti-satellite weapons. </w:t>
      </w:r>
      <w:r w:rsidRPr="00E210F8">
        <w:rPr>
          <w:rStyle w:val="Emphasis"/>
          <w:highlight w:val="yellow"/>
        </w:rPr>
        <w:t xml:space="preserve">China and Russia have </w:t>
      </w:r>
      <w:hyperlink r:id="rId9" w:history="1">
        <w:r w:rsidRPr="00E210F8">
          <w:rPr>
            <w:rStyle w:val="Emphasis"/>
            <w:highlight w:val="yellow"/>
          </w:rPr>
          <w:t>sprinted</w:t>
        </w:r>
      </w:hyperlink>
      <w:r w:rsidRPr="00E210F8">
        <w:rPr>
          <w:rStyle w:val="Emphasis"/>
          <w:highlight w:val="yellow"/>
        </w:rPr>
        <w:t xml:space="preserve"> to develop and deploy</w:t>
      </w:r>
      <w:r w:rsidRPr="00EE2F38">
        <w:rPr>
          <w:rStyle w:val="Emphasis"/>
        </w:rPr>
        <w:t xml:space="preserve"> both ground-based and </w:t>
      </w:r>
      <w:r w:rsidRPr="00E210F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0" w:history="1">
        <w:r w:rsidRPr="00EE2F38">
          <w:rPr>
            <w:rStyle w:val="Hyperlink"/>
            <w:sz w:val="12"/>
          </w:rPr>
          <w:t>Moscow</w:t>
        </w:r>
      </w:hyperlink>
      <w:r w:rsidRPr="00EE2F38">
        <w:rPr>
          <w:sz w:val="12"/>
        </w:rPr>
        <w:t xml:space="preserve"> have submitted at the United Nations, is a perfect example. PPWT signatories </w:t>
      </w:r>
      <w:hyperlink r:id="rId11"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210F8">
        <w:rPr>
          <w:rStyle w:val="StyleUnderline"/>
          <w:highlight w:val="yellow"/>
        </w:rPr>
        <w:t>China and Russia are</w:t>
      </w:r>
      <w:r w:rsidRPr="00EE2F38">
        <w:rPr>
          <w:rStyle w:val="StyleUnderline"/>
        </w:rPr>
        <w:t xml:space="preserve"> already </w:t>
      </w:r>
      <w:r w:rsidRPr="00E210F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210F8">
        <w:rPr>
          <w:rStyle w:val="Emphasis"/>
          <w:highlight w:val="yellow"/>
        </w:rPr>
        <w:t>space</w:t>
      </w:r>
      <w:r w:rsidRPr="00EE2F38">
        <w:rPr>
          <w:rStyle w:val="Emphasis"/>
        </w:rPr>
        <w:t xml:space="preserve"> domain </w:t>
      </w:r>
      <w:r w:rsidRPr="00E210F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2" w:history="1">
        <w:r w:rsidRPr="00EE2F38">
          <w:rPr>
            <w:rStyle w:val="Hyperlink"/>
            <w:sz w:val="12"/>
          </w:rPr>
          <w:t>said</w:t>
        </w:r>
      </w:hyperlink>
      <w:r w:rsidRPr="00EE2F38">
        <w:rPr>
          <w:sz w:val="12"/>
        </w:rPr>
        <w:t xml:space="preserve"> in January. “Our competitors, most notably </w:t>
      </w:r>
      <w:r w:rsidRPr="00E210F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13"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14"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15" w:history="1">
        <w:r w:rsidRPr="00EE2F38">
          <w:rPr>
            <w:rStyle w:val="StyleUnderline"/>
          </w:rPr>
          <w:t>tested</w:t>
        </w:r>
      </w:hyperlink>
      <w:r>
        <w:rPr>
          <w:rStyle w:val="StyleUnderline"/>
        </w:rPr>
        <w:t xml:space="preserve"> </w:t>
      </w:r>
      <w:r w:rsidRPr="00EE2F38">
        <w:rPr>
          <w:rStyle w:val="StyleUnderline"/>
        </w:rPr>
        <w:t xml:space="preserve">a </w:t>
      </w:r>
      <w:r w:rsidRPr="00E210F8">
        <w:rPr>
          <w:rStyle w:val="StyleUnderline"/>
          <w:highlight w:val="yellow"/>
        </w:rPr>
        <w:t>ground-based anti-satellite weapon</w:t>
      </w:r>
      <w:r w:rsidRPr="00EE2F38">
        <w:rPr>
          <w:rStyle w:val="StyleUnderline"/>
        </w:rPr>
        <w:t xml:space="preserve"> in December that </w:t>
      </w:r>
      <w:r w:rsidRPr="00E210F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16"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210F8">
        <w:rPr>
          <w:rStyle w:val="StyleUnderline"/>
          <w:highlight w:val="yellow"/>
        </w:rPr>
        <w:t>both countries are also working to deploy space-based</w:t>
      </w:r>
      <w:r w:rsidRPr="00EE2F38">
        <w:rPr>
          <w:rStyle w:val="StyleUnderline"/>
        </w:rPr>
        <w:t>—or so-called “</w:t>
      </w:r>
      <w:hyperlink r:id="rId17" w:anchor="page=3" w:history="1">
        <w:r w:rsidRPr="00EE2F38">
          <w:rPr>
            <w:rStyle w:val="StyleUnderline"/>
          </w:rPr>
          <w:t>on-orbit</w:t>
        </w:r>
      </w:hyperlink>
      <w:r w:rsidRPr="00EE2F38">
        <w:rPr>
          <w:rStyle w:val="StyleUnderline"/>
        </w:rPr>
        <w:t>”—</w:t>
      </w:r>
      <w:r w:rsidRPr="00E210F8">
        <w:rPr>
          <w:rStyle w:val="StyleUnderline"/>
          <w:highlight w:val="yellow"/>
        </w:rPr>
        <w:t>capabilities to attack satellites.</w:t>
      </w:r>
    </w:p>
    <w:p w14:paraId="291D4FBD" w14:textId="77777777" w:rsidR="00217B3F" w:rsidRDefault="00217B3F" w:rsidP="00217B3F">
      <w:pPr>
        <w:ind w:left="720"/>
        <w:rPr>
          <w:rStyle w:val="StyleUnderline"/>
        </w:rPr>
      </w:pPr>
    </w:p>
    <w:p w14:paraId="6488D6A8" w14:textId="77777777" w:rsidR="00217B3F" w:rsidRPr="00E4002F" w:rsidRDefault="00217B3F" w:rsidP="00217B3F">
      <w:pPr>
        <w:pStyle w:val="Heading4"/>
      </w:pPr>
      <w:r w:rsidRPr="00E4002F">
        <w:t xml:space="preserve">Unchecked Russian influence in space will inevitably lead to war – </w:t>
      </w:r>
      <w:r>
        <w:t>the asymmetric advantage given to them by the plan is key for Russian space heg. T</w:t>
      </w:r>
      <w:r w:rsidRPr="00E4002F">
        <w:t xml:space="preserve">hey are uniquely </w:t>
      </w:r>
      <w:r>
        <w:t>more aggressive</w:t>
      </w:r>
      <w:r w:rsidRPr="00E4002F">
        <w:t xml:space="preserve"> than China, and </w:t>
      </w:r>
      <w:r>
        <w:t>the CP</w:t>
      </w:r>
      <w:r w:rsidRPr="00E4002F">
        <w:t xml:space="preserve"> is the only way to limit them. </w:t>
      </w:r>
      <w:r>
        <w:t xml:space="preserve">Don’t let them say Russia needs China – Stent only says that Russia supports Chinese aggression, not that they’re dependent on it, which means Russia heg independently turns case. </w:t>
      </w:r>
      <w:r w:rsidRPr="00E4002F">
        <w:t>Boulègue and Unal 20:</w:t>
      </w:r>
    </w:p>
    <w:p w14:paraId="709FD26E" w14:textId="77777777" w:rsidR="00217B3F" w:rsidRPr="00E4002F" w:rsidRDefault="00217B3F" w:rsidP="00217B3F">
      <w:hyperlink r:id="rId18" w:history="1">
        <w:r w:rsidRPr="00E4002F">
          <w:rPr>
            <w:rStyle w:val="Hyperlink"/>
          </w:rPr>
          <w:t>Mathieu Boulègue</w:t>
        </w:r>
      </w:hyperlink>
      <w:r w:rsidRPr="00E4002F">
        <w:t xml:space="preserve">, </w:t>
      </w:r>
      <w:hyperlink r:id="rId19" w:history="1">
        <w:r w:rsidRPr="00E4002F">
          <w:rPr>
            <w:rStyle w:val="Hyperlink"/>
          </w:rPr>
          <w:t>Beyza Unal</w:t>
        </w:r>
      </w:hyperlink>
      <w:r w:rsidRPr="00E4002F">
        <w:t xml:space="preserve"> {Unal is Deputy Director, International Security Programme, Boulègue is a Research Fellow, Russia and Eurasia Programme}, 20 - ("Russia’s Behaviour Risks Weaponizing Outer Space," Chatham House – International Affairs Think Tank, 7-27-2020, https://www.chathamhouse.org/2020/07/russias-behaviour-risks-weaponizing-outer-space)//marlborough-wr/</w:t>
      </w:r>
    </w:p>
    <w:p w14:paraId="425362EB" w14:textId="3E58B947" w:rsidR="00E42E4C" w:rsidRPr="00F601E6" w:rsidRDefault="00217B3F" w:rsidP="00217B3F">
      <w:r w:rsidRPr="00E90E9B">
        <w:rPr>
          <w:sz w:val="12"/>
        </w:rPr>
        <w:t xml:space="preserve">Russia’s use of outer space Russia is not the only state investigating anti-satellite weaponry capabilities. There is a wider trend (e.g. </w:t>
      </w:r>
      <w:r w:rsidRPr="00E210F8">
        <w:rPr>
          <w:rStyle w:val="StyleUnderline"/>
          <w:highlight w:val="yellow"/>
        </w:rPr>
        <w:t>China</w:t>
      </w:r>
      <w:r w:rsidRPr="00E90E9B">
        <w:rPr>
          <w:sz w:val="12"/>
        </w:rPr>
        <w:t xml:space="preserve">, India, US) to </w:t>
      </w:r>
      <w:r w:rsidRPr="00E210F8">
        <w:rPr>
          <w:rStyle w:val="StyleUnderline"/>
          <w:highlight w:val="yellow"/>
        </w:rPr>
        <w:t xml:space="preserve">demonstrate advanced space capabilities </w:t>
      </w:r>
      <w:r w:rsidRPr="00E4002F">
        <w:rPr>
          <w:rStyle w:val="StyleUnderline"/>
        </w:rPr>
        <w:t>with nefarious</w:t>
      </w:r>
      <w:r w:rsidRPr="00E90E9B">
        <w:rPr>
          <w:rStyle w:val="StyleUnderline"/>
        </w:rPr>
        <w:t xml:space="preserve">, if not directly offensive, </w:t>
      </w:r>
      <w:r w:rsidRPr="00E4002F">
        <w:rPr>
          <w:rStyle w:val="StyleUnderline"/>
        </w:rPr>
        <w:t xml:space="preserve">intent. </w:t>
      </w:r>
      <w:r w:rsidRPr="00E210F8">
        <w:rPr>
          <w:rStyle w:val="StyleUnderline"/>
          <w:highlight w:val="yellow"/>
        </w:rPr>
        <w:t>But</w:t>
      </w:r>
      <w:r w:rsidRPr="00E90E9B">
        <w:rPr>
          <w:sz w:val="12"/>
        </w:rPr>
        <w:t xml:space="preserve">, for the past few years, </w:t>
      </w:r>
      <w:r w:rsidRPr="00E210F8">
        <w:rPr>
          <w:rStyle w:val="StyleUnderline"/>
          <w:highlight w:val="yellow"/>
        </w:rPr>
        <w:t>Russia in particular, has been provocative in</w:t>
      </w:r>
      <w:r w:rsidRPr="00E90E9B">
        <w:rPr>
          <w:rStyle w:val="StyleUnderline"/>
        </w:rPr>
        <w:t xml:space="preserve"> testing </w:t>
      </w:r>
      <w:r w:rsidRPr="00E210F8">
        <w:rPr>
          <w:rStyle w:val="StyleUnderline"/>
          <w:highlight w:val="yellow"/>
        </w:rPr>
        <w:t>its space weapon capabilities.</w:t>
      </w:r>
      <w:r>
        <w:rPr>
          <w:rStyle w:val="StyleUnderline"/>
        </w:rPr>
        <w:t xml:space="preserve"> </w:t>
      </w:r>
      <w:r w:rsidRPr="00E90E9B">
        <w:rPr>
          <w:sz w:val="12"/>
        </w:rPr>
        <w:t xml:space="preserve">For example, in April 2020, Russia </w:t>
      </w:r>
      <w:hyperlink r:id="rId20" w:tgtFrame="_blank" w:tooltip="Opens in new window" w:history="1">
        <w:r w:rsidRPr="00E90E9B">
          <w:rPr>
            <w:rStyle w:val="Hyperlink"/>
            <w:sz w:val="12"/>
          </w:rPr>
          <w:t>launched and tested into low orbit</w:t>
        </w:r>
      </w:hyperlink>
      <w:r w:rsidRPr="00E90E9B">
        <w:rPr>
          <w:sz w:val="12"/>
        </w:rPr>
        <w:t xml:space="preserve"> the PL-19 Nudol direct-ascent anti-satellite (DA-ASAT) interceptor missile system from the Plesetsk Cosmodrome demonstrating its space assets with potential offensive capabilities, in particular, Russia’s capacity to destroy satellites in Low Earth Orbit. In addition, the satellites, Kosmos-2535 and Kosmos-2536, launched in </w:t>
      </w:r>
      <w:hyperlink r:id="rId21" w:tgtFrame="_blank" w:tooltip="Opens in new window" w:history="1">
        <w:r w:rsidRPr="00E90E9B">
          <w:rPr>
            <w:rStyle w:val="Hyperlink"/>
            <w:sz w:val="12"/>
          </w:rPr>
          <w:t>July 2019</w:t>
        </w:r>
      </w:hyperlink>
      <w:r w:rsidRPr="00E90E9B">
        <w:rPr>
          <w:sz w:val="12"/>
        </w:rPr>
        <w:t xml:space="preserve">, are also suspected to be operating beyond their official mission of studying Russian orbital assets. It is </w:t>
      </w:r>
      <w:hyperlink r:id="rId22" w:tgtFrame="_blank" w:tooltip="Opens in new window" w:history="1">
        <w:r w:rsidRPr="00E90E9B">
          <w:rPr>
            <w:rStyle w:val="Hyperlink"/>
            <w:sz w:val="12"/>
          </w:rPr>
          <w:t>reported that</w:t>
        </w:r>
      </w:hyperlink>
      <w:r w:rsidRPr="00E90E9B">
        <w:rPr>
          <w:sz w:val="12"/>
        </w:rPr>
        <w:t xml:space="preserve"> these satellites conducted a close proximity activity, coming within one kilometre from each other, which led to the creation of orbital debris. Russia’s space strategy </w:t>
      </w:r>
      <w:r w:rsidRPr="00E210F8">
        <w:rPr>
          <w:rStyle w:val="Emphasis"/>
          <w:highlight w:val="yellow"/>
        </w:rPr>
        <w:t>By exploiting asymmetric advantages in space</w:t>
      </w:r>
      <w:r w:rsidRPr="00E210F8">
        <w:rPr>
          <w:sz w:val="12"/>
          <w:highlight w:val="yellow"/>
        </w:rPr>
        <w:t xml:space="preserve">, </w:t>
      </w:r>
      <w:r w:rsidRPr="00E210F8">
        <w:rPr>
          <w:rStyle w:val="StyleUnderline"/>
          <w:highlight w:val="yellow"/>
        </w:rPr>
        <w:t>Russia seeks to leverage its capabilities against competitors in space and in other domains</w:t>
      </w:r>
      <w:r w:rsidRPr="00E90E9B">
        <w:rPr>
          <w:sz w:val="12"/>
        </w:rPr>
        <w:t xml:space="preserve">, falling in line with its wider military strategy as well as its current </w:t>
      </w:r>
      <w:hyperlink r:id="rId23" w:tgtFrame="_blank" w:tooltip="Opens in new window" w:history="1">
        <w:r w:rsidRPr="00E90E9B">
          <w:rPr>
            <w:rStyle w:val="Hyperlink"/>
            <w:sz w:val="12"/>
          </w:rPr>
          <w:t>Federal Space Programme</w:t>
        </w:r>
      </w:hyperlink>
      <w:r w:rsidRPr="00E90E9B">
        <w:rPr>
          <w:sz w:val="12"/>
        </w:rPr>
        <w:t xml:space="preserve"> for 2016 to 2025. </w:t>
      </w:r>
      <w:r w:rsidRPr="00E90E9B">
        <w:rPr>
          <w:rStyle w:val="StyleUnderline"/>
        </w:rPr>
        <w:t xml:space="preserve">Russian space activities also have a </w:t>
      </w:r>
      <w:r w:rsidRPr="00E90E9B">
        <w:rPr>
          <w:rStyle w:val="Emphasis"/>
        </w:rPr>
        <w:t>cyber and electronic warfare</w:t>
      </w:r>
      <w:r w:rsidRPr="00E90E9B">
        <w:rPr>
          <w:rStyle w:val="StyleUnderline"/>
        </w:rPr>
        <w:t xml:space="preserve"> angle. </w:t>
      </w:r>
      <w:r w:rsidRPr="00E90E9B">
        <w:rPr>
          <w:sz w:val="12"/>
        </w:rPr>
        <w:t xml:space="preserve">With the help of remote-sensing capabilities, </w:t>
      </w:r>
      <w:r w:rsidRPr="00E210F8">
        <w:rPr>
          <w:rStyle w:val="StyleUnderline"/>
          <w:highlight w:val="yellow"/>
        </w:rPr>
        <w:t>Russian spy satellites</w:t>
      </w:r>
      <w:r w:rsidRPr="00E90E9B">
        <w:rPr>
          <w:sz w:val="12"/>
        </w:rPr>
        <w:t xml:space="preserve"> potentially </w:t>
      </w:r>
      <w:r w:rsidRPr="00E210F8">
        <w:rPr>
          <w:rStyle w:val="Emphasis"/>
          <w:highlight w:val="yellow"/>
        </w:rPr>
        <w:t>seek to disrupt military and civilian satellite communications and navigation systems.</w:t>
      </w:r>
      <w:r w:rsidRPr="00E90E9B">
        <w:rPr>
          <w:sz w:val="12"/>
        </w:rPr>
        <w:t xml:space="preserve"> Indeed, in 2018, French authorities </w:t>
      </w:r>
      <w:hyperlink r:id="rId24" w:tgtFrame="_blank" w:tooltip="Opens in new window" w:history="1">
        <w:r w:rsidRPr="00E90E9B">
          <w:rPr>
            <w:rStyle w:val="Hyperlink"/>
            <w:sz w:val="12"/>
          </w:rPr>
          <w:t>publicly accused</w:t>
        </w:r>
      </w:hyperlink>
      <w:r w:rsidRPr="00E90E9B">
        <w:rPr>
          <w:sz w:val="12"/>
        </w:rPr>
        <w:t xml:space="preserve"> Russia of seeking to intercept communication satellites for French and Italian armed forces putting data transmission through Western civilian and military satellites at risk of interception. Furthermore, earlier this year, both Kosmos-2542 and 2543 came within 160 kilometres of a US spy satellite, US KH-11, similarly to Russia ‘</w:t>
      </w:r>
      <w:hyperlink r:id="rId25" w:tgtFrame="_blank" w:tooltip="Opens in new window" w:history="1">
        <w:r w:rsidRPr="00E90E9B">
          <w:rPr>
            <w:rStyle w:val="Hyperlink"/>
            <w:sz w:val="12"/>
          </w:rPr>
          <w:t>buzzing’</w:t>
        </w:r>
      </w:hyperlink>
      <w:r w:rsidRPr="00E90E9B">
        <w:rPr>
          <w:sz w:val="12"/>
        </w:rPr>
        <w:t xml:space="preserve"> around the British Isles or submarine surveillance that Norway and Sweden have been subjected to recently</w:t>
      </w:r>
      <w:r w:rsidRPr="00E210F8">
        <w:rPr>
          <w:sz w:val="12"/>
          <w:highlight w:val="yellow"/>
        </w:rPr>
        <w:t xml:space="preserve">. </w:t>
      </w:r>
      <w:hyperlink r:id="rId26" w:tgtFrame="_blank" w:tooltip="Opens in new window" w:history="1">
        <w:r w:rsidRPr="00E210F8">
          <w:rPr>
            <w:rStyle w:val="StyleUnderline"/>
            <w:highlight w:val="yellow"/>
          </w:rPr>
          <w:t>Shadowing and tailing</w:t>
        </w:r>
      </w:hyperlink>
      <w:r w:rsidRPr="00E210F8">
        <w:rPr>
          <w:rStyle w:val="StyleUnderline"/>
          <w:highlight w:val="yellow"/>
        </w:rPr>
        <w:t xml:space="preserve"> in space</w:t>
      </w:r>
      <w:r w:rsidRPr="00E90E9B">
        <w:rPr>
          <w:sz w:val="12"/>
        </w:rPr>
        <w:t xml:space="preserve"> is regarded as spying and this recent anti-satellite weapon test is part of a trend which </w:t>
      </w:r>
      <w:r w:rsidRPr="00E210F8">
        <w:rPr>
          <w:rStyle w:val="StyleUnderline"/>
          <w:highlight w:val="yellow"/>
        </w:rPr>
        <w:t>demonstrates</w:t>
      </w:r>
      <w:r w:rsidRPr="00E90E9B">
        <w:rPr>
          <w:rStyle w:val="StyleUnderline"/>
        </w:rPr>
        <w:t xml:space="preserve"> </w:t>
      </w:r>
      <w:r w:rsidRPr="00E210F8">
        <w:rPr>
          <w:rStyle w:val="StyleUnderline"/>
          <w:highlight w:val="yellow"/>
        </w:rPr>
        <w:t>Russia’s persistent space strategy for close-proximity operations with foreign countries.</w:t>
      </w:r>
      <w:r>
        <w:rPr>
          <w:rStyle w:val="StyleUnderline"/>
        </w:rPr>
        <w:t xml:space="preserve"> </w:t>
      </w:r>
      <w:r w:rsidRPr="00E90E9B">
        <w:rPr>
          <w:sz w:val="12"/>
        </w:rPr>
        <w:t xml:space="preserve">Orbital hypocrisy Despite Russia’s calls for a treaty to </w:t>
      </w:r>
      <w:hyperlink r:id="rId27" w:tgtFrame="_blank" w:tooltip="Opens in new window" w:history="1">
        <w:r w:rsidRPr="00E90E9B">
          <w:rPr>
            <w:rStyle w:val="Hyperlink"/>
            <w:sz w:val="12"/>
          </w:rPr>
          <w:t>prevent the placement of weapons in outer space,</w:t>
        </w:r>
      </w:hyperlink>
      <w:r w:rsidRPr="00E90E9B">
        <w:rPr>
          <w:sz w:val="12"/>
        </w:rPr>
        <w:t xml:space="preserve"> there remains little international trust in Russia’s behaviour in space so far with a US-Russia Space Security Exchange meeting scheduled to </w:t>
      </w:r>
      <w:hyperlink r:id="rId28" w:tgtFrame="_blank" w:tooltip="Opens in new window" w:history="1">
        <w:r w:rsidRPr="00E90E9B">
          <w:rPr>
            <w:rStyle w:val="Hyperlink"/>
            <w:sz w:val="12"/>
          </w:rPr>
          <w:t>take place</w:t>
        </w:r>
      </w:hyperlink>
      <w:r w:rsidRPr="00E90E9B">
        <w:rPr>
          <w:sz w:val="12"/>
        </w:rPr>
        <w:t xml:space="preserve"> in Vienna on 27 July to discuss outer space stability and security. This is amid a backdrop of bilateral nuclear arms control talks on the extension of the extant nuclear weapons reduction treaty, New START, which is scheduled to expire in February 2021. There is no guarantee, however, that the talks will achieve anything especially </w:t>
      </w:r>
      <w:r w:rsidRPr="00E90E9B">
        <w:rPr>
          <w:rStyle w:val="StyleUnderline"/>
        </w:rPr>
        <w:t xml:space="preserve">since </w:t>
      </w:r>
      <w:r w:rsidRPr="00E210F8">
        <w:rPr>
          <w:rStyle w:val="StyleUnderline"/>
          <w:highlight w:val="yellow"/>
        </w:rPr>
        <w:t>the future of outer space requires</w:t>
      </w:r>
      <w:r w:rsidRPr="00E90E9B">
        <w:rPr>
          <w:rStyle w:val="StyleUnderline"/>
        </w:rPr>
        <w:t xml:space="preserve"> a wider </w:t>
      </w:r>
      <w:r w:rsidRPr="00E210F8">
        <w:rPr>
          <w:rStyle w:val="StyleUnderline"/>
          <w:highlight w:val="yellow"/>
        </w:rPr>
        <w:t>multilateral</w:t>
      </w:r>
      <w:r w:rsidRPr="00E90E9B">
        <w:rPr>
          <w:rStyle w:val="StyleUnderline"/>
        </w:rPr>
        <w:t xml:space="preserve"> </w:t>
      </w:r>
      <w:r w:rsidRPr="00E210F8">
        <w:rPr>
          <w:rStyle w:val="StyleUnderline"/>
          <w:highlight w:val="yellow"/>
        </w:rPr>
        <w:t>dialogue with</w:t>
      </w:r>
      <w:r w:rsidRPr="00E90E9B">
        <w:rPr>
          <w:rStyle w:val="StyleUnderline"/>
        </w:rPr>
        <w:t xml:space="preserve"> all parties involved </w:t>
      </w:r>
      <w:r w:rsidRPr="00E90E9B">
        <w:rPr>
          <w:rStyle w:val="Emphasis"/>
        </w:rPr>
        <w:t xml:space="preserve">– including </w:t>
      </w:r>
      <w:r w:rsidRPr="00E210F8">
        <w:rPr>
          <w:rStyle w:val="Emphasis"/>
          <w:highlight w:val="yellow"/>
        </w:rPr>
        <w:t>China.</w:t>
      </w:r>
      <w:r>
        <w:rPr>
          <w:rStyle w:val="StyleUnderline"/>
        </w:rPr>
        <w:t xml:space="preserve"> </w:t>
      </w:r>
      <w:r w:rsidRPr="00E90E9B">
        <w:rPr>
          <w:sz w:val="12"/>
        </w:rPr>
        <w:t>Anti-satellite tests (</w:t>
      </w:r>
      <w:r w:rsidRPr="0014675D">
        <w:rPr>
          <w:rStyle w:val="Emphasis"/>
        </w:rPr>
        <w:t>ASATs</w:t>
      </w:r>
      <w:r w:rsidRPr="0014675D">
        <w:rPr>
          <w:sz w:val="12"/>
        </w:rPr>
        <w:t xml:space="preserve">) are a particularly dangerous form of weapon. Not only do they </w:t>
      </w:r>
      <w:r w:rsidRPr="0014675D">
        <w:rPr>
          <w:rStyle w:val="StyleUnderline"/>
        </w:rPr>
        <w:t>create major vulnerabilities in a domain where so much of humanity depends on for navigation, communications and environmental monitoring, they are also primarily a target for destabilization and undermining global positioning information in times of crisis.</w:t>
      </w:r>
      <w:r w:rsidRPr="0014675D">
        <w:rPr>
          <w:sz w:val="12"/>
        </w:rPr>
        <w:t xml:space="preserve"> And, perhaps most significantly, </w:t>
      </w:r>
      <w:r w:rsidRPr="0014675D">
        <w:rPr>
          <w:rStyle w:val="StyleUnderline"/>
        </w:rPr>
        <w:t xml:space="preserve">they possess the highly destructive potential to create even more space debris in Earth’s orbits that endanger the peaceful use of satellites and could do serious damage to large parts of the economies of developed and developing countries. </w:t>
      </w:r>
      <w:r w:rsidRPr="0014675D">
        <w:rPr>
          <w:sz w:val="12"/>
        </w:rPr>
        <w:t>Avoiding space warfare Space is for all but there is a risk that it is being hijacked by a few. It is time</w:t>
      </w:r>
      <w:r w:rsidRPr="00E90E9B">
        <w:rPr>
          <w:sz w:val="12"/>
        </w:rPr>
        <w:t xml:space="preserve"> to re-assert and reinforce the rules, principles and norms of responsible state behaviour in outer space enshrined in the 1967 Outer Space Treaty and its associated international agreements. And, because the treaty specifically prohibits stationing nuclear weapons and other weapons of mass destruction in orbit or on celestial bodies, it is necessary to build on it to ban other types of weapons in space. Space has been militarized since 1957 with the launch of Soviet satellite Sputnik. But </w:t>
      </w:r>
      <w:r w:rsidRPr="00E90E9B">
        <w:rPr>
          <w:rStyle w:val="StyleUnderline"/>
        </w:rPr>
        <w:t xml:space="preserve">the increasing </w:t>
      </w:r>
      <w:r w:rsidRPr="00E210F8">
        <w:rPr>
          <w:rStyle w:val="StyleUnderline"/>
          <w:highlight w:val="yellow"/>
        </w:rPr>
        <w:t>weaponization</w:t>
      </w:r>
      <w:r w:rsidRPr="00E90E9B">
        <w:rPr>
          <w:rStyle w:val="StyleUnderline"/>
        </w:rPr>
        <w:t xml:space="preserve"> of space </w:t>
      </w:r>
      <w:r w:rsidRPr="00E210F8">
        <w:rPr>
          <w:rStyle w:val="StyleUnderline"/>
          <w:highlight w:val="yellow"/>
        </w:rPr>
        <w:t>adds more uncertainty</w:t>
      </w:r>
      <w:r w:rsidRPr="00E90E9B">
        <w:rPr>
          <w:rStyle w:val="StyleUnderline"/>
        </w:rPr>
        <w:t xml:space="preserve">, and unveils more vulnerabilities, </w:t>
      </w:r>
      <w:r w:rsidRPr="00E210F8">
        <w:rPr>
          <w:rStyle w:val="StyleUnderline"/>
          <w:highlight w:val="yellow"/>
        </w:rPr>
        <w:t xml:space="preserve">that states need to address before </w:t>
      </w:r>
      <w:r w:rsidRPr="00E210F8">
        <w:rPr>
          <w:rStyle w:val="Emphasis"/>
          <w:highlight w:val="yellow"/>
        </w:rPr>
        <w:t>space warfare becomes a reality.</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401563915">
    <w:abstractNumId w:val="10"/>
  </w:num>
  <w:num w:numId="2" w16cid:durableId="1434594905">
    <w:abstractNumId w:val="8"/>
  </w:num>
  <w:num w:numId="3" w16cid:durableId="1960606793">
    <w:abstractNumId w:val="7"/>
  </w:num>
  <w:num w:numId="4" w16cid:durableId="1687977245">
    <w:abstractNumId w:val="6"/>
  </w:num>
  <w:num w:numId="5" w16cid:durableId="1186943142">
    <w:abstractNumId w:val="5"/>
  </w:num>
  <w:num w:numId="6" w16cid:durableId="1689793022">
    <w:abstractNumId w:val="9"/>
  </w:num>
  <w:num w:numId="7" w16cid:durableId="1409689476">
    <w:abstractNumId w:val="4"/>
  </w:num>
  <w:num w:numId="8" w16cid:durableId="1394966432">
    <w:abstractNumId w:val="3"/>
  </w:num>
  <w:num w:numId="9" w16cid:durableId="1033001461">
    <w:abstractNumId w:val="2"/>
  </w:num>
  <w:num w:numId="10" w16cid:durableId="1332177769">
    <w:abstractNumId w:val="1"/>
  </w:num>
  <w:num w:numId="11" w16cid:durableId="79059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7B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B3F"/>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43D1C"/>
  <w14:defaultImageDpi w14:val="300"/>
  <w15:docId w15:val="{C8F4E972-5C40-4642-B2C8-7AFD552F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7B3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217B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7B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7B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17B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7B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B3F"/>
  </w:style>
  <w:style w:type="character" w:customStyle="1" w:styleId="Heading1Char">
    <w:name w:val="Heading 1 Char"/>
    <w:aliases w:val="Pocket Char"/>
    <w:basedOn w:val="DefaultParagraphFont"/>
    <w:link w:val="Heading1"/>
    <w:uiPriority w:val="9"/>
    <w:rsid w:val="00217B3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17B3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217B3F"/>
    <w:rPr>
      <w:rFonts w:ascii="Times New Roman" w:eastAsiaTheme="majorEastAsia" w:hAnsi="Times New Roman"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17B3F"/>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217B3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17B3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17B3F"/>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217B3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17B3F"/>
    <w:rPr>
      <w:color w:val="auto"/>
      <w:u w:val="none"/>
    </w:rPr>
  </w:style>
  <w:style w:type="paragraph" w:styleId="DocumentMap">
    <w:name w:val="Document Map"/>
    <w:basedOn w:val="Normal"/>
    <w:link w:val="DocumentMapChar"/>
    <w:uiPriority w:val="99"/>
    <w:semiHidden/>
    <w:unhideWhenUsed/>
    <w:rsid w:val="00217B3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17B3F"/>
    <w:rPr>
      <w:rFonts w:ascii="Lucida Grande" w:hAnsi="Lucida Grande" w:cs="Lucida Grande"/>
    </w:rPr>
  </w:style>
  <w:style w:type="paragraph" w:customStyle="1" w:styleId="textbold">
    <w:name w:val="text bold"/>
    <w:basedOn w:val="Normal"/>
    <w:link w:val="Emphasis"/>
    <w:uiPriority w:val="20"/>
    <w:qFormat/>
    <w:rsid w:val="00217B3F"/>
    <w:pPr>
      <w:pBdr>
        <w:top w:val="single" w:sz="18" w:space="0" w:color="auto"/>
        <w:left w:val="single" w:sz="18" w:space="0" w:color="auto"/>
        <w:bottom w:val="single" w:sz="18" w:space="0" w:color="auto"/>
        <w:right w:val="single" w:sz="18" w:space="0" w:color="auto"/>
      </w:pBdr>
      <w:spacing w:line="254" w:lineRule="auto"/>
      <w:ind w:left="720"/>
      <w:jc w:val="both"/>
    </w:pPr>
    <w:rPr>
      <w:b/>
      <w:iCs/>
      <w:sz w:val="22"/>
      <w:u w:val="single"/>
      <w:bdr w:val="single" w:sz="12"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217B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a.mil/Portals/27/Documents/News/Military%20Power%20Publications/Space_Threat_V14_020119_sm.pdf" TargetMode="External"/><Relationship Id="rId18" Type="http://schemas.openxmlformats.org/officeDocument/2006/relationships/hyperlink" Target="https://www.chathamhouse.org/about-us/our-people/mathieu-boulegue" TargetMode="External"/><Relationship Id="rId26" Type="http://schemas.openxmlformats.org/officeDocument/2006/relationships/hyperlink" Target="https://time.com/5779315/russian-spacecraft-spy-satellite-space-force/" TargetMode="External"/><Relationship Id="rId3" Type="http://schemas.openxmlformats.org/officeDocument/2006/relationships/customXml" Target="../customXml/item3.xml"/><Relationship Id="rId21" Type="http://schemas.openxmlformats.org/officeDocument/2006/relationships/hyperlink" Target="http://www.russianspaceweb.com/Cosmos-2535-2536-2537-2538.html" TargetMode="External"/><Relationship Id="rId7" Type="http://schemas.openxmlformats.org/officeDocument/2006/relationships/settings" Target="settings.xml"/><Relationship Id="rId12" Type="http://schemas.openxmlformats.org/officeDocument/2006/relationships/hyperlink" Target="https://www.defense.gov/Explore/News/Article/Article/2483340/commander-lists-5-tasks-to-ensuring-continued-space-superiority/" TargetMode="External"/><Relationship Id="rId17" Type="http://schemas.openxmlformats.org/officeDocument/2006/relationships/hyperlink" Target="https://www.dia.mil/Portals/27/Documents/News/Military%20Power%20Publications/Space_Threat_V14_020119_sm.pdf" TargetMode="External"/><Relationship Id="rId25" Type="http://schemas.openxmlformats.org/officeDocument/2006/relationships/hyperlink" Target="https://www.theguardian.com/uk-news/2020/mar/08/russian-jets-heading-to-uk-airspace-intercepted-by-raf-typhoons" TargetMode="External"/><Relationship Id="rId2" Type="http://schemas.openxmlformats.org/officeDocument/2006/relationships/customXml" Target="../customXml/item2.xml"/><Relationship Id="rId16" Type="http://schemas.openxmlformats.org/officeDocument/2006/relationships/hyperlink" Target="https://tass.com/defense/1034344" TargetMode="External"/><Relationship Id="rId20" Type="http://schemas.openxmlformats.org/officeDocument/2006/relationships/hyperlink" Target="https://www.space.com/russia-anti-satellite-missile-test-2020.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pdf?symbol=en/CD/1985" TargetMode="External"/><Relationship Id="rId24" Type="http://schemas.openxmlformats.org/officeDocument/2006/relationships/hyperlink" Target="https://www.rferl.org/a/france-accuses-russia-spying-military-communications-satellite-in-space/29478427.html" TargetMode="External"/><Relationship Id="rId5" Type="http://schemas.openxmlformats.org/officeDocument/2006/relationships/numbering" Target="numbering.xml"/><Relationship Id="rId15" Type="http://schemas.openxmlformats.org/officeDocument/2006/relationships/hyperlink" Target="https://www.spacecom.mil/News/Article-Display/Article/2448334/russia-tests-direct-ascent-anti-satellite-missile/" TargetMode="External"/><Relationship Id="rId23" Type="http://schemas.openxmlformats.org/officeDocument/2006/relationships/hyperlink" Target="https://www.planetary.org/blogs/guest-blogs/2016/0323-russia-space-budget.html" TargetMode="External"/><Relationship Id="rId28" Type="http://schemas.openxmlformats.org/officeDocument/2006/relationships/hyperlink" Target="https://www.state.gov/briefing-with-assistant-secretary-for-international-security-and-nonproliferation-dr-christopher-a-ford-on-the-u-s-russia-space-security-exchange/" TargetMode="External"/><Relationship Id="rId10" Type="http://schemas.openxmlformats.org/officeDocument/2006/relationships/hyperlink" Target="https://undocs.org/en/CD/2181" TargetMode="External"/><Relationship Id="rId19" Type="http://schemas.openxmlformats.org/officeDocument/2006/relationships/hyperlink" Target="https://www.chathamhouse.org/about-us/our-people/beyza-unal" TargetMode="External"/><Relationship Id="rId4" Type="http://schemas.openxmlformats.org/officeDocument/2006/relationships/customXml" Target="../customXml/item4.xml"/><Relationship Id="rId9" Type="http://schemas.openxmlformats.org/officeDocument/2006/relationships/hyperlink" Target="https://thedispatch.com/p/we-must-work-to-prevent-a-space-pearl" TargetMode="External"/><Relationship Id="rId14" Type="http://schemas.openxmlformats.org/officeDocument/2006/relationships/hyperlink" Target="https://media.defense.gov/2020/Sep/01/2002488689/-1/-1/1/2020-DOD-CHINA-MILITARY-POWER-REPORT-FINAL.PDF" TargetMode="External"/><Relationship Id="rId22" Type="http://schemas.openxmlformats.org/officeDocument/2006/relationships/hyperlink" Target="https://breakingdefense.com/2020/05/us-should-start-space-security-talks-with-russia-china/" TargetMode="External"/><Relationship Id="rId27" Type="http://schemas.openxmlformats.org/officeDocument/2006/relationships/hyperlink" Target="https://www.nti.org/learn/treaties-and-regimes/proposed-prevention-arms-race-space-paros-treat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1614</Words>
  <Characters>9202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2022-03-19T20:14:00Z</dcterms:created>
  <dcterms:modified xsi:type="dcterms:W3CDTF">2022-03-19T20:15:00Z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