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6D548" w14:textId="77777777" w:rsidR="00640004" w:rsidRPr="00245808" w:rsidRDefault="00640004" w:rsidP="00640004">
      <w:pPr>
        <w:pStyle w:val="Heading2"/>
      </w:pPr>
      <w:r w:rsidRPr="00245808">
        <w:t>Advantage</w:t>
      </w:r>
    </w:p>
    <w:p w14:paraId="02C0F2A4" w14:textId="77777777" w:rsidR="00640004" w:rsidRPr="00245808" w:rsidRDefault="00640004" w:rsidP="00640004">
      <w:pPr>
        <w:pStyle w:val="Heading4"/>
      </w:pPr>
      <w:r w:rsidRPr="00245808">
        <w:t>IP undermines competition and keeps medicine prices high.</w:t>
      </w:r>
    </w:p>
    <w:p w14:paraId="3F293BFE" w14:textId="77777777" w:rsidR="00640004" w:rsidRPr="00245808" w:rsidRDefault="00640004" w:rsidP="00640004">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2BEF64E1" w14:textId="77777777" w:rsidR="00640004" w:rsidRPr="00245808" w:rsidRDefault="00640004" w:rsidP="00640004">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to maximise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19FDE1E9" w14:textId="77777777" w:rsidR="00640004" w:rsidRPr="00245808" w:rsidRDefault="00640004" w:rsidP="00640004">
      <w:pPr>
        <w:pStyle w:val="Heading4"/>
      </w:pPr>
      <w:r w:rsidRPr="00245808">
        <w:t>Millions, including many children, die from pneumonia and HPV, but low-income countries and families can’t afford the vaccines to prevent them.</w:t>
      </w:r>
    </w:p>
    <w:p w14:paraId="3BD056C6" w14:textId="77777777" w:rsidR="00640004" w:rsidRPr="00245808" w:rsidRDefault="00640004" w:rsidP="00640004">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429DCD6F" w14:textId="77777777" w:rsidR="00640004" w:rsidRPr="00245808" w:rsidRDefault="00640004" w:rsidP="00640004">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Millions of children around the world are left unprotected from pneumonia or HPV when Ministries of Health cannot afford to incorporate these vaccines into their national immunisation programmes.</w:t>
      </w:r>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Millions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immunisation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organisations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organisations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r w:rsidRPr="00DF7958">
        <w:rPr>
          <w:rStyle w:val="StyleUnderline"/>
          <w:highlight w:val="yellow"/>
        </w:rPr>
        <w:t>HPV.</w:t>
      </w:r>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3ADEFD8E" w14:textId="77777777" w:rsidR="00640004" w:rsidRPr="00245808" w:rsidRDefault="00640004" w:rsidP="00640004">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17B20F73" w14:textId="77777777" w:rsidR="00640004" w:rsidRPr="00245808" w:rsidRDefault="00640004" w:rsidP="00640004">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2507609B" w14:textId="77777777" w:rsidR="00640004" w:rsidRPr="00245808" w:rsidRDefault="00640004" w:rsidP="00640004">
      <w:pPr>
        <w:ind w:left="720"/>
        <w:rPr>
          <w:sz w:val="12"/>
          <w:szCs w:val="12"/>
        </w:rPr>
      </w:pPr>
      <w:r w:rsidRPr="00245808">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2711EC22" w14:textId="77777777" w:rsidR="00640004" w:rsidRDefault="00640004" w:rsidP="00640004">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759C9550" w14:textId="77777777" w:rsidR="00640004" w:rsidRDefault="00640004" w:rsidP="00640004">
      <w:r>
        <w:rPr>
          <w:rStyle w:val="Style13ptBold"/>
        </w:rPr>
        <w:t xml:space="preserve">Singer ’72 - </w:t>
      </w:r>
      <w:r>
        <w:t>Peter Singer [Prof. Bioethics at Princeton] “Famine, Affluence, and Morality” Philosophy and Public Affairs, vol. 1, no. 1 Spring 1972 AT</w:t>
      </w:r>
    </w:p>
    <w:p w14:paraId="13190A69" w14:textId="77777777" w:rsidR="00640004" w:rsidRDefault="00640004" w:rsidP="00640004">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42B12ACC" w14:textId="77777777" w:rsidR="00640004" w:rsidRPr="00245808" w:rsidRDefault="00640004" w:rsidP="00640004">
      <w:pPr>
        <w:pStyle w:val="Heading2"/>
      </w:pPr>
      <w:r w:rsidRPr="00245808">
        <w:t>Solvency</w:t>
      </w:r>
    </w:p>
    <w:p w14:paraId="21C3A6FB" w14:textId="77777777" w:rsidR="00640004" w:rsidRPr="00245808" w:rsidRDefault="00640004" w:rsidP="00640004">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69E9C0F9" w14:textId="77777777" w:rsidR="00640004" w:rsidRPr="00245808" w:rsidRDefault="00640004" w:rsidP="00640004">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479D0FD6" w14:textId="77777777" w:rsidR="00640004" w:rsidRPr="00245808" w:rsidRDefault="00640004" w:rsidP="00640004">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6F75567D" w14:textId="77777777" w:rsidR="00640004" w:rsidRPr="00245808" w:rsidRDefault="00640004" w:rsidP="00640004">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This will support an early start for research and clinical studies by follow-on manufacturers, and support independent follow-on research</w:t>
      </w:r>
      <w:r w:rsidRPr="00245808">
        <w:rPr>
          <w:sz w:val="12"/>
        </w:rPr>
        <w:t xml:space="preserve"> and development.</w:t>
      </w:r>
    </w:p>
    <w:p w14:paraId="0383D9C6" w14:textId="77777777" w:rsidR="00640004" w:rsidRPr="00245808" w:rsidRDefault="00640004" w:rsidP="00640004">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in patent examination and judicial proceedings. Countries should closely scrutinise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744624D1" w14:textId="77777777" w:rsidR="00640004" w:rsidRPr="00245808" w:rsidRDefault="00640004" w:rsidP="00640004">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41FF665A" w14:textId="77777777" w:rsidR="00640004" w:rsidRPr="00245808" w:rsidRDefault="00640004" w:rsidP="00640004">
      <w:pPr>
        <w:ind w:left="720"/>
        <w:rPr>
          <w:sz w:val="12"/>
        </w:rPr>
      </w:pPr>
      <w:r w:rsidRPr="00DF7958">
        <w:rPr>
          <w:rStyle w:val="StyleUnderline"/>
          <w:highlight w:val="yellow"/>
        </w:rPr>
        <w:t>•</w:t>
      </w:r>
      <w:r w:rsidRPr="00245808">
        <w:rPr>
          <w:sz w:val="12"/>
        </w:rPr>
        <w:t xml:space="preserve"> Improve use of compulsory licencing. Governments should </w:t>
      </w:r>
      <w:r w:rsidRPr="00DF7958">
        <w:rPr>
          <w:rStyle w:val="StyleUnderline"/>
          <w:highlight w:val="yellow"/>
        </w:rPr>
        <w:t>strengthen</w:t>
      </w:r>
      <w:r w:rsidRPr="00245808">
        <w:rPr>
          <w:sz w:val="12"/>
        </w:rPr>
        <w:t xml:space="preserve"> the </w:t>
      </w:r>
      <w:r w:rsidRPr="00DF7958">
        <w:rPr>
          <w:rStyle w:val="StyleUnderline"/>
          <w:highlight w:val="yellow"/>
        </w:rPr>
        <w:t>mechanisms of issuing compulsory licences to facilitate the most expedited access to multiple sources of vaccines and to safeguard public health.</w:t>
      </w:r>
    </w:p>
    <w:p w14:paraId="7E06716B" w14:textId="77777777" w:rsidR="00640004" w:rsidRPr="00245808" w:rsidRDefault="00640004" w:rsidP="00640004">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583A1732" w14:textId="77777777" w:rsidR="00640004" w:rsidRPr="00245808" w:rsidRDefault="00640004" w:rsidP="00640004">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4798C6C9" w14:textId="77777777" w:rsidR="00640004" w:rsidRPr="00245808" w:rsidRDefault="00640004" w:rsidP="00640004">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4B0EDCE5" w14:textId="77777777" w:rsidR="00640004" w:rsidRPr="00245808" w:rsidRDefault="00640004" w:rsidP="00640004">
      <w:pPr>
        <w:ind w:left="720"/>
        <w:rPr>
          <w:sz w:val="12"/>
        </w:rPr>
      </w:pPr>
      <w:r w:rsidRPr="00245808">
        <w:rPr>
          <w:sz w:val="12"/>
        </w:rPr>
        <w:t>• Demand that international organisations like WHO, Gavi, the Pan American Health Organization (PAHO) and the United Nations Children’s Fund (UNICEF) improve technical support for countries to: identify legal barriers, use flexibilities under IP laws and improve transparency of patent information to facilitate follow-on development and foster robust competition for new vaccines.75</w:t>
      </w:r>
    </w:p>
    <w:p w14:paraId="143D08CC" w14:textId="77777777" w:rsidR="00640004" w:rsidRPr="00245808" w:rsidRDefault="00640004" w:rsidP="00640004">
      <w:pPr>
        <w:pStyle w:val="Heading4"/>
      </w:pPr>
      <w:r w:rsidRPr="00245808">
        <w:t>The neoliberal drive to privatization created the tragedy of the anti-commons, stifling innovation through excessive protection of ever more segmented intellectual property.</w:t>
      </w:r>
    </w:p>
    <w:p w14:paraId="04873827" w14:textId="77777777" w:rsidR="00640004" w:rsidRDefault="00640004" w:rsidP="00640004">
      <w:r>
        <w:rPr>
          <w:rStyle w:val="Style13ptBold"/>
        </w:rPr>
        <w:t xml:space="preserve">Heller &amp; Eisenberg ’98 - </w:t>
      </w:r>
      <w:r>
        <w:t>Michael Heller [Prof. of Property Law, Columbia Law School] &amp; Rebecca S. Eisenberg [Prof. of Patent Law, Michigan Law], “Can Patents Deter Innovation? The Anticommons in Biomedical Research,” SCIENCE, VOL. 280, P. 698, 1998 (1998). &lt;</w:t>
      </w:r>
      <w:hyperlink r:id="rId12" w:history="1">
        <w:r w:rsidRPr="0030365A">
          <w:rPr>
            <w:rStyle w:val="Hyperlink"/>
          </w:rPr>
          <w:t>https://scholarship.law.columbia.edu/faculty_scholarship/1158</w:t>
        </w:r>
      </w:hyperlink>
      <w:r>
        <w:t>&gt; AT</w:t>
      </w:r>
    </w:p>
    <w:p w14:paraId="5281F2EE" w14:textId="77777777" w:rsidR="00640004" w:rsidRPr="00245808" w:rsidRDefault="00640004" w:rsidP="00640004">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anticommons property (3), this article identifies an unintended and paradoxical consequence of biomedical privatization: A proliferation of intellectual property rights upstream may be stifling life-saving innovations further downstream in the course of research and product development.¶ The Tragedy of the Anticommons¶ 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a resource is prone to underuse in a “tragedy of the anticommons” when multiple owners each have a right to exclude others from a scarce resource and no one has an effective privilege of use.</w:t>
      </w:r>
      <w:r w:rsidRPr="00245808">
        <w:rPr>
          <w:sz w:val="12"/>
        </w:rPr>
        <w:t xml:space="preserve"> In theory, in a world of costless transactions, people could always avoid commons or anticommons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Once an anticommons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r w:rsidRPr="00DF7958">
        <w:rPr>
          <w:rStyle w:val="StyleUnderline"/>
          <w:highlight w:val="yellow"/>
        </w:rPr>
        <w:t>.</w:t>
      </w:r>
      <w:r w:rsidRPr="00245808">
        <w:rPr>
          <w:sz w:val="12"/>
        </w:rPr>
        <w:t xml:space="preserve">¶ Privatization in postsocialist economies starkly illustrates how anticommons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may create anticommons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data.¶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coauthorship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domain.¶ The problem we identify is distinct from the routine underuse inherent in any wellfunctioning patent system. By conferring monopolies in discoveries, patents necessarily increase prices and restrict use—a cost society pays to motivate invention and disclosure. The tragedy of the anticommons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5E51683B" w14:textId="77777777" w:rsidR="00640004" w:rsidRPr="00245808" w:rsidRDefault="00640004" w:rsidP="00640004">
      <w:pPr>
        <w:ind w:left="720"/>
      </w:pPr>
    </w:p>
    <w:p w14:paraId="74187C1E" w14:textId="77777777" w:rsidR="00640004" w:rsidRPr="00A50C23" w:rsidRDefault="00640004" w:rsidP="00640004">
      <w:pPr>
        <w:keepNext/>
        <w:keepLines/>
        <w:spacing w:before="40" w:after="0"/>
        <w:outlineLvl w:val="3"/>
        <w:rPr>
          <w:rFonts w:eastAsiaTheme="majorEastAsia" w:cstheme="majorBidi"/>
          <w:b/>
          <w:iCs/>
          <w:sz w:val="26"/>
        </w:rPr>
      </w:pPr>
      <w:r w:rsidRPr="00A50C23">
        <w:rPr>
          <w:rFonts w:eastAsiaTheme="majorEastAsia" w:cstheme="majorBidi"/>
          <w:b/>
          <w:iCs/>
          <w:sz w:val="26"/>
        </w:rPr>
        <w:t>The Aff challenges dehumanizing cultural frames that allow us to ignore human suffering. Recognition of common vulnerability is key to a politics that rejects violence, oppression, and indifference.</w:t>
      </w:r>
    </w:p>
    <w:p w14:paraId="6A5E7F2F" w14:textId="77777777" w:rsidR="00640004" w:rsidRPr="00A50C23" w:rsidRDefault="00640004" w:rsidP="00640004">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46422AAE" w14:textId="77777777" w:rsidR="00640004" w:rsidRPr="00A50C23" w:rsidRDefault="00640004" w:rsidP="00640004">
      <w:pPr>
        <w:spacing w:after="0" w:line="240" w:lineRule="auto"/>
        <w:ind w:left="720" w:right="720"/>
        <w:rPr>
          <w:rFonts w:eastAsia="Times New Roman"/>
          <w:sz w:val="12"/>
        </w:rPr>
      </w:pPr>
      <w:r w:rsidRPr="00A50C23">
        <w:rPr>
          <w:rFonts w:eastAsia="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b/>
          <w:highlight w:val="yellow"/>
          <w:u w:val="single"/>
        </w:rPr>
        <w:t xml:space="preserve"> Could </w:t>
      </w:r>
      <w:r w:rsidRPr="00A50C23">
        <w:rPr>
          <w:sz w:val="12"/>
        </w:rPr>
        <w:t>the experience of a</w:t>
      </w:r>
      <w:r w:rsidRPr="00A50C23">
        <w:rPr>
          <w:rFonts w:eastAsia="Times New Roman"/>
          <w:b/>
          <w:sz w:val="14"/>
          <w:u w:val="single"/>
        </w:rPr>
        <w:t xml:space="preserve"> </w:t>
      </w:r>
      <w:r w:rsidRPr="00DF7958">
        <w:rPr>
          <w:rFonts w:eastAsia="Times New Roman"/>
          <w:b/>
          <w:highlight w:val="yellow"/>
          <w:u w:val="single"/>
        </w:rPr>
        <w:t xml:space="preserve">dislocation of First World safety </w:t>
      </w:r>
      <w:r w:rsidRPr="00A50C23">
        <w:rPr>
          <w:sz w:val="12"/>
        </w:rPr>
        <w:t>not</w:t>
      </w:r>
      <w:r w:rsidRPr="00A50C23">
        <w:rPr>
          <w:rFonts w:eastAsia="Times New Roman"/>
          <w:b/>
          <w:sz w:val="14"/>
          <w:u w:val="single"/>
        </w:rPr>
        <w:t xml:space="preserve"> </w:t>
      </w:r>
      <w:r w:rsidRPr="00DF7958">
        <w:rPr>
          <w:rFonts w:eastAsia="Times New Roman"/>
          <w:b/>
          <w:highlight w:val="yellow"/>
          <w:u w:val="single"/>
        </w:rPr>
        <w:t xml:space="preserve">condition </w:t>
      </w:r>
      <w:r w:rsidRPr="00A50C23">
        <w:t>the</w:t>
      </w:r>
      <w:r w:rsidRPr="00DF7958">
        <w:rPr>
          <w:rFonts w:eastAsia="Times New Roman"/>
          <w:b/>
          <w:highlight w:val="yellow"/>
          <w:u w:val="single"/>
        </w:rPr>
        <w:t xml:space="preserve"> insight into the radically inequitable ways that </w:t>
      </w:r>
      <w:r w:rsidRPr="00A50C23">
        <w:rPr>
          <w:sz w:val="12"/>
        </w:rPr>
        <w:t>corporeal</w:t>
      </w:r>
      <w:r w:rsidRPr="00A50C23">
        <w:rPr>
          <w:rFonts w:eastAsia="Times New Roman"/>
          <w:b/>
          <w:sz w:val="14"/>
          <w:u w:val="single"/>
        </w:rPr>
        <w:t xml:space="preserve"> </w:t>
      </w:r>
      <w:r w:rsidRPr="00DF7958">
        <w:rPr>
          <w:rFonts w:eastAsia="Times New Roman"/>
          <w:b/>
          <w:highlight w:val="yellow"/>
          <w:u w:val="single"/>
        </w:rPr>
        <w:t xml:space="preserve">vulnerability is distributed globally? </w:t>
      </w:r>
      <w:r w:rsidRPr="00A50C23">
        <w:rPr>
          <w:sz w:val="12"/>
        </w:rPr>
        <w:t>To foreclose that vulnerability,</w:t>
      </w:r>
      <w:r w:rsidRPr="00A50C23">
        <w:rPr>
          <w:rFonts w:eastAsia="Times New Roman"/>
          <w:b/>
          <w:sz w:val="14"/>
          <w:u w:val="single"/>
        </w:rPr>
        <w:t xml:space="preserve"> </w:t>
      </w:r>
      <w:r w:rsidRPr="00A50C23">
        <w:rPr>
          <w:rFonts w:eastAsia="Times New Roman"/>
          <w:sz w:val="12"/>
        </w:rPr>
        <w:t>to banish it,</w:t>
      </w:r>
      <w:r w:rsidRPr="00DF7958">
        <w:rPr>
          <w:rFonts w:eastAsia="Times New Roman"/>
          <w:b/>
          <w:highlight w:val="yellow"/>
          <w:u w:val="single"/>
        </w:rPr>
        <w:t xml:space="preserve"> to make ourselves secure at the expense of every other </w:t>
      </w:r>
      <w:r w:rsidRPr="00A50C23">
        <w:rPr>
          <w:sz w:val="12"/>
        </w:rPr>
        <w:t>human consideration</w:t>
      </w:r>
      <w:r w:rsidRPr="00A50C23">
        <w:rPr>
          <w:rFonts w:eastAsia="Times New Roman"/>
          <w:b/>
          <w:sz w:val="14"/>
          <w:u w:val="single"/>
        </w:rPr>
        <w:t xml:space="preserve"> </w:t>
      </w:r>
      <w:r w:rsidRPr="00DF7958">
        <w:rPr>
          <w:rFonts w:eastAsia="Times New Roman"/>
          <w:b/>
          <w:highlight w:val="yellow"/>
          <w:u w:val="single"/>
        </w:rPr>
        <w:t xml:space="preserve">is to eradicate </w:t>
      </w:r>
      <w:r w:rsidRPr="00A50C23">
        <w:rPr>
          <w:sz w:val="12"/>
        </w:rPr>
        <w:t>one of the</w:t>
      </w:r>
      <w:r w:rsidRPr="00A50C23">
        <w:rPr>
          <w:rFonts w:eastAsia="Times New Roman"/>
          <w:b/>
          <w:sz w:val="14"/>
          <w:u w:val="single"/>
        </w:rPr>
        <w:t xml:space="preserve"> </w:t>
      </w:r>
      <w:r w:rsidRPr="00DF7958">
        <w:rPr>
          <w:rFonts w:eastAsia="Times New Roman"/>
          <w:b/>
          <w:highlight w:val="yellow"/>
          <w:u w:val="single"/>
        </w:rPr>
        <w:t xml:space="preserve">most important resources from which we must </w:t>
      </w:r>
      <w:r w:rsidRPr="00A50C23">
        <w:rPr>
          <w:rFonts w:eastAsia="Times New Roman"/>
          <w:sz w:val="12"/>
        </w:rPr>
        <w:t xml:space="preserve">take our bearings and </w:t>
      </w:r>
      <w:r w:rsidRPr="00DF7958">
        <w:rPr>
          <w:rFonts w:eastAsia="Times New Roman"/>
          <w:b/>
          <w:highlight w:val="yellow"/>
          <w:u w:val="single"/>
        </w:rPr>
        <w:t>find our way.</w:t>
      </w:r>
      <w:r w:rsidRPr="00A50C23">
        <w:rPr>
          <w:rFonts w:eastAsia="Times New Roman"/>
          <w:b/>
          <w:sz w:val="12"/>
          <w:u w:val="single"/>
        </w:rPr>
        <w:t>¶</w:t>
      </w:r>
      <w:r w:rsidRPr="00A50C23">
        <w:rPr>
          <w:rFonts w:eastAsia="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b/>
          <w:highlight w:val="yellow"/>
          <w:u w:val="single"/>
        </w:rPr>
        <w:t xml:space="preserve"> </w:t>
      </w:r>
      <w:r w:rsidRPr="00A50C23">
        <w:rPr>
          <w:rFonts w:eastAsia="Times New Roman"/>
          <w:sz w:val="12"/>
        </w:rPr>
        <w:t>and thus certain human lives are more grievable than others</w:t>
      </w:r>
      <w:r w:rsidRPr="00A50C23">
        <w:rPr>
          <w:sz w:val="12"/>
        </w:rPr>
        <w:t>. From where</w:t>
      </w:r>
      <w:r w:rsidRPr="00DF7958">
        <w:rPr>
          <w:rFonts w:eastAsia="Times New Roman"/>
          <w:b/>
          <w:sz w:val="14"/>
          <w:highlight w:val="yellow"/>
          <w:u w:val="single"/>
        </w:rPr>
        <w:t xml:space="preserve"> </w:t>
      </w:r>
      <w:r w:rsidRPr="00DF7958">
        <w:rPr>
          <w:rFonts w:eastAsia="Times New Roman"/>
          <w:b/>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b/>
          <w:sz w:val="14"/>
          <w:highlight w:val="yellow"/>
          <w:u w:val="single"/>
        </w:rPr>
        <w:t xml:space="preserve"> </w:t>
      </w:r>
      <w:r w:rsidRPr="00DF7958">
        <w:rPr>
          <w:rFonts w:eastAsia="Times New Roman"/>
          <w:b/>
          <w:highlight w:val="yellow"/>
          <w:u w:val="single"/>
        </w:rPr>
        <w:t xml:space="preserve">from an apprehension of a common human vulnerability? </w:t>
      </w:r>
      <w:r w:rsidRPr="00A50C23">
        <w:rPr>
          <w:rFonts w:eastAsia="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 </w:t>
      </w:r>
      <w:r w:rsidRPr="00A50C23">
        <w:rPr>
          <w:sz w:val="12"/>
        </w:rPr>
        <w:t>We cannot understand vulnerability as a deprivation, however, unless we understand the need that is thwarted. S</w:t>
      </w:r>
      <w:r w:rsidRPr="00A50C23">
        <w:rPr>
          <w:rFonts w:eastAsia="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b/>
          <w:highlight w:val="yellow"/>
          <w:u w:val="single"/>
        </w:rPr>
        <w:t>vulnerability</w:t>
      </w:r>
      <w:r w:rsidRPr="00A50C23">
        <w:rPr>
          <w:rFonts w:eastAsia="Times New Roman"/>
          <w:sz w:val="12"/>
        </w:rPr>
        <w:t xml:space="preserve">, of being given over to the touch of the other, even if there is no other there, and no support for our lives, </w:t>
      </w:r>
      <w:r w:rsidRPr="00DF7958">
        <w:rPr>
          <w:rFonts w:eastAsia="Times New Roman"/>
          <w:b/>
          <w:highlight w:val="yellow"/>
          <w:u w:val="single"/>
        </w:rPr>
        <w:t>signifies a primary helplessness and need</w:t>
      </w:r>
      <w:r w:rsidRPr="00A50C23">
        <w:rPr>
          <w:rFonts w:eastAsia="Times New Roman"/>
          <w:sz w:val="12"/>
        </w:rPr>
        <w:t xml:space="preserve">, one </w:t>
      </w:r>
      <w:r w:rsidRPr="00DF7958">
        <w:rPr>
          <w:rFonts w:eastAsia="Times New Roman"/>
          <w:b/>
          <w:highlight w:val="yellow"/>
          <w:u w:val="single"/>
        </w:rPr>
        <w:t xml:space="preserve">to which any society must attend. </w:t>
      </w:r>
      <w:r w:rsidRPr="00A50C23">
        <w:rPr>
          <w:sz w:val="12"/>
        </w:rPr>
        <w:t>Lives are supported and maintained differently, and</w:t>
      </w:r>
      <w:r w:rsidRPr="00A50C23">
        <w:rPr>
          <w:rFonts w:eastAsia="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b/>
          <w:highlight w:val="yellow"/>
          <w:u w:val="single"/>
        </w:rPr>
        <w:t xml:space="preserve">Certain lives will be highly protected, and the abrogation of their </w:t>
      </w:r>
      <w:r w:rsidRPr="00A50C23">
        <w:rPr>
          <w:sz w:val="12"/>
        </w:rPr>
        <w:t>claims to</w:t>
      </w:r>
      <w:r w:rsidRPr="00DF7958">
        <w:rPr>
          <w:rFonts w:eastAsia="Times New Roman"/>
          <w:b/>
          <w:highlight w:val="yellow"/>
          <w:u w:val="single"/>
        </w:rPr>
        <w:t xml:space="preserve"> sanctity will </w:t>
      </w:r>
      <w:r w:rsidRPr="00A50C23">
        <w:rPr>
          <w:sz w:val="12"/>
        </w:rPr>
        <w:t>be sufficient to</w:t>
      </w:r>
      <w:r w:rsidRPr="00DF7958">
        <w:rPr>
          <w:rFonts w:eastAsia="Times New Roman"/>
          <w:b/>
          <w:highlight w:val="yellow"/>
          <w:u w:val="single"/>
        </w:rPr>
        <w:t xml:space="preserve"> mobilize the forces of war. Other lives </w:t>
      </w:r>
      <w:r w:rsidRPr="00A50C23">
        <w:rPr>
          <w:sz w:val="12"/>
        </w:rPr>
        <w:t xml:space="preserve">will not find such fast and furious support </w:t>
      </w:r>
      <w:r w:rsidRPr="00A50C23">
        <w:rPr>
          <w:rFonts w:eastAsia="Times New Roman"/>
          <w:sz w:val="12"/>
        </w:rPr>
        <w:t xml:space="preserve">and </w:t>
      </w:r>
      <w:r w:rsidRPr="00DF7958">
        <w:rPr>
          <w:b/>
          <w:iCs/>
          <w:highlight w:val="yellow"/>
          <w:u w:val="single"/>
        </w:rPr>
        <w:t>will not even qualify as “grievable.”</w:t>
      </w:r>
      <w:r w:rsidRPr="00A50C23">
        <w:rPr>
          <w:rFonts w:eastAsia="Times New Roman"/>
          <w:b/>
          <w:sz w:val="12"/>
          <w:u w:val="single"/>
        </w:rPr>
        <w:t>¶</w:t>
      </w:r>
      <w:r w:rsidRPr="00A50C23">
        <w:rPr>
          <w:rFonts w:eastAsia="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b/>
          <w:sz w:val="12"/>
        </w:rPr>
        <w:t>. Do they have names, faces, personal histories, family, favorite hobbies, slogans by which they life?</w:t>
      </w:r>
      <w:r w:rsidRPr="00DF7958">
        <w:rPr>
          <w:rFonts w:eastAsia="Times New Roman"/>
          <w:b/>
          <w:highlight w:val="yellow"/>
          <w:u w:val="single"/>
        </w:rPr>
        <w:t xml:space="preserve"> </w:t>
      </w:r>
      <w:r w:rsidRPr="00A50C23">
        <w:rPr>
          <w:rFonts w:eastAsia="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b/>
          <w:sz w:val="14"/>
          <w:u w:val="single"/>
        </w:rPr>
        <w:t xml:space="preserve"> </w:t>
      </w:r>
      <w:r w:rsidRPr="00DF7958">
        <w:rPr>
          <w:rFonts w:eastAsia="Times New Roman"/>
          <w:b/>
          <w:highlight w:val="yellow"/>
          <w:u w:val="single"/>
        </w:rPr>
        <w:t xml:space="preserve">cultural frames for thinking the human set limits on the kinds of losses we can avow </w:t>
      </w:r>
      <w:r w:rsidRPr="00A50C23">
        <w:rPr>
          <w:sz w:val="12"/>
        </w:rPr>
        <w:t>as loss</w:t>
      </w:r>
      <w:r w:rsidRPr="00DF7958">
        <w:rPr>
          <w:rFonts w:eastAsia="Times New Roman"/>
          <w:b/>
          <w:highlight w:val="yellow"/>
          <w:u w:val="single"/>
        </w:rPr>
        <w:t>?</w:t>
      </w:r>
      <w:r w:rsidRPr="00A50C23">
        <w:rPr>
          <w:rFonts w:eastAsia="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sz w:val="12"/>
        </w:rPr>
        <w:t xml:space="preserve"> also </w:t>
      </w:r>
      <w:r w:rsidRPr="00DF7958">
        <w:rPr>
          <w:b/>
          <w:iCs/>
          <w:highlight w:val="yellow"/>
          <w:u w:val="single"/>
        </w:rPr>
        <w:t>be part of</w:t>
      </w:r>
      <w:r w:rsidRPr="00A50C23">
        <w:rPr>
          <w:rFonts w:eastAsia="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sz w:val="12"/>
        </w:rPr>
        <w:t xml:space="preserve"> the </w:t>
      </w:r>
      <w:r w:rsidRPr="00DF7958">
        <w:rPr>
          <w:b/>
          <w:iCs/>
          <w:highlight w:val="yellow"/>
          <w:u w:val="single"/>
        </w:rPr>
        <w:t>culturally viable notions of the human</w:t>
      </w:r>
      <w:r w:rsidRPr="00A50C23">
        <w:rPr>
          <w:rFonts w:eastAsia="Times New Roman"/>
          <w:sz w:val="12"/>
        </w:rPr>
        <w:t xml:space="preserve">, ones that we see </w:t>
      </w:r>
      <w:r w:rsidRPr="00DF7958">
        <w:rPr>
          <w:b/>
          <w:iCs/>
          <w:highlight w:val="yellow"/>
          <w:u w:val="single"/>
        </w:rPr>
        <w:t>acted out in</w:t>
      </w:r>
      <w:r w:rsidRPr="00A50C23">
        <w:rPr>
          <w:rFonts w:eastAsia="Times New Roman"/>
          <w:sz w:val="12"/>
        </w:rPr>
        <w:t xml:space="preserve"> dramatic and </w:t>
      </w:r>
      <w:r w:rsidRPr="00DF7958">
        <w:rPr>
          <w:b/>
          <w:iCs/>
          <w:highlight w:val="yellow"/>
          <w:u w:val="single"/>
        </w:rPr>
        <w:t>terrifying ways in the global arena</w:t>
      </w:r>
      <w:r w:rsidRPr="00A50C23">
        <w:rPr>
          <w:rFonts w:eastAsia="Times New Roman"/>
          <w:sz w:val="12"/>
        </w:rPr>
        <w:t xml:space="preserve"> at the present time</w:t>
      </w:r>
      <w:r w:rsidRPr="00DF7958">
        <w:rPr>
          <w:b/>
          <w:iCs/>
          <w:highlight w:val="yellow"/>
          <w:u w:val="single"/>
        </w:rPr>
        <w:t>.</w:t>
      </w:r>
      <w:r w:rsidRPr="00A50C23">
        <w:rPr>
          <w:rFonts w:eastAsia="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sz w:val="12"/>
        </w:rPr>
        <w:t xml:space="preserve">, a critical opening up of the questions, What is real? </w:t>
      </w:r>
      <w:r w:rsidRPr="00DF7958">
        <w:rPr>
          <w:b/>
          <w:iCs/>
          <w:highlight w:val="yellow"/>
          <w:u w:val="single"/>
        </w:rPr>
        <w:t>Whose lives are real?</w:t>
      </w:r>
      <w:r w:rsidRPr="00A50C23">
        <w:rPr>
          <w:rFonts w:eastAsia="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sz w:val="2"/>
        </w:rPr>
        <w:t xml:space="preserve"> </w:t>
      </w:r>
      <w:r w:rsidRPr="00A50C23">
        <w:rPr>
          <w:rFonts w:eastAsia="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sz w:val="12"/>
        </w:rPr>
        <w:t xml:space="preserve"> occurs first, at this level, and that this level then </w:t>
      </w:r>
      <w:r w:rsidRPr="00DF7958">
        <w:rPr>
          <w:b/>
          <w:iCs/>
          <w:highlight w:val="yellow"/>
          <w:u w:val="single"/>
        </w:rPr>
        <w:t>gives rise to</w:t>
      </w:r>
      <w:r w:rsidRPr="00A50C23">
        <w:rPr>
          <w:rFonts w:eastAsia="Times New Roman"/>
          <w:sz w:val="12"/>
        </w:rPr>
        <w:t xml:space="preserve"> a physical </w:t>
      </w:r>
      <w:r w:rsidRPr="00DF7958">
        <w:rPr>
          <w:b/>
          <w:iCs/>
          <w:highlight w:val="yellow"/>
          <w:u w:val="single"/>
        </w:rPr>
        <w:t>violence that</w:t>
      </w:r>
      <w:r w:rsidRPr="00A50C23">
        <w:rPr>
          <w:rFonts w:eastAsia="Times New Roman"/>
          <w:sz w:val="12"/>
        </w:rPr>
        <w:t xml:space="preserve"> in some sense </w:t>
      </w:r>
      <w:r w:rsidRPr="00DF7958">
        <w:rPr>
          <w:b/>
          <w:iCs/>
          <w:highlight w:val="yellow"/>
          <w:u w:val="single"/>
        </w:rPr>
        <w:t>delivers the message of dehumanization</w:t>
      </w:r>
      <w:r w:rsidRPr="00A50C23">
        <w:rPr>
          <w:rFonts w:eastAsia="Times New Roman"/>
          <w:sz w:val="12"/>
        </w:rPr>
        <w:t xml:space="preserve"> that is </w:t>
      </w:r>
      <w:r w:rsidRPr="00DF7958">
        <w:rPr>
          <w:b/>
          <w:iCs/>
          <w:highlight w:val="yellow"/>
          <w:u w:val="single"/>
        </w:rPr>
        <w:t>already at work in the culture.</w:t>
      </w:r>
      <w:r w:rsidRPr="00A50C23">
        <w:rPr>
          <w:rFonts w:eastAsia="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Are there names attached to those children?</w:t>
      </w:r>
      <w:r w:rsidRPr="00A50C23">
        <w:rPr>
          <w:rFonts w:eastAsia="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31D6D2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00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04"/>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F7EAFC"/>
  <w14:defaultImageDpi w14:val="300"/>
  <w15:docId w15:val="{41C24C9F-F12C-764D-B362-F84D64B17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000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400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00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00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6400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00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004"/>
  </w:style>
  <w:style w:type="character" w:customStyle="1" w:styleId="Heading1Char">
    <w:name w:val="Heading 1 Char"/>
    <w:aliases w:val="Pocket Char"/>
    <w:basedOn w:val="DefaultParagraphFont"/>
    <w:link w:val="Heading1"/>
    <w:uiPriority w:val="9"/>
    <w:rsid w:val="0064000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4000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4000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4000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0004"/>
    <w:rPr>
      <w:b/>
      <w:sz w:val="26"/>
      <w:u w:val="none"/>
    </w:rPr>
  </w:style>
  <w:style w:type="character" w:customStyle="1" w:styleId="StyleUnderline">
    <w:name w:val="Style Underline"/>
    <w:aliases w:val="Underline"/>
    <w:basedOn w:val="DefaultParagraphFont"/>
    <w:uiPriority w:val="1"/>
    <w:qFormat/>
    <w:rsid w:val="00640004"/>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640004"/>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640004"/>
    <w:rPr>
      <w:color w:val="auto"/>
      <w:u w:val="none"/>
    </w:rPr>
  </w:style>
  <w:style w:type="character" w:styleId="Hyperlink">
    <w:name w:val="Hyperlink"/>
    <w:basedOn w:val="DefaultParagraphFont"/>
    <w:uiPriority w:val="99"/>
    <w:unhideWhenUsed/>
    <w:rsid w:val="00640004"/>
    <w:rPr>
      <w:color w:val="auto"/>
      <w:u w:val="none"/>
    </w:rPr>
  </w:style>
  <w:style w:type="paragraph" w:styleId="DocumentMap">
    <w:name w:val="Document Map"/>
    <w:basedOn w:val="Normal"/>
    <w:link w:val="DocumentMapChar"/>
    <w:uiPriority w:val="99"/>
    <w:semiHidden/>
    <w:unhideWhenUsed/>
    <w:rsid w:val="0064000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40004"/>
    <w:rPr>
      <w:rFonts w:ascii="Lucida Grande" w:hAnsi="Lucida Grande" w:cs="Lucida Grande"/>
    </w:rPr>
  </w:style>
  <w:style w:type="paragraph" w:customStyle="1" w:styleId="textbold">
    <w:name w:val="text bold"/>
    <w:basedOn w:val="Normal"/>
    <w:link w:val="Emphasis"/>
    <w:uiPriority w:val="20"/>
    <w:qFormat/>
    <w:rsid w:val="00640004"/>
    <w:pPr>
      <w:ind w:left="720"/>
      <w:jc w:val="both"/>
    </w:pPr>
    <w:rPr>
      <w:b/>
      <w:iCs/>
      <w:sz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7569</Words>
  <Characters>43147</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2021-10-16T14:59:00Z</dcterms:created>
  <dcterms:modified xsi:type="dcterms:W3CDTF">2021-10-16T15:01:00Z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