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EC31EB" w:rsidRDefault="00FC5B47" w:rsidP="00FC5B47">
      <w:pPr>
        <w:pStyle w:val="Heading4"/>
        <w:rPr>
          <w:b w:val="0"/>
          <w:bCs w:val="0"/>
        </w:rPr>
      </w:pPr>
      <w:r w:rsidRPr="00EC31EB">
        <w:rPr>
          <w:rStyle w:val="Style13ptBold"/>
          <w:bCs w:val="0"/>
        </w:rPr>
        <w:t xml:space="preserve">Ambiguities in the OST that allow private appropriation </w:t>
      </w:r>
      <w:proofErr w:type="gramStart"/>
      <w:r w:rsidRPr="00EC31EB">
        <w:rPr>
          <w:rStyle w:val="Style13ptBold"/>
          <w:bCs w:val="0"/>
        </w:rPr>
        <w:t>have</w:t>
      </w:r>
      <w:proofErr w:type="gramEnd"/>
      <w:r w:rsidRPr="00EC31EB">
        <w:rPr>
          <w:rStyle w:val="Style13ptBold"/>
          <w:bCs w:val="0"/>
        </w:rPr>
        <w:t xml:space="preser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xml:space="preserve">. “We are in the process of messing up space, and most people don’t </w:t>
      </w:r>
      <w:proofErr w:type="spellStart"/>
      <w:r w:rsidRPr="00E41D7F">
        <w:rPr>
          <w:sz w:val="16"/>
        </w:rPr>
        <w:t>realise</w:t>
      </w:r>
      <w:proofErr w:type="spellEnd"/>
      <w:r w:rsidRPr="00E41D7F">
        <w:rPr>
          <w:sz w:val="16"/>
        </w:rPr>
        <w:t xml:space="preserve"> it because we can’t see it the way we can see fish kills, algal blooms or acid r</w:t>
      </w:r>
      <w:r w:rsidRPr="008B349A">
        <w:rPr>
          <w:sz w:val="16"/>
        </w:rPr>
        <w:t xml:space="preserve">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F877FE">
        <w:rPr>
          <w:rStyle w:val="Emphasis"/>
          <w:highlight w:val="yellow"/>
        </w:rPr>
        <w:t>companies</w:t>
      </w:r>
      <w:r w:rsidRPr="00F877FE">
        <w:rPr>
          <w:rStyle w:val="StyleUnderline"/>
        </w:rPr>
        <w:t xml:space="preserve"> owned by US citizens </w:t>
      </w:r>
      <w:r w:rsidRPr="00F877FE">
        <w:rPr>
          <w:rStyle w:val="Emphasis"/>
          <w:highlight w:val="yellow"/>
        </w:rPr>
        <w:t xml:space="preserve">have been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w:t>
      </w:r>
      <w:r w:rsidRPr="008B349A">
        <w:rPr>
          <w:rStyle w:val="StyleUnderline"/>
        </w:rPr>
        <w:lastRenderedPageBreak/>
        <w:t>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C544E8">
        <w:rPr>
          <w:rStyle w:val="Emphasis"/>
          <w:highlight w:val="yellow"/>
        </w:rPr>
        <w:t>Trump’s space</w:t>
      </w:r>
      <w:r w:rsidRPr="008B349A">
        <w:rPr>
          <w:rStyle w:val="StyleUnderline"/>
        </w:rPr>
        <w:t xml:space="preserve"> law </w:t>
      </w:r>
      <w:r w:rsidRPr="00C544E8">
        <w:rPr>
          <w:rStyle w:val="Emphasis"/>
          <w:highlight w:val="yellow"/>
        </w:rPr>
        <w:t>adviser</w:t>
      </w:r>
      <w:r w:rsidRPr="008B349A">
        <w:rPr>
          <w:rStyle w:val="StyleUnderline"/>
        </w:rPr>
        <w:t xml:space="preserve"> Scott Pace </w:t>
      </w:r>
      <w:r w:rsidRPr="00C544E8">
        <w:rPr>
          <w:rStyle w:val="Emphasis"/>
          <w:highlight w:val="yellow"/>
        </w:rPr>
        <w:t>said</w:t>
      </w:r>
      <w:r w:rsidRPr="008B349A">
        <w:rPr>
          <w:rStyle w:val="StyleUnderline"/>
        </w:rPr>
        <w:t xml:space="preserve">, “It bears repeating: </w:t>
      </w:r>
      <w:r w:rsidRPr="00C544E8">
        <w:rPr>
          <w:rStyle w:val="Emphasis"/>
          <w:highlight w:val="yellow"/>
        </w:rPr>
        <w:t>outer space is not a ‘global 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w:t>
      </w:r>
      <w:proofErr w:type="spellStart"/>
      <w:r w:rsidRPr="0071092F">
        <w:rPr>
          <w:rStyle w:val="Emphasis"/>
          <w:highlight w:val="yellow"/>
        </w:rPr>
        <w:t>democratising</w:t>
      </w:r>
      <w:proofErr w:type="spellEnd"/>
      <w:r w:rsidRPr="0071092F">
        <w:rPr>
          <w:rStyle w:val="Emphasis"/>
          <w:highlight w:val="yellow"/>
        </w:rPr>
        <w:t>”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w:t>
      </w:r>
      <w:proofErr w:type="spellStart"/>
      <w:r w:rsidRPr="008B349A">
        <w:rPr>
          <w:sz w:val="16"/>
        </w:rPr>
        <w:t>subsidised</w:t>
      </w:r>
      <w:proofErr w:type="spellEnd"/>
      <w:r w:rsidRPr="008B349A">
        <w:rPr>
          <w:sz w:val="16"/>
        </w:rPr>
        <w:t xml:space="preserve">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proofErr w:type="spellStart"/>
      <w:r w:rsidRPr="001B6E73">
        <w:rPr>
          <w:rStyle w:val="Emphasis"/>
          <w:highlight w:val="yellow"/>
        </w:rPr>
        <w:t>democratised</w:t>
      </w:r>
      <w:proofErr w:type="spellEnd"/>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 xml:space="preserve">They’ve merely been </w:t>
      </w:r>
      <w:proofErr w:type="spellStart"/>
      <w:r w:rsidRPr="0071092F">
        <w:rPr>
          <w:rStyle w:val="Emphasis"/>
          <w:highlight w:val="yellow"/>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w:t>
      </w:r>
      <w:proofErr w:type="spellStart"/>
      <w:r w:rsidRPr="00E41D7F">
        <w:rPr>
          <w:rStyle w:val="StyleUnderline"/>
        </w:rPr>
        <w:t>Atossa</w:t>
      </w:r>
      <w:proofErr w:type="spellEnd"/>
      <w:r w:rsidRPr="00E41D7F">
        <w:rPr>
          <w:rStyle w:val="StyleUnderline"/>
        </w:rPr>
        <w:t xml:space="preserve"> </w:t>
      </w:r>
      <w:proofErr w:type="spellStart"/>
      <w:r w:rsidRPr="00E41D7F">
        <w:rPr>
          <w:rStyle w:val="StyleUnderline"/>
        </w:rPr>
        <w:t>Araxia</w:t>
      </w:r>
      <w:proofErr w:type="spellEnd"/>
      <w:r w:rsidRPr="00E41D7F">
        <w:rPr>
          <w:rStyle w:val="StyleUnderline"/>
        </w:rPr>
        <w:t xml:space="preserve">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lastRenderedPageBreak/>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lastRenderedPageBreak/>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lastRenderedPageBreak/>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1"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6B6D84">
        <w:rPr>
          <w:sz w:val="12"/>
        </w:rPr>
        <w:t>in order for</w:t>
      </w:r>
      <w:proofErr w:type="gramEnd"/>
      <w:r w:rsidRPr="006B6D84">
        <w:rPr>
          <w:sz w:val="12"/>
        </w:rPr>
        <w:t xml:space="preserve">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6B6D84">
        <w:rPr>
          <w:rStyle w:val="StyleUnderline"/>
        </w:rPr>
        <w:t>it’s not</w:t>
      </w:r>
      <w:proofErr w:type="gramEnd"/>
      <w:r w:rsidRPr="006B6D84">
        <w:rPr>
          <w:rStyle w:val="StyleUnderline"/>
        </w:rPr>
        <w:t xml:space="preserve">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1FD3395E" w14:textId="77777777"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w:t>
      </w:r>
      <w:r w:rsidRPr="006B6D84">
        <w:rPr>
          <w:rStyle w:val="StyleUnderline"/>
        </w:rPr>
        <w:t xml:space="preserve">— there’s not </w:t>
      </w:r>
      <w:r w:rsidRPr="006B6D84">
        <w:rPr>
          <w:sz w:val="12"/>
        </w:rPr>
        <w:t>that much</w:t>
      </w:r>
      <w:r w:rsidRPr="006B6D84">
        <w:rPr>
          <w:rStyle w:val="StyleUnderline"/>
          <w:sz w:val="12"/>
        </w:rPr>
        <w:t xml:space="preserve"> </w:t>
      </w:r>
      <w:r w:rsidRPr="006B6D84">
        <w:rPr>
          <w:rStyle w:val="StyleUnderline"/>
        </w:rPr>
        <w:t xml:space="preserve">science </w:t>
      </w:r>
      <w:r w:rsidRPr="006B6D84">
        <w:rPr>
          <w:sz w:val="12"/>
        </w:rPr>
        <w:t>assumed</w:t>
      </w:r>
      <w:r w:rsidRPr="006B6D84">
        <w:rPr>
          <w:rStyle w:val="StyleUnderline"/>
          <w:sz w:val="12"/>
        </w:rPr>
        <w:t xml:space="preserve"> </w:t>
      </w:r>
      <w:r w:rsidRPr="006B6D84">
        <w:rPr>
          <w:rStyle w:val="StyleUnderline"/>
        </w:rPr>
        <w:t>here, as there was in the Moon missions. Musk wants t</w:t>
      </w:r>
      <w:r w:rsidRPr="002401A3">
        <w:rPr>
          <w:rStyle w:val="StyleUnderline"/>
        </w:rPr>
        <w:t xml:space="preserve">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6B6D84">
        <w:rPr>
          <w:rStyle w:val="StyleUnderline"/>
        </w:rPr>
        <w:t>this planet is</w:t>
      </w:r>
      <w:r w:rsidRPr="006B6D84">
        <w:rPr>
          <w:sz w:val="12"/>
        </w:rPr>
        <w:t xml:space="preserve"> run </w:t>
      </w:r>
      <w:proofErr w:type="gramStart"/>
      <w:r w:rsidRPr="006B6D84">
        <w:rPr>
          <w:rStyle w:val="StyleUnderline"/>
        </w:rPr>
        <w:t>privately</w:t>
      </w:r>
      <w:r w:rsidRPr="006B6D84">
        <w:rPr>
          <w:sz w:val="12"/>
        </w:rPr>
        <w:t>?</w:t>
      </w:r>
      <w:proofErr w:type="gramEnd"/>
      <w:r w:rsidRPr="006B6D84">
        <w:rPr>
          <w:sz w:val="12"/>
        </w:rPr>
        <w:t xml:space="preserve"> You have no rights.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6B6D84">
        <w:rPr>
          <w:rFonts w:eastAsia="Cambria"/>
          <w:sz w:val="12"/>
        </w:rPr>
        <w:t>privata</w:t>
      </w:r>
      <w:proofErr w:type="spellEnd"/>
      <w:r w:rsidRPr="006B6D84">
        <w:rPr>
          <w:rFonts w:eastAsia="Cambria"/>
          <w:sz w:val="12"/>
        </w:rPr>
        <w:t xml:space="preserve">, or – as we could say today – a res </w:t>
      </w:r>
      <w:proofErr w:type="spellStart"/>
      <w:r w:rsidRPr="006B6D84">
        <w:rPr>
          <w:rFonts w:eastAsia="Cambria"/>
          <w:sz w:val="12"/>
        </w:rPr>
        <w:t>privata</w:t>
      </w:r>
      <w:proofErr w:type="spellEnd"/>
      <w:r w:rsidRPr="006B6D84">
        <w:rPr>
          <w:rFonts w:eastAsia="Cambria"/>
          <w:sz w:val="12"/>
        </w:rPr>
        <w:t xml:space="preserve"> </w:t>
      </w:r>
      <w:proofErr w:type="spellStart"/>
      <w:r w:rsidRPr="006B6D84">
        <w:rPr>
          <w:rFonts w:eastAsia="Cambria"/>
          <w:sz w:val="12"/>
        </w:rPr>
        <w:t>transnationale</w:t>
      </w:r>
      <w:proofErr w:type="spellEnd"/>
      <w:r w:rsidRPr="006B6D84">
        <w:rPr>
          <w:rFonts w:eastAsia="Cambria"/>
          <w:sz w:val="12"/>
        </w:rPr>
        <w:t xml:space="preserve"> (in its original Latin meaning, </w:t>
      </w:r>
      <w:proofErr w:type="spellStart"/>
      <w:r w:rsidRPr="006B6D84">
        <w:rPr>
          <w:rFonts w:eastAsia="Cambria"/>
          <w:sz w:val="12"/>
        </w:rPr>
        <w:t>privare</w:t>
      </w:r>
      <w:proofErr w:type="spellEnd"/>
      <w:r w:rsidRPr="006B6D84">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 xml:space="preserve">take possession of the assets that </w:t>
      </w:r>
      <w:proofErr w:type="gramStart"/>
      <w:r w:rsidRPr="006B6D84">
        <w:rPr>
          <w:rFonts w:eastAsia="Cambria"/>
          <w:u w:val="single"/>
        </w:rPr>
        <w:t>still remain</w:t>
      </w:r>
      <w:proofErr w:type="gramEnd"/>
      <w:r w:rsidRPr="006B6D84">
        <w:rPr>
          <w:rFonts w:eastAsia="Cambria"/>
          <w:u w:val="single"/>
        </w:rPr>
        <w:t>,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 xml:space="preserve">and facilitate the lucrative business of reconstruction.[57] In the 1980s, Ronald Reagan and Margaret Thatcher introduced neoliberalism in Anglo-America. In 1989, the so-called “Washington Consensus” was formulated. It claimed to </w:t>
      </w:r>
      <w:r w:rsidRPr="006B6D84">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lastRenderedPageBreak/>
        <w:t>Plan</w:t>
      </w:r>
      <w:r>
        <w:rPr>
          <w:rFonts w:cs="Calibri"/>
        </w:rPr>
        <w:t>/Solvency</w:t>
      </w:r>
    </w:p>
    <w:p w14:paraId="6ACD50DF" w14:textId="77777777" w:rsidR="00FC5B47" w:rsidRDefault="00FC5B47" w:rsidP="00FC5B47">
      <w:pPr>
        <w:pStyle w:val="Heading4"/>
      </w:pPr>
      <w:r w:rsidRPr="002564C1">
        <w:t xml:space="preserve">Since, in a just world, outer space would be treated as a </w:t>
      </w:r>
      <w:proofErr w:type="gramStart"/>
      <w:r w:rsidRPr="002564C1">
        <w:t>global commons</w:t>
      </w:r>
      <w:proofErr w:type="gramEnd"/>
      <w:r w:rsidRPr="002564C1">
        <w:t xml:space="preserve">, and a global commons model precludes appropriation by private entries, then the appropriation of outer space by private entries is unjust. </w:t>
      </w:r>
    </w:p>
    <w:p w14:paraId="61A47D4F" w14:textId="77777777" w:rsidR="00FC5B47" w:rsidRPr="008C6EB7" w:rsidRDefault="00FC5B47" w:rsidP="00FC5B47"/>
    <w:p w14:paraId="7E683B1A" w14:textId="77777777" w:rsidR="00FC5B47" w:rsidRPr="002564C1" w:rsidRDefault="00FC5B47" w:rsidP="00FC5B47">
      <w:pPr>
        <w:pStyle w:val="Heading4"/>
      </w:pPr>
      <w:r w:rsidRPr="002564C1">
        <w:t xml:space="preserve">Thus, the plan: States ought to adopt a binding international agreement that bans the appropriation of outer space by private entities by establishing outer space as a </w:t>
      </w:r>
      <w:proofErr w:type="gramStart"/>
      <w:r w:rsidRPr="002564C1">
        <w:t>global commons</w:t>
      </w:r>
      <w:proofErr w:type="gramEnd"/>
      <w:r w:rsidRPr="002564C1">
        <w:t xml:space="preserve"> subject to regulatory delimiting and global liability.</w:t>
      </w:r>
    </w:p>
    <w:p w14:paraId="7FB05ADD" w14:textId="77777777" w:rsidR="00FC5B47" w:rsidRDefault="00FC5B47" w:rsidP="00FC5B47">
      <w:pPr>
        <w:pStyle w:val="Heading4"/>
      </w:pPr>
      <w:r>
        <w:t xml:space="preserve">The </w:t>
      </w:r>
      <w:proofErr w:type="spellStart"/>
      <w:r>
        <w:t>aff</w:t>
      </w:r>
      <w:proofErr w:type="spellEnd"/>
      <w:r>
        <w:t>:</w:t>
      </w:r>
    </w:p>
    <w:p w14:paraId="2B9ACB65" w14:textId="77777777" w:rsidR="00FC5B47" w:rsidRPr="003955A7" w:rsidRDefault="00FC5B47" w:rsidP="004A08BE">
      <w:pPr>
        <w:pStyle w:val="Heading4"/>
        <w:numPr>
          <w:ilvl w:val="0"/>
          <w:numId w:val="1"/>
        </w:numPr>
      </w:pPr>
      <w:r>
        <w:t>solves debris and space colonialism by ensuring the sustainable and equitable use of outer space resources.</w:t>
      </w:r>
    </w:p>
    <w:p w14:paraId="6C79A5F3" w14:textId="77777777" w:rsidR="00FC5B47" w:rsidRDefault="00FC5B47" w:rsidP="004A08BE">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4A08BE">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7BF58385" w14:textId="77777777" w:rsidR="00FC5B47" w:rsidRPr="000B3A06" w:rsidRDefault="00FC5B47" w:rsidP="00FC5B47">
      <w:pPr>
        <w:ind w:left="720"/>
        <w:rPr>
          <w:sz w:val="16"/>
          <w:szCs w:val="16"/>
        </w:rPr>
      </w:pPr>
      <w:r w:rsidRPr="000B3A06">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lastRenderedPageBreak/>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 xml:space="preserve">1. </w:t>
      </w:r>
      <w:proofErr w:type="spellStart"/>
      <w:r>
        <w:t>Geospace</w:t>
      </w:r>
      <w:proofErr w:type="spellEnd"/>
      <w:r>
        <w:t xml:space="preserv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D3609A" w:rsidRDefault="00FC5B47" w:rsidP="00FC5B47">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proofErr w:type="gramStart"/>
      <w:r w:rsidRPr="00261E3D">
        <w:rPr>
          <w:rStyle w:val="Emphasis"/>
        </w:rPr>
        <w:t>loop-holes</w:t>
      </w:r>
      <w:proofErr w:type="gramEnd"/>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w:t>
      </w:r>
      <w:proofErr w:type="gramStart"/>
      <w:r w:rsidRPr="00261E3D">
        <w:rPr>
          <w:sz w:val="16"/>
        </w:rPr>
        <w:t>actually be</w:t>
      </w:r>
      <w:proofErr w:type="gramEnd"/>
      <w:r w:rsidRPr="00261E3D">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261E3D">
        <w:rPr>
          <w:sz w:val="16"/>
        </w:rPr>
        <w:t>geospace</w:t>
      </w:r>
      <w:proofErr w:type="spellEnd"/>
      <w:r w:rsidRPr="00261E3D">
        <w:rPr>
          <w:sz w:val="16"/>
        </w:rPr>
        <w:t xml:space="preserve"> from littering the commons and destroying the utility of reserved slots.163 Holistically, none</w:t>
      </w:r>
      <w:r w:rsidRPr="00D3609A">
        <w:rPr>
          <w:sz w:val="16"/>
        </w:rPr>
        <w:t xml:space="preserv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12341213" w14:textId="77777777" w:rsidR="00FC5B47" w:rsidRDefault="00FC5B47" w:rsidP="00FC5B47">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w:t>
      </w:r>
      <w:proofErr w:type="spellStart"/>
      <w:r w:rsidRPr="00ED585D">
        <w:rPr>
          <w:rStyle w:val="Emphasis"/>
          <w:highlight w:val="green"/>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72A63027" w14:textId="77777777" w:rsidR="00FC5B47" w:rsidRPr="00D3609A" w:rsidRDefault="00FC5B47" w:rsidP="00FC5B47">
      <w:pPr>
        <w:ind w:left="720"/>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w:t>
      </w:r>
      <w:proofErr w:type="spellStart"/>
      <w:r w:rsidRPr="00261E3D">
        <w:rPr>
          <w:rStyle w:val="Emphasis"/>
        </w:rPr>
        <w:t>geospace</w:t>
      </w:r>
      <w:proofErr w:type="spellEnd"/>
      <w:r w:rsidRPr="00261E3D">
        <w:rPr>
          <w:rStyle w:val="Emphasis"/>
        </w:rPr>
        <w:t xml:space="preserv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proofErr w:type="spellStart"/>
      <w:r w:rsidRPr="00261E3D">
        <w:rPr>
          <w:rStyle w:val="Emphasis"/>
        </w:rPr>
        <w:t>geospace</w:t>
      </w:r>
      <w:proofErr w:type="spellEnd"/>
      <w:r w:rsidRPr="00261E3D">
        <w:rPr>
          <w:rStyle w:val="Emphasis"/>
        </w:rPr>
        <w:t xml:space="preserv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lastRenderedPageBreak/>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 xml:space="preserve">the probable magnitude of not mitigating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A970A8">
        <w:rPr>
          <w:rStyle w:val="Emphasis"/>
          <w:highlight w:val="green"/>
        </w:rPr>
        <w:t xml:space="preserve">the probability </w:t>
      </w:r>
      <w:r w:rsidRPr="00D05584">
        <w:rPr>
          <w:rStyle w:val="StyleUnderline"/>
        </w:rPr>
        <w:t>of Kessler Syndrome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t>
      </w:r>
      <w:r w:rsidRPr="00207E81">
        <w:rPr>
          <w:rStyle w:val="Emphasis"/>
        </w:rPr>
        <w:t xml:space="preserve">will consider the responsibility of </w:t>
      </w:r>
      <w:r w:rsidRPr="00207E81">
        <w:rPr>
          <w:rStyle w:val="StyleUnderline"/>
        </w:rPr>
        <w:t>nation-</w:t>
      </w:r>
      <w:r w:rsidRPr="00207E81">
        <w:rPr>
          <w:rStyle w:val="Emphasis"/>
        </w:rPr>
        <w:t>states and private entities in isolation</w:t>
      </w:r>
      <w:r w:rsidRPr="00207E81">
        <w:rPr>
          <w:sz w:val="16"/>
        </w:rPr>
        <w:t>.17</w:t>
      </w:r>
      <w:r w:rsidRPr="00D3609A">
        <w:rPr>
          <w:sz w:val="16"/>
        </w:rPr>
        <w:t xml:space="preserve">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w:t>
      </w:r>
      <w:proofErr w:type="spellStart"/>
      <w:r w:rsidRPr="00280363">
        <w:rPr>
          <w:rStyle w:val="Emphasis"/>
          <w:highlight w:val="green"/>
        </w:rPr>
        <w:t>geospace</w:t>
      </w:r>
      <w:proofErr w:type="spellEnd"/>
      <w:r w:rsidRPr="00280363">
        <w:rPr>
          <w:rStyle w:val="Emphasis"/>
          <w:highlight w:val="green"/>
        </w:rPr>
        <w:t xml:space="preserve"> by forcing the signatory to face the reality of their negative externalities</w:t>
      </w:r>
      <w:r w:rsidRPr="00B76F47">
        <w:rPr>
          <w:rStyle w:val="StyleUnderline"/>
        </w:rPr>
        <w:t xml:space="preserve">. It is </w:t>
      </w:r>
      <w:r w:rsidRPr="00B76F47">
        <w:rPr>
          <w:rStyle w:val="StyleUnderline"/>
        </w:rPr>
        <w:lastRenderedPageBreak/>
        <w:t>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 xml:space="preserve">polluted orbits would be immense, and the opportunity costs would be even </w:t>
      </w:r>
      <w:r w:rsidRPr="002401A3">
        <w:rPr>
          <w:rStyle w:val="StyleUnderline"/>
          <w:highlight w:val="yellow"/>
        </w:rPr>
        <w:lastRenderedPageBreak/>
        <w:t>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w:t>
      </w:r>
      <w:proofErr w:type="gramStart"/>
      <w:r>
        <w:rPr>
          <w:rFonts w:cs="Calibri"/>
        </w:rPr>
        <w:t>appropriation, BUT</w:t>
      </w:r>
      <w:proofErr w:type="gramEnd"/>
      <w:r>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w:t>
      </w:r>
      <w:r w:rsidRPr="007B217B">
        <w:rPr>
          <w:rStyle w:val="StyleUnderline"/>
        </w:rPr>
        <w:lastRenderedPageBreak/>
        <w:t xml:space="preserve">is not a possession or an acquisition. In other words, once it is </w:t>
      </w:r>
      <w:r w:rsidRPr="004A08BE">
        <w:rPr>
          <w:rStyle w:val="StyleUnderline"/>
        </w:rPr>
        <w:t xml:space="preserve">instituted, </w:t>
      </w:r>
      <w:r w:rsidRPr="004A08BE">
        <w:rPr>
          <w:rStyle w:val="Emphasis"/>
        </w:rPr>
        <w:t xml:space="preserve">a </w:t>
      </w:r>
      <w:proofErr w:type="gramStart"/>
      <w:r w:rsidRPr="004A08BE">
        <w:rPr>
          <w:rStyle w:val="Emphasis"/>
        </w:rPr>
        <w:t>commons</w:t>
      </w:r>
      <w:proofErr w:type="gramEnd"/>
      <w:r w:rsidRPr="004A08BE">
        <w:rPr>
          <w:rStyle w:val="Emphasis"/>
        </w:rPr>
        <w:t xml:space="preserve"> is </w:t>
      </w:r>
      <w:r w:rsidRPr="00AC4D68">
        <w:rPr>
          <w:rStyle w:val="Emphasis"/>
          <w:highlight w:val="green"/>
        </w:rPr>
        <w:t xml:space="preserve">inalienable and </w:t>
      </w:r>
      <w:proofErr w:type="spellStart"/>
      <w:r w:rsidRPr="00AC4D68">
        <w:rPr>
          <w:rStyle w:val="Emphasis"/>
          <w:highlight w:val="green"/>
        </w:rPr>
        <w:t>inappropriable</w:t>
      </w:r>
      <w:proofErr w:type="spellEnd"/>
      <w:r w:rsidRPr="00AC4D68">
        <w:rPr>
          <w:rStyle w:val="Emphasis"/>
          <w:highlight w:val="green"/>
        </w:rPr>
        <w:t xml:space="preserv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proofErr w:type="spellStart"/>
      <w:r w:rsidRPr="00FB2583">
        <w:rPr>
          <w:rStyle w:val="Emphasis"/>
          <w:highlight w:val="green"/>
        </w:rPr>
        <w:t>cosmocapitalism</w:t>
      </w:r>
      <w:proofErr w:type="spellEnd"/>
      <w:r w:rsidRPr="00FB2583">
        <w:rPr>
          <w:rStyle w:val="Emphasis"/>
          <w:highlight w:val="green"/>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w:t>
      </w:r>
      <w:r w:rsidRPr="00916813">
        <w:rPr>
          <w:sz w:val="16"/>
        </w:rPr>
        <w:lastRenderedPageBreak/>
        <w:t xml:space="preserve">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916813">
        <w:rPr>
          <w:sz w:val="16"/>
        </w:rPr>
        <w:t>means’</w:t>
      </w:r>
      <w:proofErr w:type="gramEnd"/>
      <w:r w:rsidRPr="00916813">
        <w:rPr>
          <w:sz w:val="16"/>
        </w:rPr>
        <w:t xml:space="preserve">. </w:t>
      </w:r>
      <w:r w:rsidRPr="00600826">
        <w:rPr>
          <w:rStyle w:val="StyleUnderline"/>
        </w:rPr>
        <w:t>These two conditions, equal access for all and non-ownership, are strictly complementary and both refer to subjects recognized by international law</w:t>
      </w:r>
      <w:proofErr w:type="gramStart"/>
      <w:r w:rsidRPr="00600826">
        <w:rPr>
          <w:rStyle w:val="StyleUnderline"/>
        </w:rPr>
        <w:t>, that is to say, the</w:t>
      </w:r>
      <w:proofErr w:type="gramEnd"/>
      <w:r w:rsidRPr="00600826">
        <w:rPr>
          <w:rStyle w:val="StyleUnderline"/>
        </w:rPr>
        <w:t xml:space="preserv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proofErr w:type="spellStart"/>
      <w:r w:rsidRPr="00916813">
        <w:rPr>
          <w:sz w:val="16"/>
        </w:rPr>
        <w:t>Calimaq</w:t>
      </w:r>
      <w:proofErr w:type="spellEnd"/>
      <w:r w:rsidRPr="00916813">
        <w:rPr>
          <w:sz w:val="16"/>
        </w:rPr>
        <w:t>,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4A08BE">
        <w:rPr>
          <w:rStyle w:val="StyleUnderline"/>
        </w:rPr>
        <w:lastRenderedPageBreak/>
        <w:t>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4A08BE">
        <w:rPr>
          <w:rStyle w:val="StyleUnderline"/>
        </w:rPr>
        <w:t>communes</w:t>
      </w:r>
      <w:proofErr w:type="gramEnd"/>
      <w:r w:rsidRPr="004A08BE">
        <w:rPr>
          <w:rStyle w:val="StyleUnderline"/>
        </w:rPr>
        <w:t xml:space="preserve"> category inherited from Roman law, insofar as non-appropriation and common use are present, but subordinate to the goodwill of the 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w:t>
      </w:r>
      <w:proofErr w:type="spellStart"/>
      <w:r w:rsidRPr="004A08BE">
        <w:rPr>
          <w:rStyle w:val="Emphasis"/>
        </w:rPr>
        <w:t>licence</w:t>
      </w:r>
      <w:proofErr w:type="spellEnd"/>
      <w:r w:rsidRPr="004A08BE">
        <w:rPr>
          <w:rStyle w:val="Emphasis"/>
        </w:rPr>
        <w:t xml:space="preserv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w:t>
      </w:r>
      <w:proofErr w:type="gramStart"/>
      <w:r w:rsidRPr="004A08BE">
        <w:rPr>
          <w:rStyle w:val="StyleUnderline"/>
        </w:rPr>
        <w:t>seize:</w:t>
      </w:r>
      <w:proofErr w:type="gramEnd"/>
      <w:r w:rsidRPr="004A08BE">
        <w:rPr>
          <w:rStyle w:val="StyleUnderline"/>
        </w:rPr>
        <w:t xml:space="preserv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w:t>
      </w:r>
      <w:r w:rsidRPr="00916813">
        <w:rPr>
          <w:sz w:val="16"/>
          <w:szCs w:val="16"/>
        </w:rPr>
        <w:lastRenderedPageBreak/>
        <w:t xml:space="preserve">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916813">
        <w:rPr>
          <w:sz w:val="16"/>
          <w:szCs w:val="16"/>
        </w:rPr>
        <w:t>not designed,</w:t>
      </w:r>
      <w:proofErr w:type="gramEnd"/>
      <w:r w:rsidRPr="00916813">
        <w:rPr>
          <w:sz w:val="16"/>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916813">
        <w:rPr>
          <w:sz w:val="16"/>
          <w:szCs w:val="16"/>
        </w:rPr>
        <w:t>overall</w:t>
      </w:r>
      <w:proofErr w:type="gramEnd"/>
      <w:r w:rsidRPr="00916813">
        <w:rPr>
          <w:sz w:val="16"/>
          <w:szCs w:val="16"/>
        </w:rPr>
        <w:t xml:space="preserve">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proofErr w:type="spellStart"/>
      <w:r w:rsidRPr="006308B3">
        <w:rPr>
          <w:rStyle w:val="Emphasis"/>
          <w:highlight w:val="green"/>
        </w:rPr>
        <w:t>cosmocapitalism</w:t>
      </w:r>
      <w:proofErr w:type="spellEnd"/>
      <w:r w:rsidRPr="006308B3">
        <w:rPr>
          <w:rStyle w:val="Emphasis"/>
          <w:highlight w:val="green"/>
        </w:rPr>
        <w:t xml:space="preserve">,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w:t>
      </w:r>
      <w:r>
        <w:rPr>
          <w:sz w:val="16"/>
          <w:szCs w:val="16"/>
        </w:rPr>
        <w:lastRenderedPageBreak/>
        <w:t xml:space="preserve">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 xml:space="preserve">4.1.2 Factual </w:t>
      </w:r>
      <w:proofErr w:type="spellStart"/>
      <w:r>
        <w:rPr>
          <w:sz w:val="16"/>
          <w:szCs w:val="16"/>
        </w:rPr>
        <w:t>cosmopolitanization</w:t>
      </w:r>
      <w:proofErr w:type="spellEnd"/>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Pr>
          <w:sz w:val="16"/>
          <w:szCs w:val="16"/>
        </w:rPr>
        <w:t>analyse</w:t>
      </w:r>
      <w:proofErr w:type="spellEnd"/>
      <w:r>
        <w:rPr>
          <w:sz w:val="16"/>
          <w:szCs w:val="16"/>
        </w:rPr>
        <w:t xml:space="preserv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w:t>
      </w:r>
      <w:r>
        <w:rPr>
          <w:sz w:val="16"/>
          <w:szCs w:val="16"/>
        </w:rPr>
        <w:lastRenderedPageBreak/>
        <w:t xml:space="preserve">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t>4.2 Cosmopolitics</w:t>
      </w:r>
    </w:p>
    <w:p w14:paraId="2655FE10" w14:textId="77777777" w:rsidR="00FC5B47" w:rsidRDefault="00FC5B47" w:rsidP="00FC5B47">
      <w:pPr>
        <w:ind w:left="720"/>
        <w:rPr>
          <w:sz w:val="16"/>
          <w:szCs w:val="16"/>
        </w:rPr>
      </w:pP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Default="00FC5B47" w:rsidP="00FC5B47">
      <w:pPr>
        <w:ind w:left="720"/>
        <w:rPr>
          <w:sz w:val="16"/>
          <w:szCs w:val="16"/>
        </w:rPr>
      </w:pPr>
      <w:r>
        <w:rPr>
          <w:sz w:val="16"/>
          <w:szCs w:val="16"/>
        </w:rPr>
        <w:t>4.2.1 The dual federation of the commons</w:t>
      </w:r>
    </w:p>
    <w:p w14:paraId="4AFD2A60" w14:textId="77777777" w:rsidR="00FC5B47" w:rsidRDefault="00FC5B47" w:rsidP="00FC5B47">
      <w:pPr>
        <w:ind w:left="720"/>
        <w:rPr>
          <w:sz w:val="16"/>
          <w:szCs w:val="16"/>
        </w:rPr>
      </w:pPr>
      <w:r w:rsidRPr="00592BA1">
        <w:rPr>
          <w:rStyle w:val="StyleUnderline"/>
        </w:rPr>
        <w:t xml:space="preserve">In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Pr>
          <w:sz w:val="16"/>
          <w:szCs w:val="16"/>
        </w:rPr>
        <w:t>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w:t>
      </w:r>
      <w:r w:rsidRPr="006308B3">
        <w:rPr>
          <w:rStyle w:val="StyleUnderline"/>
        </w:rPr>
        <w:lastRenderedPageBreak/>
        <w:t>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Pr>
          <w:sz w:val="16"/>
          <w:szCs w:val="16"/>
        </w:rPr>
        <w:t>, in itself, is</w:t>
      </w:r>
      <w:proofErr w:type="gramEnd"/>
      <w:r>
        <w:rPr>
          <w:sz w:val="16"/>
          <w:szCs w:val="16"/>
        </w:rPr>
        <w:t xml:space="preserve"> not a ‘thing’ that we can own; it must be recognized as </w:t>
      </w:r>
      <w:proofErr w:type="spellStart"/>
      <w:r>
        <w:rPr>
          <w:sz w:val="16"/>
          <w:szCs w:val="16"/>
        </w:rPr>
        <w:t>inappropriable</w:t>
      </w:r>
      <w:proofErr w:type="spellEnd"/>
      <w:r>
        <w:rPr>
          <w:sz w:val="16"/>
          <w:szCs w:val="16"/>
        </w:rPr>
        <w:t xml:space="preserv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w:t>
      </w:r>
      <w:proofErr w:type="spellStart"/>
      <w:r w:rsidRPr="006308B3">
        <w:rPr>
          <w:rStyle w:val="Emphasis"/>
          <w:highlight w:val="green"/>
        </w:rPr>
        <w:t>centred</w:t>
      </w:r>
      <w:proofErr w:type="spellEnd"/>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w:t>
      </w:r>
      <w:proofErr w:type="spellStart"/>
      <w:r w:rsidRPr="006308B3">
        <w:rPr>
          <w:rStyle w:val="Emphasis"/>
          <w:highlight w:val="green"/>
        </w:rPr>
        <w:t>centre</w:t>
      </w:r>
      <w:proofErr w:type="spellEnd"/>
      <w:r w:rsidRPr="006308B3">
        <w:rPr>
          <w:rStyle w:val="Emphasis"/>
          <w:highlight w:val="green"/>
        </w:rPr>
        <w:t xml:space="preserv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A47B928" w14:textId="77777777" w:rsidR="00FC5B47" w:rsidRPr="00D47573" w:rsidRDefault="00FC5B47" w:rsidP="00FC5B47">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46D52A9E" w14:textId="77777777" w:rsidR="00FC5B47" w:rsidRPr="00D47573" w:rsidRDefault="00FC5B47" w:rsidP="00FC5B47">
      <w:pPr>
        <w:ind w:left="720"/>
        <w:rPr>
          <w:sz w:val="16"/>
        </w:rPr>
      </w:pPr>
      <w:r w:rsidRPr="00D07F41">
        <w:rPr>
          <w:rStyle w:val="Emphasis"/>
        </w:rPr>
        <w:lastRenderedPageBreak/>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proofErr w:type="gramStart"/>
      <w:r w:rsidRPr="004A08BE">
        <w:rPr>
          <w:rStyle w:val="Emphasis"/>
        </w:rPr>
        <w:t>those</w:t>
      </w:r>
      <w:proofErr w:type="gramEnd"/>
      <w:r w:rsidRPr="004A08BE">
        <w:rPr>
          <w:rStyle w:val="Emphasis"/>
        </w:rPr>
        <w:t xml:space="preserve"> who advocate the</w:t>
      </w:r>
      <w:r w:rsidRPr="004A08BE">
        <w:rPr>
          <w:rStyle w:val="StyleUnderline"/>
        </w:rPr>
        <w:t xml:space="preserve"> renunciation and </w:t>
      </w:r>
      <w:r w:rsidRPr="004A08BE">
        <w:rPr>
          <w:rStyle w:val="Emphasis"/>
        </w:rPr>
        <w:t xml:space="preserve">abandonment of the </w:t>
      </w:r>
      <w:proofErr w:type="spellStart"/>
      <w:r w:rsidRPr="004A08BE">
        <w:rPr>
          <w:rStyle w:val="Emphasis"/>
        </w:rPr>
        <w:t>nonappropriation</w:t>
      </w:r>
      <w:proofErr w:type="spellEnd"/>
      <w:r w:rsidRPr="004A08BE">
        <w:rPr>
          <w:rStyle w:val="Emphasis"/>
        </w:rPr>
        <w:t xml:space="preserve">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4A08BE">
        <w:rPr>
          <w:rStyle w:val="StyleUnderline"/>
        </w:rPr>
        <w:t>manner in which</w:t>
      </w:r>
      <w:proofErr w:type="gramEnd"/>
      <w:r w:rsidRPr="004A08BE">
        <w:rPr>
          <w:rStyle w:val="StyleUnderline"/>
        </w:rPr>
        <w:t xml:space="preserve">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lastRenderedPageBreak/>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5B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C5B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5B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C5B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C5B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5B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B47"/>
  </w:style>
  <w:style w:type="character" w:customStyle="1" w:styleId="Heading1Char">
    <w:name w:val="Heading 1 Char"/>
    <w:aliases w:val="Pocket Char"/>
    <w:basedOn w:val="DefaultParagraphFont"/>
    <w:link w:val="Heading1"/>
    <w:uiPriority w:val="9"/>
    <w:rsid w:val="00FC5B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5B4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C5B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C5B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5B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C5B4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C5B4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C5B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C5B47"/>
    <w:rPr>
      <w:color w:val="auto"/>
      <w:u w:val="none"/>
    </w:rPr>
  </w:style>
  <w:style w:type="paragraph" w:styleId="DocumentMap">
    <w:name w:val="Document Map"/>
    <w:basedOn w:val="Normal"/>
    <w:link w:val="DocumentMapChar"/>
    <w:uiPriority w:val="99"/>
    <w:semiHidden/>
    <w:unhideWhenUsed/>
    <w:rsid w:val="00FC5B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5B47"/>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29</Pages>
  <Words>23055</Words>
  <Characters>131418</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6</cp:revision>
  <dcterms:created xsi:type="dcterms:W3CDTF">2022-01-22T16:36:00Z</dcterms:created>
  <dcterms:modified xsi:type="dcterms:W3CDTF">2022-01-22T17:00:00Z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