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33F7" w14:textId="77777777" w:rsidR="00A2669B" w:rsidRDefault="00161813" w:rsidP="00E7399A">
      <w:pPr>
        <w:pStyle w:val="Heading2"/>
      </w:pPr>
      <w:r>
        <w:t>I. Vaccine Apartheid</w:t>
      </w:r>
    </w:p>
    <w:p w14:paraId="31271067" w14:textId="77777777" w:rsidR="003C7242" w:rsidRPr="00BB588A" w:rsidRDefault="003C7242" w:rsidP="003C7242">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2AD1DAE" w14:textId="77777777" w:rsidR="003C7242" w:rsidRPr="00BB588A" w:rsidRDefault="003C7242" w:rsidP="003C7242">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0046A4A5" w14:textId="0A036A6B" w:rsidR="003C7242" w:rsidRPr="003C7242" w:rsidRDefault="003C7242" w:rsidP="003C724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8"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9"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0"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1"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2"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3"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4" w:tooltip="Company Overview" w:history="1">
        <w:r w:rsidRPr="00BB588A">
          <w:rPr>
            <w:rStyle w:val="Hyperlink"/>
            <w:rFonts w:eastAsiaTheme="majorEastAsia"/>
            <w:sz w:val="12"/>
          </w:rPr>
          <w:t>Pfizer Inc.</w:t>
        </w:r>
      </w:hyperlink>
      <w:r w:rsidRPr="00BB588A">
        <w:rPr>
          <w:sz w:val="12"/>
        </w:rPr>
        <w:t xml:space="preserve">, and </w:t>
      </w:r>
      <w:hyperlink r:id="rId15"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6" w:tooltip="Company Overview" w:history="1">
        <w:r w:rsidRPr="00BB588A">
          <w:rPr>
            <w:rStyle w:val="Hyperlink"/>
            <w:rFonts w:eastAsiaTheme="majorEastAsia"/>
            <w:sz w:val="12"/>
          </w:rPr>
          <w:t>Knowledge Ecology International</w:t>
        </w:r>
      </w:hyperlink>
      <w:r w:rsidRPr="00BB588A">
        <w:rPr>
          <w:sz w:val="12"/>
        </w:rPr>
        <w:t xml:space="preserve"> in Europe.</w:t>
      </w:r>
    </w:p>
    <w:p w14:paraId="07818834" w14:textId="6B2EDFA5" w:rsidR="00161F0C" w:rsidRPr="00161F0C" w:rsidRDefault="00161F0C" w:rsidP="00161F0C">
      <w:pPr>
        <w:pStyle w:val="Heading4"/>
      </w:pPr>
      <w:r>
        <w:t>The only way to solve the pandemic is global vaccination, but current production is woefully short.</w:t>
      </w:r>
    </w:p>
    <w:p w14:paraId="0F52D955" w14:textId="77777777" w:rsidR="00A2669B" w:rsidRPr="00E16557" w:rsidRDefault="00A2669B" w:rsidP="00A2669B">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8684C52" w14:textId="77777777" w:rsidR="00A2669B" w:rsidRPr="002C3011" w:rsidRDefault="00A2669B" w:rsidP="00A2669B">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5444D9B4" w14:textId="1F6722B1" w:rsidR="00161F0C" w:rsidRPr="00161F0C" w:rsidRDefault="00161F0C" w:rsidP="00161F0C">
      <w:pPr>
        <w:keepNext/>
        <w:keepLines/>
        <w:spacing w:before="40" w:after="0"/>
        <w:outlineLvl w:val="3"/>
        <w:rPr>
          <w:rFonts w:eastAsia="MS Gothic"/>
          <w:b/>
          <w:iCs/>
          <w:sz w:val="26"/>
        </w:rPr>
      </w:pPr>
      <w:r w:rsidRPr="00161F0C">
        <w:rPr>
          <w:rFonts w:eastAsia="MS Gothic"/>
          <w:b/>
          <w:iCs/>
          <w:sz w:val="26"/>
        </w:rPr>
        <w:t xml:space="preserve">Changing IP laws is key to combatting </w:t>
      </w:r>
      <w:r w:rsidR="0003378D">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060A83A" w14:textId="77777777" w:rsidR="00161F0C" w:rsidRPr="00161F0C" w:rsidRDefault="00161F0C" w:rsidP="00161F0C">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7" w:history="1">
        <w:r w:rsidRPr="00161F0C">
          <w:rPr>
            <w:rFonts w:eastAsia="Cambria"/>
          </w:rPr>
          <w:t>https://gh.bmj.com/content/6/6/e006504)//ML</w:t>
        </w:r>
      </w:hyperlink>
    </w:p>
    <w:p w14:paraId="4722B11B" w14:textId="480B4D6E" w:rsidR="00161F0C" w:rsidRPr="00161F0C" w:rsidRDefault="22DF304D" w:rsidP="00161F0C">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8"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9"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0"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1"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2"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3"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4"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5"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6"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7"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8"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9"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0"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1"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2"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3"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4"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5"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6"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7"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8"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9"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0"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1"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2"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3"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18F1325A" w14:textId="77777777" w:rsidR="007108BA" w:rsidRPr="00E16557" w:rsidRDefault="007108BA" w:rsidP="007108BA">
      <w:pPr>
        <w:pStyle w:val="Heading4"/>
      </w:pPr>
      <w:r w:rsidRPr="00E16557">
        <w:t>Compulsory licensing is not sufficient – drug company resistance, IP thickets, and devolved decision-making.</w:t>
      </w:r>
    </w:p>
    <w:p w14:paraId="78255C7E" w14:textId="77777777" w:rsidR="007108BA" w:rsidRPr="00E16557" w:rsidRDefault="007108BA" w:rsidP="007108BA">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C5A37A6" w14:textId="77777777" w:rsidR="007108BA" w:rsidRPr="002F264B" w:rsidRDefault="007108BA" w:rsidP="007108BA">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002F264B" w:rsidRPr="002F264B">
        <w:rPr>
          <w:sz w:val="12"/>
        </w:rPr>
        <w:t>¶</w:t>
      </w:r>
      <w:proofErr w:type="gramEnd"/>
      <w:r w:rsidR="002F264B" w:rsidRPr="002F264B">
        <w:rPr>
          <w:sz w:val="12"/>
        </w:rPr>
        <w:t xml:space="preserve"> </w:t>
      </w:r>
      <w:r w:rsidRPr="002F264B">
        <w:rPr>
          <w:sz w:val="12"/>
        </w:rPr>
        <w:t xml:space="preserve">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r w:rsidR="002F264B" w:rsidRPr="002F264B">
        <w:rPr>
          <w:sz w:val="12"/>
        </w:rPr>
        <w:t>¶</w:t>
      </w:r>
      <w:proofErr w:type="gramEnd"/>
      <w:r w:rsidR="002F264B" w:rsidRPr="002F264B">
        <w:rPr>
          <w:sz w:val="12"/>
        </w:rPr>
        <w:t xml:space="preserve"> </w:t>
      </w:r>
      <w:r w:rsidRPr="002F264B">
        <w:rPr>
          <w:sz w:val="12"/>
        </w:rPr>
        <w:t xml:space="preserve">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C15A81B" w14:textId="77777777" w:rsidR="00F828E6" w:rsidRPr="007108BA" w:rsidRDefault="00F828E6" w:rsidP="00F828E6">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25DEF49E" w14:textId="77777777" w:rsidR="00F828E6" w:rsidRPr="007108BA" w:rsidRDefault="00F828E6" w:rsidP="00F828E6">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55B1EF2" w14:textId="77777777" w:rsidR="00F828E6" w:rsidRPr="00DC78EB" w:rsidRDefault="00F828E6" w:rsidP="00F828E6">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3BF2A0B" w14:textId="77777777" w:rsidR="00F828E6" w:rsidRDefault="00F828E6" w:rsidP="00F828E6">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7BCB2DA" w14:textId="77777777" w:rsidR="00076CD9" w:rsidRPr="00076CD9" w:rsidRDefault="00F2476B" w:rsidP="00076CD9">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00076CD9" w:rsidRPr="00076CD9">
        <w:rPr>
          <w:rFonts w:eastAsiaTheme="majorEastAsia" w:cstheme="majorBidi"/>
          <w:b/>
          <w:iCs/>
          <w:sz w:val="26"/>
        </w:rPr>
        <w:t>.</w:t>
      </w:r>
    </w:p>
    <w:p w14:paraId="3D261A48" w14:textId="77777777" w:rsidR="00076CD9" w:rsidRPr="00076CD9" w:rsidRDefault="00076CD9" w:rsidP="00076CD9">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79CB01C3" w14:textId="1FD3D20F" w:rsidR="00076CD9" w:rsidRPr="00076CD9" w:rsidRDefault="22DF304D" w:rsidP="22DF304D">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7C0F8C39" w14:textId="77777777" w:rsidR="00076CD9" w:rsidRPr="00DC78EB" w:rsidRDefault="00076CD9" w:rsidP="00076CD9">
      <w:pPr>
        <w:rPr>
          <w:sz w:val="12"/>
        </w:rPr>
      </w:pPr>
    </w:p>
    <w:p w14:paraId="7B83669B" w14:textId="77777777" w:rsidR="00A2669B" w:rsidRDefault="00161813" w:rsidP="00A2669B">
      <w:pPr>
        <w:pStyle w:val="Heading2"/>
      </w:pPr>
      <w:r>
        <w:t xml:space="preserve">II. </w:t>
      </w:r>
      <w:r w:rsidR="00A2669B">
        <w:t>Solvency</w:t>
      </w:r>
    </w:p>
    <w:p w14:paraId="7B044AE8" w14:textId="65FEB1A4" w:rsidR="00D9170B" w:rsidRPr="00E16557" w:rsidRDefault="00F828E6" w:rsidP="00D9170B">
      <w:pPr>
        <w:pStyle w:val="Heading4"/>
      </w:pPr>
      <w:r>
        <w:t xml:space="preserve">Plan text: The member </w:t>
      </w:r>
      <w:r w:rsidR="00ED7980">
        <w:t>nations</w:t>
      </w:r>
      <w:r>
        <w:t xml:space="preserve"> of the </w:t>
      </w:r>
      <w:r w:rsidR="00ED7980">
        <w:t>World Trade Organization</w:t>
      </w:r>
      <w:r>
        <w:t xml:space="preserve"> </w:t>
      </w:r>
      <w:r w:rsidR="00ED7980">
        <w:t>ought to</w:t>
      </w:r>
      <w:r>
        <w:t xml:space="preserve"> waive </w:t>
      </w:r>
      <w:r w:rsidR="00ED7980">
        <w:t>intellectual property protections</w:t>
      </w:r>
      <w:r>
        <w:t xml:space="preserve"> for Covid-19 related medicines.</w:t>
      </w:r>
    </w:p>
    <w:p w14:paraId="6EBA9732" w14:textId="77777777" w:rsidR="00D9170B" w:rsidRPr="00E16557" w:rsidRDefault="00D9170B" w:rsidP="00D9170B">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4" w:anchor="new_tab" w:history="1">
        <w:r w:rsidRPr="00E16557">
          <w:rPr>
            <w:rStyle w:val="Hyperlink"/>
          </w:rPr>
          <w:t>https://www.citizenstrade.org/ctc/wp-content/uploads/2021/06/COVIDTRIPSWaiver_SignOnLtr2_062221.pdf#new_tab</w:t>
        </w:r>
      </w:hyperlink>
      <w:r w:rsidRPr="00E16557">
        <w:t>&gt; AT</w:t>
      </w:r>
    </w:p>
    <w:p w14:paraId="07474F2E" w14:textId="77777777" w:rsidR="00D9170B" w:rsidRPr="00DC5CFA" w:rsidRDefault="00D9170B" w:rsidP="00D9170B">
      <w:pPr>
        <w:ind w:left="720"/>
        <w:rPr>
          <w:sz w:val="12"/>
        </w:rPr>
      </w:pPr>
      <w:r w:rsidRPr="0061477E">
        <w:rPr>
          <w:sz w:val="12"/>
        </w:rPr>
        <w:t xml:space="preserve">We the undersigned organizations respectfully urge you to speedily secure a waiver that </w:t>
      </w:r>
      <w:proofErr w:type="gramStart"/>
      <w:r w:rsidRPr="0061477E">
        <w:rPr>
          <w:sz w:val="12"/>
        </w:rPr>
        <w:t>is:</w:t>
      </w:r>
      <w:r w:rsidR="0061477E" w:rsidRPr="0061477E">
        <w:rPr>
          <w:sz w:val="12"/>
        </w:rPr>
        <w:t>¶</w:t>
      </w:r>
      <w:proofErr w:type="gramEnd"/>
      <w:r w:rsidR="0061477E"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0061477E"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0061477E"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0061477E" w:rsidRPr="0061477E">
        <w:rPr>
          <w:sz w:val="12"/>
        </w:rPr>
        <w:t>¶</w:t>
      </w:r>
      <w:proofErr w:type="gramEnd"/>
      <w:r w:rsidR="0061477E"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0061477E" w:rsidRPr="0061477E">
        <w:rPr>
          <w:sz w:val="12"/>
        </w:rPr>
        <w:t>¶</w:t>
      </w:r>
      <w:proofErr w:type="gramEnd"/>
      <w:r w:rsidR="0061477E"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5B54E7C" w14:textId="77777777" w:rsidR="00A2669B" w:rsidRPr="00E16557" w:rsidRDefault="00A2669B" w:rsidP="00A2669B">
      <w:pPr>
        <w:pStyle w:val="Heading4"/>
      </w:pPr>
      <w:r w:rsidRPr="00E16557">
        <w:t>A waiver would increase leverage over pharma and provide legal certainty needed to spur critical production.</w:t>
      </w:r>
    </w:p>
    <w:p w14:paraId="2790BC6C" w14:textId="77777777" w:rsidR="00A2669B" w:rsidRPr="00E16557" w:rsidRDefault="00A2669B" w:rsidP="00A2669B">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69938BF" w14:textId="77777777" w:rsidR="00A2669B" w:rsidRPr="00D308C4" w:rsidRDefault="00A2669B" w:rsidP="00A2669B">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r w:rsidR="00D308C4" w:rsidRPr="00D308C4">
        <w:rPr>
          <w:sz w:val="12"/>
        </w:rPr>
        <w:t>¶</w:t>
      </w:r>
      <w:proofErr w:type="gramEnd"/>
      <w:r w:rsidR="00D308C4" w:rsidRPr="00D308C4">
        <w:rPr>
          <w:sz w:val="12"/>
        </w:rPr>
        <w:t xml:space="preserve"> </w:t>
      </w:r>
      <w:r w:rsidRPr="00D308C4">
        <w:rPr>
          <w:sz w:val="12"/>
        </w:rPr>
        <w:t xml:space="preserve">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6F22FC75" w14:textId="77777777" w:rsidR="00A2669B" w:rsidRPr="00E16557" w:rsidRDefault="0061477E" w:rsidP="00A2669B">
      <w:pPr>
        <w:pStyle w:val="Heading4"/>
      </w:pPr>
      <w:r>
        <w:t>Legal certainty unlocks global production.</w:t>
      </w:r>
    </w:p>
    <w:p w14:paraId="2C3C051F" w14:textId="77777777" w:rsidR="00A2669B" w:rsidRPr="00E16557" w:rsidRDefault="00A2669B" w:rsidP="00A2669B">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59D5067" w14:textId="77777777" w:rsidR="00A2669B" w:rsidRPr="0061477E" w:rsidRDefault="00A2669B" w:rsidP="00A2669B">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w:t>
      </w:r>
      <w:r w:rsidR="0061477E" w:rsidRPr="0061477E">
        <w:rPr>
          <w:sz w:val="12"/>
        </w:rPr>
        <w:t xml:space="preserve">¶ </w:t>
      </w:r>
      <w:r w:rsidRPr="0061477E">
        <w:rPr>
          <w:sz w:val="12"/>
        </w:rPr>
        <w:t xml:space="preserve">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F224699" w14:textId="77777777" w:rsidR="0069709F" w:rsidRPr="007108BA" w:rsidRDefault="0069709F" w:rsidP="0069709F">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70FB4AD9" w14:textId="77777777" w:rsidR="0069709F" w:rsidRPr="007108BA" w:rsidRDefault="0069709F" w:rsidP="0069709F">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3735CEB" w14:textId="77777777" w:rsidR="0069709F" w:rsidRPr="00F828E6" w:rsidRDefault="0069709F" w:rsidP="0069709F">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r w:rsidR="00F828E6" w:rsidRPr="00F828E6">
        <w:rPr>
          <w:sz w:val="12"/>
        </w:rPr>
        <w:t>¶</w:t>
      </w:r>
      <w:proofErr w:type="gramEnd"/>
      <w:r w:rsidR="00F828E6" w:rsidRPr="00F828E6">
        <w:rPr>
          <w:sz w:val="12"/>
        </w:rPr>
        <w:t xml:space="preserve"> </w:t>
      </w:r>
      <w:r w:rsidRPr="00F828E6">
        <w:rPr>
          <w:sz w:val="12"/>
        </w:rPr>
        <w:t>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00F828E6" w:rsidRPr="00F828E6">
        <w:rPr>
          <w:sz w:val="12"/>
        </w:rPr>
        <w:t>¶</w:t>
      </w:r>
      <w:proofErr w:type="gramEnd"/>
      <w:r w:rsidR="00F828E6"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w:t>
      </w:r>
      <w:r w:rsidR="00F828E6" w:rsidRPr="00F828E6">
        <w:rPr>
          <w:sz w:val="12"/>
        </w:rPr>
        <w:t xml:space="preserve">¶ </w:t>
      </w:r>
      <w:r w:rsidRPr="00F828E6">
        <w:rPr>
          <w:sz w:val="12"/>
        </w:rPr>
        <w:t>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w:t>
      </w:r>
      <w:r w:rsidR="00F828E6" w:rsidRPr="00F828E6">
        <w:rPr>
          <w:sz w:val="12"/>
        </w:rPr>
        <w:t xml:space="preserve">¶ </w:t>
      </w:r>
      <w:r w:rsidRPr="00F828E6">
        <w:rPr>
          <w:sz w:val="12"/>
        </w:rPr>
        <w:t>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D5F5720" w14:textId="6516ECA0" w:rsidR="00830D98" w:rsidRDefault="007E5BB9" w:rsidP="00830D98">
      <w:pPr>
        <w:pStyle w:val="Heading2"/>
      </w:pPr>
      <w:r>
        <w:t>II</w:t>
      </w:r>
      <w:r w:rsidR="00830D98">
        <w:t>I. Framing</w:t>
      </w:r>
    </w:p>
    <w:p w14:paraId="62390D17" w14:textId="1A22704B" w:rsidR="007C0DCB" w:rsidRDefault="007C0DCB" w:rsidP="00896404">
      <w:pPr>
        <w:pStyle w:val="Heading4"/>
      </w:pPr>
      <w:r>
        <w:t xml:space="preserve">The </w:t>
      </w:r>
      <w:r w:rsidR="00542864">
        <w:t>A</w:t>
      </w:r>
      <w:r>
        <w:t>ff challenges dehumanizing cultural frames that allow us to ignore human suffering. Recognition of common vulnerability is key to a politics that rejects violence, oppression, and indifference.</w:t>
      </w:r>
    </w:p>
    <w:p w14:paraId="6EFEA29A" w14:textId="187D2B4C" w:rsidR="00896404" w:rsidRPr="00896404" w:rsidRDefault="00896404" w:rsidP="00896404">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w:t>
      </w:r>
      <w:r w:rsidR="005328EF">
        <w:t>5</w:t>
      </w:r>
      <w:r>
        <w:t xml:space="preserve"> AT</w:t>
      </w:r>
    </w:p>
    <w:p w14:paraId="090465AF" w14:textId="0C83E93D" w:rsidR="00DA4D26" w:rsidRPr="005F464B" w:rsidRDefault="00E716F9" w:rsidP="00DA4D26">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005F464B" w:rsidRPr="005F464B">
        <w:rPr>
          <w:rFonts w:eastAsia="Times New Roman" w:cs="Times New Roman"/>
          <w:b/>
          <w:sz w:val="12"/>
          <w:u w:val="single"/>
        </w:rPr>
        <w:t>¶</w:t>
      </w:r>
      <w:r w:rsidR="005F464B"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005F464B"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005F464B"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005F464B" w:rsidRPr="005F464B">
        <w:rPr>
          <w:rFonts w:eastAsia="Times New Roman" w:cs="Times New Roman"/>
          <w:b/>
          <w:sz w:val="12"/>
          <w:u w:val="single"/>
        </w:rPr>
        <w:t>¶</w:t>
      </w:r>
      <w:proofErr w:type="gramEnd"/>
      <w:r w:rsidR="005F464B"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005F464B" w:rsidRPr="005F464B">
        <w:rPr>
          <w:rFonts w:eastAsia="Times New Roman" w:cs="Times New Roman"/>
          <w:sz w:val="12"/>
        </w:rPr>
        <w:t xml:space="preserve">¶ </w:t>
      </w:r>
      <w:r w:rsidR="00DA4D26" w:rsidRPr="005F464B">
        <w:rPr>
          <w:rFonts w:eastAsia="Times New Roman" w:cs="Times New Roman"/>
          <w:sz w:val="12"/>
        </w:rPr>
        <w:t xml:space="preserve">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00DA4D26" w:rsidRPr="007C0DCB">
        <w:rPr>
          <w:rStyle w:val="Emphasis"/>
          <w:highlight w:val="yellow"/>
        </w:rPr>
        <w:t>It must</w:t>
      </w:r>
      <w:r w:rsidR="00DA4D26" w:rsidRPr="005F464B">
        <w:rPr>
          <w:rFonts w:eastAsia="Times New Roman" w:cs="Times New Roman"/>
          <w:sz w:val="12"/>
        </w:rPr>
        <w:t xml:space="preserve"> also </w:t>
      </w:r>
      <w:r w:rsidR="00DA4D26" w:rsidRPr="007C0DCB">
        <w:rPr>
          <w:rStyle w:val="Emphasis"/>
          <w:highlight w:val="yellow"/>
        </w:rPr>
        <w:t>be part of</w:t>
      </w:r>
      <w:r w:rsidR="00DA4D26" w:rsidRPr="005F464B">
        <w:rPr>
          <w:rFonts w:eastAsia="Times New Roman" w:cs="Times New Roman"/>
          <w:sz w:val="12"/>
        </w:rPr>
        <w:t xml:space="preserve"> the affinity with </w:t>
      </w:r>
      <w:r w:rsidR="00DA4D26" w:rsidRPr="007C0DCB">
        <w:rPr>
          <w:rStyle w:val="Emphasis"/>
          <w:highlight w:val="yellow"/>
        </w:rPr>
        <w:t>anti-racist struggles, given the racial differential that undergirds</w:t>
      </w:r>
      <w:r w:rsidR="00DA4D26" w:rsidRPr="005F464B">
        <w:rPr>
          <w:rFonts w:eastAsia="Times New Roman" w:cs="Times New Roman"/>
          <w:sz w:val="12"/>
        </w:rPr>
        <w:t xml:space="preserve"> the </w:t>
      </w:r>
      <w:r w:rsidR="00DA4D26" w:rsidRPr="007C0DCB">
        <w:rPr>
          <w:rStyle w:val="Emphasis"/>
          <w:highlight w:val="yellow"/>
        </w:rPr>
        <w:t>culturally viable notions of the human</w:t>
      </w:r>
      <w:r w:rsidR="00DA4D26" w:rsidRPr="005F464B">
        <w:rPr>
          <w:rFonts w:eastAsia="Times New Roman" w:cs="Times New Roman"/>
          <w:sz w:val="12"/>
        </w:rPr>
        <w:t xml:space="preserve">, ones that we see </w:t>
      </w:r>
      <w:r w:rsidR="00DA4D26" w:rsidRPr="007C0DCB">
        <w:rPr>
          <w:rStyle w:val="Emphasis"/>
          <w:highlight w:val="yellow"/>
        </w:rPr>
        <w:t>acted out in</w:t>
      </w:r>
      <w:r w:rsidR="00DA4D26" w:rsidRPr="005F464B">
        <w:rPr>
          <w:rFonts w:eastAsia="Times New Roman" w:cs="Times New Roman"/>
          <w:sz w:val="12"/>
        </w:rPr>
        <w:t xml:space="preserve"> dramatic and </w:t>
      </w:r>
      <w:r w:rsidR="00DA4D26" w:rsidRPr="007C0DCB">
        <w:rPr>
          <w:rStyle w:val="Emphasis"/>
          <w:highlight w:val="yellow"/>
        </w:rPr>
        <w:t>terrifying ways in the global arena</w:t>
      </w:r>
      <w:r w:rsidR="00DA4D26" w:rsidRPr="005F464B">
        <w:rPr>
          <w:rFonts w:eastAsia="Times New Roman" w:cs="Times New Roman"/>
          <w:sz w:val="12"/>
        </w:rPr>
        <w:t xml:space="preserve"> at the present </w:t>
      </w:r>
      <w:proofErr w:type="gramStart"/>
      <w:r w:rsidR="00DA4D26" w:rsidRPr="005F464B">
        <w:rPr>
          <w:rFonts w:eastAsia="Times New Roman" w:cs="Times New Roman"/>
          <w:sz w:val="12"/>
        </w:rPr>
        <w:t>time</w:t>
      </w:r>
      <w:r w:rsidR="00DA4D26" w:rsidRPr="007C0DCB">
        <w:rPr>
          <w:rStyle w:val="Emphasis"/>
          <w:highlight w:val="yellow"/>
        </w:rPr>
        <w:t>.</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00DA4D26" w:rsidRPr="005F464B">
        <w:rPr>
          <w:rFonts w:eastAsia="Times New Roman" w:cs="Times New Roman"/>
          <w:sz w:val="12"/>
        </w:rPr>
        <w:t xml:space="preserve">I am referring not only to humans not regarded as humans, and thus to a restrictive conception of the human that is based upon their exclusion. </w:t>
      </w:r>
      <w:r w:rsidR="00DA4D26" w:rsidRPr="007C0DCB">
        <w:rPr>
          <w:rStyle w:val="Emphasis"/>
          <w:highlight w:val="yellow"/>
        </w:rPr>
        <w:t xml:space="preserve">It is </w:t>
      </w:r>
      <w:r w:rsidR="00DA4D26" w:rsidRPr="005F464B">
        <w:rPr>
          <w:rFonts w:eastAsia="Times New Roman" w:cs="Times New Roman"/>
          <w:sz w:val="12"/>
        </w:rPr>
        <w:t xml:space="preserve">not a matter of a simple entry of the excluded into an established ontology, but </w:t>
      </w:r>
      <w:r w:rsidR="00DA4D26" w:rsidRPr="007C0DCB">
        <w:rPr>
          <w:rStyle w:val="Emphasis"/>
          <w:highlight w:val="yellow"/>
        </w:rPr>
        <w:t>an insurrection at the level of ontology</w:t>
      </w:r>
      <w:r w:rsidR="00DA4D26" w:rsidRPr="005F464B">
        <w:rPr>
          <w:rFonts w:eastAsia="Times New Roman" w:cs="Times New Roman"/>
          <w:sz w:val="12"/>
        </w:rPr>
        <w:t xml:space="preserve">, a critical opening up of the questions, </w:t>
      </w:r>
      <w:proofErr w:type="gramStart"/>
      <w:r w:rsidR="00DA4D26" w:rsidRPr="005F464B">
        <w:rPr>
          <w:rFonts w:eastAsia="Times New Roman" w:cs="Times New Roman"/>
          <w:sz w:val="12"/>
        </w:rPr>
        <w:t>What</w:t>
      </w:r>
      <w:proofErr w:type="gramEnd"/>
      <w:r w:rsidR="00DA4D26" w:rsidRPr="005F464B">
        <w:rPr>
          <w:rFonts w:eastAsia="Times New Roman" w:cs="Times New Roman"/>
          <w:sz w:val="12"/>
        </w:rPr>
        <w:t xml:space="preserve"> is real? </w:t>
      </w:r>
      <w:r w:rsidR="00DA4D26" w:rsidRPr="007C0DCB">
        <w:rPr>
          <w:rStyle w:val="Emphasis"/>
          <w:highlight w:val="yellow"/>
        </w:rPr>
        <w:t>Whose lives are real?</w:t>
      </w:r>
      <w:r w:rsidR="00DA4D26"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00DA4D26" w:rsidRPr="005F464B">
        <w:rPr>
          <w:rFonts w:eastAsia="Times New Roman" w:cs="Times New Roman"/>
          <w:sz w:val="12"/>
        </w:rPr>
        <w:t>unreality?</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00DA4D26" w:rsidRPr="005F464B">
        <w:rPr>
          <w:rFonts w:eastAsia="Times New Roman" w:cs="Times New Roman"/>
          <w:sz w:val="12"/>
        </w:rPr>
        <w:t xml:space="preserve">If violence is done </w:t>
      </w:r>
      <w:r w:rsidR="00DA4D26"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00DA4D26" w:rsidRPr="000026CB">
        <w:rPr>
          <w:rFonts w:eastAsia="Times New Roman" w:cs="Times New Roman"/>
          <w:sz w:val="2"/>
        </w:rPr>
        <w:t xml:space="preserve"> </w:t>
      </w:r>
      <w:r w:rsidR="00DA4D26"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00DA4D26"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00DA4D26" w:rsidRPr="005F464B">
        <w:rPr>
          <w:rFonts w:eastAsia="Times New Roman" w:cs="Times New Roman"/>
          <w:sz w:val="12"/>
        </w:rPr>
        <w:t>aims.</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00DA4D26" w:rsidRPr="005F464B">
        <w:rPr>
          <w:rFonts w:eastAsia="Times New Roman" w:cs="Times New Roman"/>
          <w:sz w:val="12"/>
        </w:rPr>
        <w:t xml:space="preserve">How do we understand this derealization? It is one thing to argue that first, </w:t>
      </w:r>
      <w:r w:rsidR="00DA4D26" w:rsidRPr="007C0DCB">
        <w:rPr>
          <w:rStyle w:val="Emphasis"/>
          <w:highlight w:val="yellow"/>
        </w:rPr>
        <w:t>on the level of discourse, certain lives are not considered lives at all</w:t>
      </w:r>
      <w:r w:rsidR="00DA4D26" w:rsidRPr="005F464B">
        <w:rPr>
          <w:rFonts w:eastAsia="Times New Roman" w:cs="Times New Roman"/>
          <w:sz w:val="12"/>
        </w:rPr>
        <w:t xml:space="preserve">, they cannot be humanized, that they fit no dominant frame for the human, and that </w:t>
      </w:r>
      <w:r w:rsidR="00DA4D26" w:rsidRPr="007C0DCB">
        <w:rPr>
          <w:rStyle w:val="Emphasis"/>
          <w:highlight w:val="yellow"/>
        </w:rPr>
        <w:t>their dehumanization</w:t>
      </w:r>
      <w:r w:rsidR="00DA4D26" w:rsidRPr="005F464B">
        <w:rPr>
          <w:rFonts w:eastAsia="Times New Roman" w:cs="Times New Roman"/>
          <w:sz w:val="12"/>
        </w:rPr>
        <w:t xml:space="preserve"> occurs first, at this level, and that this level then </w:t>
      </w:r>
      <w:r w:rsidR="00DA4D26" w:rsidRPr="007C0DCB">
        <w:rPr>
          <w:rStyle w:val="Emphasis"/>
          <w:highlight w:val="yellow"/>
        </w:rPr>
        <w:t>gives rise to</w:t>
      </w:r>
      <w:r w:rsidR="00DA4D26" w:rsidRPr="005F464B">
        <w:rPr>
          <w:rFonts w:eastAsia="Times New Roman" w:cs="Times New Roman"/>
          <w:sz w:val="12"/>
        </w:rPr>
        <w:t xml:space="preserve"> a physical </w:t>
      </w:r>
      <w:r w:rsidR="00DA4D26" w:rsidRPr="007C0DCB">
        <w:rPr>
          <w:rStyle w:val="Emphasis"/>
          <w:highlight w:val="yellow"/>
        </w:rPr>
        <w:t>violence that</w:t>
      </w:r>
      <w:r w:rsidR="00DA4D26" w:rsidRPr="005F464B">
        <w:rPr>
          <w:rFonts w:eastAsia="Times New Roman" w:cs="Times New Roman"/>
          <w:sz w:val="12"/>
        </w:rPr>
        <w:t xml:space="preserve"> in some sense </w:t>
      </w:r>
      <w:r w:rsidR="00DA4D26" w:rsidRPr="007C0DCB">
        <w:rPr>
          <w:rStyle w:val="Emphasis"/>
          <w:highlight w:val="yellow"/>
        </w:rPr>
        <w:t>delivers the message of dehumanization</w:t>
      </w:r>
      <w:r w:rsidR="00DA4D26" w:rsidRPr="005F464B">
        <w:rPr>
          <w:rFonts w:eastAsia="Times New Roman" w:cs="Times New Roman"/>
          <w:sz w:val="12"/>
        </w:rPr>
        <w:t xml:space="preserve"> that is </w:t>
      </w:r>
      <w:r w:rsidR="00DA4D26" w:rsidRPr="007C0DCB">
        <w:rPr>
          <w:rStyle w:val="Emphasis"/>
          <w:highlight w:val="yellow"/>
        </w:rPr>
        <w:t>already at work in the culture.</w:t>
      </w:r>
      <w:r w:rsidR="00DA4D26" w:rsidRPr="005F464B">
        <w:rPr>
          <w:rFonts w:eastAsia="Times New Roman" w:cs="Times New Roman"/>
          <w:sz w:val="12"/>
        </w:rPr>
        <w:t xml:space="preserve"> It is another thing to say that discourse itself effects violence through omission. If 2</w:t>
      </w:r>
      <w:proofErr w:type="gramStart"/>
      <w:r w:rsidR="00DA4D26" w:rsidRPr="005F464B">
        <w:rPr>
          <w:rFonts w:eastAsia="Times New Roman" w:cs="Times New Roman"/>
          <w:sz w:val="12"/>
        </w:rPr>
        <w:t>oo,ooo</w:t>
      </w:r>
      <w:proofErr w:type="gramEnd"/>
      <w:r w:rsidR="00DA4D26"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00DA4D26" w:rsidRPr="007C0DCB">
        <w:rPr>
          <w:rStyle w:val="Emphasis"/>
          <w:highlight w:val="yellow"/>
        </w:rPr>
        <w:t xml:space="preserve">Are there names attached to those </w:t>
      </w:r>
      <w:proofErr w:type="gramStart"/>
      <w:r w:rsidR="00DA4D26" w:rsidRPr="007C0DCB">
        <w:rPr>
          <w:rStyle w:val="Emphasis"/>
          <w:highlight w:val="yellow"/>
        </w:rPr>
        <w:t>children?</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00DA4D26" w:rsidRPr="005F464B">
        <w:rPr>
          <w:rFonts w:eastAsia="Times New Roman" w:cs="Times New Roman"/>
          <w:sz w:val="12"/>
        </w:rPr>
        <w:t xml:space="preserve">There are no obituaries for the war casualties that the United States inflicts, and there cannot be. If there were to be an obituary, there would have had to have been a life, a life worth noting, </w:t>
      </w:r>
      <w:r w:rsidR="00DA4D26" w:rsidRPr="007C0DCB">
        <w:rPr>
          <w:rStyle w:val="Emphasis"/>
          <w:highlight w:val="yellow"/>
        </w:rPr>
        <w:t>a life worth valuing and preserving, a life that qualifies for recognition.</w:t>
      </w:r>
      <w:r w:rsidR="00DA4D26" w:rsidRPr="005F464B">
        <w:rPr>
          <w:rFonts w:eastAsia="Times New Roman" w:cs="Times New Roman"/>
          <w:sz w:val="12"/>
        </w:rPr>
        <w:t xml:space="preserve"> Although we might argue that it would be impractical to write obituaries for all those people, or for all people, I think we </w:t>
      </w:r>
      <w:proofErr w:type="gramStart"/>
      <w:r w:rsidR="00DA4D26" w:rsidRPr="005F464B">
        <w:rPr>
          <w:rFonts w:eastAsia="Times New Roman" w:cs="Times New Roman"/>
          <w:sz w:val="12"/>
        </w:rPr>
        <w:t>have to</w:t>
      </w:r>
      <w:proofErr w:type="gramEnd"/>
      <w:r w:rsidR="00DA4D26" w:rsidRPr="005F464B">
        <w:rPr>
          <w:rFonts w:eastAsia="Times New Roman" w:cs="Times New Roman"/>
          <w:sz w:val="12"/>
        </w:rPr>
        <w:t xml:space="preserve"> ask, again and again, how the obituary functions as the instrument by which </w:t>
      </w:r>
      <w:proofErr w:type="spellStart"/>
      <w:r w:rsidR="00DA4D26" w:rsidRPr="005F464B">
        <w:rPr>
          <w:rFonts w:eastAsia="Times New Roman" w:cs="Times New Roman"/>
          <w:sz w:val="12"/>
        </w:rPr>
        <w:t>grievability</w:t>
      </w:r>
      <w:proofErr w:type="spellEnd"/>
      <w:r w:rsidR="00DA4D26" w:rsidRPr="005F464B">
        <w:rPr>
          <w:rFonts w:eastAsia="Times New Roman" w:cs="Times New Roman"/>
          <w:sz w:val="12"/>
        </w:rPr>
        <w:t xml:space="preserve"> is publicly distributed. It is the means by which a life becomes, or fails to become, a publicly </w:t>
      </w:r>
      <w:proofErr w:type="spellStart"/>
      <w:r w:rsidR="00DA4D26" w:rsidRPr="005F464B">
        <w:rPr>
          <w:rFonts w:eastAsia="Times New Roman" w:cs="Times New Roman"/>
          <w:sz w:val="12"/>
        </w:rPr>
        <w:t>grievable</w:t>
      </w:r>
      <w:proofErr w:type="spellEnd"/>
      <w:r w:rsidR="00DA4D26" w:rsidRPr="005F464B">
        <w:rPr>
          <w:rFonts w:eastAsia="Times New Roman" w:cs="Times New Roman"/>
          <w:sz w:val="12"/>
        </w:rPr>
        <w:t xml:space="preserve"> life, an icon for national self-recognition, the means by which a life becomes noteworthy. As a result, we </w:t>
      </w:r>
      <w:proofErr w:type="gramStart"/>
      <w:r w:rsidR="00DA4D26" w:rsidRPr="005F464B">
        <w:rPr>
          <w:rFonts w:eastAsia="Times New Roman" w:cs="Times New Roman"/>
          <w:sz w:val="12"/>
        </w:rPr>
        <w:t>have to</w:t>
      </w:r>
      <w:proofErr w:type="gramEnd"/>
      <w:r w:rsidR="00DA4D26" w:rsidRPr="005F464B">
        <w:rPr>
          <w:rFonts w:eastAsia="Times New Roman" w:cs="Times New Roman"/>
          <w:sz w:val="12"/>
        </w:rPr>
        <w:t xml:space="preserve"> consider the obituary as an act of nation-building. The matter is not a simple one, for, if a life is not </w:t>
      </w:r>
      <w:proofErr w:type="spellStart"/>
      <w:r w:rsidR="00DA4D26" w:rsidRPr="005F464B">
        <w:rPr>
          <w:rFonts w:eastAsia="Times New Roman" w:cs="Times New Roman"/>
          <w:sz w:val="12"/>
        </w:rPr>
        <w:t>grievable</w:t>
      </w:r>
      <w:proofErr w:type="spellEnd"/>
      <w:r w:rsidR="00DA4D26"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00DA4D26" w:rsidRPr="005F464B">
        <w:rPr>
          <w:rFonts w:eastAsia="Times New Roman" w:cs="Times New Roman"/>
          <w:sz w:val="12"/>
        </w:rPr>
        <w:t>unburiable</w:t>
      </w:r>
      <w:proofErr w:type="spellEnd"/>
      <w:r w:rsidR="00DA4D26" w:rsidRPr="005F464B">
        <w:rPr>
          <w:rFonts w:eastAsia="Times New Roman" w:cs="Times New Roman"/>
          <w:sz w:val="12"/>
        </w:rPr>
        <w:t>.</w:t>
      </w:r>
      <w:r w:rsidR="005F464B" w:rsidRPr="005F464B">
        <w:rPr>
          <w:rFonts w:eastAsia="Times New Roman" w:cs="Times New Roman"/>
          <w:sz w:val="12"/>
        </w:rPr>
        <w:t>¶</w:t>
      </w:r>
      <w:proofErr w:type="gramEnd"/>
      <w:r w:rsidR="005F464B" w:rsidRPr="005F464B">
        <w:rPr>
          <w:rFonts w:eastAsia="Times New Roman" w:cs="Times New Roman"/>
          <w:sz w:val="12"/>
        </w:rPr>
        <w:t xml:space="preserve"> </w:t>
      </w:r>
      <w:r w:rsidR="00DA4D26" w:rsidRPr="005F464B">
        <w:rPr>
          <w:rFonts w:eastAsia="Times New Roman" w:cs="Times New Roman"/>
          <w:sz w:val="12"/>
        </w:rPr>
        <w:t xml:space="preserve">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00DA4D26" w:rsidRPr="005F464B">
        <w:rPr>
          <w:rFonts w:eastAsia="Times New Roman" w:cs="Times New Roman"/>
          <w:sz w:val="12"/>
        </w:rPr>
        <w:t>I</w:t>
      </w:r>
      <w:proofErr w:type="spellEnd"/>
      <w:r w:rsidR="00DA4D26"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00DA4D26" w:rsidRPr="005F464B">
        <w:rPr>
          <w:rFonts w:eastAsia="Times New Roman" w:cs="Times New Roman"/>
          <w:sz w:val="12"/>
        </w:rPr>
        <w:t>grievable</w:t>
      </w:r>
      <w:proofErr w:type="spellEnd"/>
      <w:r w:rsidR="00DA4D26"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00DA4D26" w:rsidRPr="005F464B">
        <w:rPr>
          <w:rFonts w:eastAsia="Times New Roman" w:cs="Times New Roman"/>
          <w:sz w:val="12"/>
        </w:rPr>
        <w:t>ungrievable</w:t>
      </w:r>
      <w:proofErr w:type="spellEnd"/>
      <w:r w:rsidR="00DA4D26" w:rsidRPr="005F464B">
        <w:rPr>
          <w:rFonts w:eastAsia="Times New Roman" w:cs="Times New Roman"/>
          <w:sz w:val="12"/>
        </w:rPr>
        <w:t>.</w:t>
      </w:r>
    </w:p>
    <w:p w14:paraId="78F75B3D" w14:textId="44743469" w:rsidR="00DA4D26" w:rsidRDefault="00DA4D26" w:rsidP="00DA4D26">
      <w:pPr>
        <w:spacing w:after="0" w:line="240" w:lineRule="auto"/>
        <w:ind w:left="720" w:right="720"/>
        <w:rPr>
          <w:rFonts w:eastAsia="Times New Roman" w:cs="Times New Roman"/>
          <w:sz w:val="24"/>
        </w:rPr>
      </w:pPr>
    </w:p>
    <w:p w14:paraId="39D8E79B" w14:textId="022597FC"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 xml:space="preserve">The Aff </w:t>
      </w:r>
      <w:r w:rsidR="00D63E04">
        <w:rPr>
          <w:rFonts w:eastAsia="MS Gothic"/>
          <w:b/>
          <w:iCs/>
          <w:sz w:val="26"/>
        </w:rPr>
        <w:t>challenges the hegemonic ideology of the status quo by rejecting</w:t>
      </w:r>
      <w:r w:rsidRPr="003C5A91">
        <w:rPr>
          <w:rFonts w:eastAsia="MS Gothic"/>
          <w:b/>
          <w:iCs/>
          <w:sz w:val="26"/>
        </w:rPr>
        <w:t xml:space="preserve"> </w:t>
      </w:r>
      <w:r w:rsidR="00AD4B70">
        <w:rPr>
          <w:rFonts w:eastAsia="MS Gothic"/>
          <w:b/>
          <w:iCs/>
          <w:sz w:val="26"/>
        </w:rPr>
        <w:t>sacrificial</w:t>
      </w:r>
      <w:r w:rsidR="00D63E04">
        <w:rPr>
          <w:rFonts w:eastAsia="MS Gothic"/>
          <w:b/>
          <w:iCs/>
          <w:sz w:val="26"/>
        </w:rPr>
        <w:t xml:space="preserve"> rationalizations. </w:t>
      </w:r>
      <w:r w:rsidRPr="003C5A91">
        <w:rPr>
          <w:rFonts w:eastAsia="MS Gothic"/>
          <w:b/>
          <w:iCs/>
          <w:sz w:val="26"/>
        </w:rPr>
        <w:t>That logic is the basis for colonialism, slavery, genocide</w:t>
      </w:r>
      <w:r w:rsidR="00D63E04">
        <w:rPr>
          <w:rFonts w:eastAsia="MS Gothic"/>
          <w:b/>
          <w:iCs/>
          <w:sz w:val="26"/>
        </w:rPr>
        <w:t>, war, and global poverty</w:t>
      </w:r>
      <w:r w:rsidRPr="003C5A91">
        <w:rPr>
          <w:rFonts w:eastAsia="MS Gothic"/>
          <w:b/>
          <w:iCs/>
          <w:sz w:val="26"/>
        </w:rPr>
        <w:t xml:space="preserve">. </w:t>
      </w:r>
    </w:p>
    <w:p w14:paraId="5139E885" w14:textId="77777777" w:rsidR="003C5A91" w:rsidRPr="003C5A91" w:rsidRDefault="003C5A91" w:rsidP="003C5A91">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359A0D89" w14:textId="77777777" w:rsidR="003C5A91" w:rsidRPr="003C5A91" w:rsidRDefault="003C5A91" w:rsidP="003C5A91">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DC1C21E" w14:textId="2DA46979" w:rsidR="00542864" w:rsidRDefault="00542864" w:rsidP="00542864">
      <w:pPr>
        <w:pStyle w:val="Heading2"/>
        <w:rPr>
          <w:rFonts w:eastAsia="MS Gothic"/>
        </w:rPr>
      </w:pPr>
      <w:proofErr w:type="spellStart"/>
      <w:r>
        <w:rPr>
          <w:rFonts w:eastAsia="MS Gothic"/>
        </w:rPr>
        <w:t>Underview</w:t>
      </w:r>
      <w:proofErr w:type="spellEnd"/>
      <w:r>
        <w:rPr>
          <w:rFonts w:eastAsia="MS Gothic"/>
        </w:rPr>
        <w:t xml:space="preserve"> 1</w:t>
      </w:r>
    </w:p>
    <w:p w14:paraId="5D40A8DA" w14:textId="77777777" w:rsidR="00542864" w:rsidRPr="006213BA" w:rsidRDefault="00542864" w:rsidP="00542864">
      <w:pPr>
        <w:pStyle w:val="Heading4"/>
      </w:pPr>
      <w:r w:rsidRPr="006213BA">
        <w:t>Scholarly discourse and engagement with politics is key to effective structural reform - critique is insufficient.</w:t>
      </w:r>
    </w:p>
    <w:p w14:paraId="149A96A1" w14:textId="77777777" w:rsidR="00542864" w:rsidRPr="00AD1EE8" w:rsidRDefault="00542864" w:rsidP="00542864">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09915364" w14:textId="77777777" w:rsidR="00542864" w:rsidRDefault="00542864" w:rsidP="00542864">
      <w:pPr>
        <w:ind w:left="720"/>
        <w:rPr>
          <w:rFonts w:eastAsia="Cambria"/>
          <w:sz w:val="8"/>
        </w:rPr>
      </w:pPr>
    </w:p>
    <w:p w14:paraId="2738DFF2" w14:textId="77777777" w:rsidR="00542864" w:rsidRPr="00AD1EE8" w:rsidRDefault="00542864" w:rsidP="00542864">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4BF41EBB" w14:textId="77777777" w:rsidR="00542864" w:rsidRPr="006213BA" w:rsidRDefault="00542864" w:rsidP="00542864">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F4BC146" w14:textId="77777777" w:rsidR="00542864" w:rsidRPr="006213BA" w:rsidRDefault="00542864" w:rsidP="00542864">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4842965C" w14:textId="77777777" w:rsidR="00542864" w:rsidRPr="006213BA" w:rsidRDefault="00542864" w:rsidP="00542864">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3D8F320C" w14:textId="77777777" w:rsidR="00542864" w:rsidRPr="006213BA" w:rsidRDefault="00542864" w:rsidP="00542864">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397FBC0B" w14:textId="77777777" w:rsidR="00542864" w:rsidRPr="006213BA" w:rsidRDefault="00542864" w:rsidP="00542864">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745DC8FC" w14:textId="77777777" w:rsidR="00542864" w:rsidRPr="00724829" w:rsidRDefault="00542864" w:rsidP="00542864">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w:t>
      </w:r>
      <w:proofErr w:type="gramStart"/>
      <w:r w:rsidRPr="00724829">
        <w:rPr>
          <w:rFonts w:eastAsia="Cambria"/>
          <w:sz w:val="12"/>
        </w:rPr>
        <w:t>exactly the same</w:t>
      </w:r>
      <w:proofErr w:type="gramEnd"/>
      <w:r w:rsidRPr="00724829">
        <w:rPr>
          <w:rFonts w:eastAsia="Cambria"/>
          <w:sz w:val="12"/>
        </w:rPr>
        <w:t xml:space="preserv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4CF46754" w14:textId="77777777" w:rsidR="00542864" w:rsidRPr="00542864" w:rsidRDefault="00542864" w:rsidP="00542864">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72CDE0D" w14:textId="77777777" w:rsidR="00542864" w:rsidRPr="00542864" w:rsidRDefault="00542864" w:rsidP="00542864">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F4F7F12" w14:textId="77777777" w:rsidR="00542864" w:rsidRPr="00542864" w:rsidRDefault="00542864" w:rsidP="00542864">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57CADA63" w14:textId="77777777" w:rsidR="00542864" w:rsidRPr="00542864" w:rsidRDefault="00542864" w:rsidP="00542864">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proofErr w:type="gramStart"/>
      <w:r w:rsidRPr="00542864">
        <w:rPr>
          <w:rFonts w:eastAsia="Times New Roman"/>
          <w:b/>
          <w:bCs/>
          <w:highlight w:val="yellow"/>
          <w:u w:val="single"/>
        </w:rPr>
        <w:t>a number of</w:t>
      </w:r>
      <w:proofErr w:type="gramEnd"/>
      <w:r w:rsidRPr="00542864">
        <w:rPr>
          <w:rFonts w:eastAsia="Times New Roman"/>
          <w:b/>
          <w:bCs/>
          <w:highlight w:val="yellow"/>
          <w:u w:val="single"/>
        </w:rPr>
        <w:t xml:space="preserve">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1C28E3C1" w14:textId="77777777" w:rsidR="00542864" w:rsidRPr="00542864" w:rsidRDefault="00542864" w:rsidP="00542864">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67B62A25" w14:textId="77777777" w:rsidR="00542864" w:rsidRPr="00AD1EE8" w:rsidRDefault="00542864" w:rsidP="00542864"/>
    <w:p w14:paraId="527BAEC6" w14:textId="77777777" w:rsidR="00542864" w:rsidRPr="00AB483F" w:rsidRDefault="00542864" w:rsidP="00542864"/>
    <w:p w14:paraId="0C23BAE2" w14:textId="19722EB3" w:rsidR="003C5A91" w:rsidRDefault="003C5A91" w:rsidP="003C5A91">
      <w:pPr>
        <w:keepNext/>
        <w:keepLines/>
        <w:spacing w:before="40" w:after="0"/>
        <w:outlineLvl w:val="3"/>
        <w:rPr>
          <w:rFonts w:eastAsia="MS Gothic"/>
          <w:b/>
          <w:iCs/>
          <w:sz w:val="26"/>
        </w:rPr>
      </w:pPr>
    </w:p>
    <w:sectPr w:rsidR="003C5A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CA1A1" w14:textId="77777777" w:rsidR="005A42CE" w:rsidRDefault="005A42CE" w:rsidP="00E716F9">
      <w:pPr>
        <w:spacing w:after="0" w:line="240" w:lineRule="auto"/>
      </w:pPr>
      <w:r>
        <w:separator/>
      </w:r>
    </w:p>
  </w:endnote>
  <w:endnote w:type="continuationSeparator" w:id="0">
    <w:p w14:paraId="3FBB41C4" w14:textId="77777777" w:rsidR="005A42CE" w:rsidRDefault="005A42CE" w:rsidP="00E71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Lucida Grande">
    <w:altName w:val="Arial"/>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272A3" w14:textId="77777777" w:rsidR="005A42CE" w:rsidRDefault="005A42CE" w:rsidP="00E716F9">
      <w:pPr>
        <w:spacing w:after="0" w:line="240" w:lineRule="auto"/>
      </w:pPr>
      <w:r>
        <w:separator/>
      </w:r>
    </w:p>
  </w:footnote>
  <w:footnote w:type="continuationSeparator" w:id="0">
    <w:p w14:paraId="72FB75E3" w14:textId="77777777" w:rsidR="005A42CE" w:rsidRDefault="005A42CE" w:rsidP="00E716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54DAB"/>
    <w:multiLevelType w:val="hybridMultilevel"/>
    <w:tmpl w:val="44723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842971728496"/>
    <w:docVar w:name="VerbatimVersion" w:val="5.1"/>
  </w:docVars>
  <w:rsids>
    <w:rsidRoot w:val="00A2669B"/>
    <w:rsid w:val="000026CB"/>
    <w:rsid w:val="00007842"/>
    <w:rsid w:val="000139A3"/>
    <w:rsid w:val="0003378D"/>
    <w:rsid w:val="00076CD9"/>
    <w:rsid w:val="000C49A7"/>
    <w:rsid w:val="00100833"/>
    <w:rsid w:val="00104529"/>
    <w:rsid w:val="00105942"/>
    <w:rsid w:val="00107396"/>
    <w:rsid w:val="00144A4C"/>
    <w:rsid w:val="00161813"/>
    <w:rsid w:val="00161F0C"/>
    <w:rsid w:val="00167671"/>
    <w:rsid w:val="00176AB0"/>
    <w:rsid w:val="00177B7D"/>
    <w:rsid w:val="001803B6"/>
    <w:rsid w:val="00180ABB"/>
    <w:rsid w:val="0018322D"/>
    <w:rsid w:val="001A1121"/>
    <w:rsid w:val="001B39CA"/>
    <w:rsid w:val="001B5776"/>
    <w:rsid w:val="001E527A"/>
    <w:rsid w:val="001F78CE"/>
    <w:rsid w:val="001F7EC7"/>
    <w:rsid w:val="00251FC7"/>
    <w:rsid w:val="002855A7"/>
    <w:rsid w:val="002965C6"/>
    <w:rsid w:val="002A2546"/>
    <w:rsid w:val="002B146A"/>
    <w:rsid w:val="002B5E17"/>
    <w:rsid w:val="002C3011"/>
    <w:rsid w:val="002D5542"/>
    <w:rsid w:val="002F264B"/>
    <w:rsid w:val="00315690"/>
    <w:rsid w:val="00316B75"/>
    <w:rsid w:val="00325646"/>
    <w:rsid w:val="003332D1"/>
    <w:rsid w:val="0033521D"/>
    <w:rsid w:val="0034322B"/>
    <w:rsid w:val="003460F2"/>
    <w:rsid w:val="0035658F"/>
    <w:rsid w:val="00373504"/>
    <w:rsid w:val="0037699F"/>
    <w:rsid w:val="0038158C"/>
    <w:rsid w:val="003902BA"/>
    <w:rsid w:val="00397681"/>
    <w:rsid w:val="003A09E2"/>
    <w:rsid w:val="003C5A91"/>
    <w:rsid w:val="003C7242"/>
    <w:rsid w:val="003D2094"/>
    <w:rsid w:val="003F29D6"/>
    <w:rsid w:val="004046D0"/>
    <w:rsid w:val="00407037"/>
    <w:rsid w:val="00432D97"/>
    <w:rsid w:val="004605D6"/>
    <w:rsid w:val="00462F1A"/>
    <w:rsid w:val="004932CD"/>
    <w:rsid w:val="00494C46"/>
    <w:rsid w:val="004C60E8"/>
    <w:rsid w:val="004D3603"/>
    <w:rsid w:val="004E3579"/>
    <w:rsid w:val="004E728B"/>
    <w:rsid w:val="004F39E0"/>
    <w:rsid w:val="00502DE7"/>
    <w:rsid w:val="005328EF"/>
    <w:rsid w:val="00537BD5"/>
    <w:rsid w:val="00542864"/>
    <w:rsid w:val="00545551"/>
    <w:rsid w:val="0057268A"/>
    <w:rsid w:val="005A42CE"/>
    <w:rsid w:val="005C66DF"/>
    <w:rsid w:val="005C6A90"/>
    <w:rsid w:val="005D2912"/>
    <w:rsid w:val="005E08C2"/>
    <w:rsid w:val="005E3368"/>
    <w:rsid w:val="005F464B"/>
    <w:rsid w:val="006065BD"/>
    <w:rsid w:val="0061477E"/>
    <w:rsid w:val="00614F33"/>
    <w:rsid w:val="006213BA"/>
    <w:rsid w:val="00632DBD"/>
    <w:rsid w:val="00645FA9"/>
    <w:rsid w:val="00647866"/>
    <w:rsid w:val="00665003"/>
    <w:rsid w:val="00675DD8"/>
    <w:rsid w:val="00680538"/>
    <w:rsid w:val="0069709F"/>
    <w:rsid w:val="006A2AD0"/>
    <w:rsid w:val="006B6331"/>
    <w:rsid w:val="006C2375"/>
    <w:rsid w:val="006D4ECC"/>
    <w:rsid w:val="00703BEB"/>
    <w:rsid w:val="007108BA"/>
    <w:rsid w:val="00713652"/>
    <w:rsid w:val="00722258"/>
    <w:rsid w:val="007243E5"/>
    <w:rsid w:val="00724829"/>
    <w:rsid w:val="00725B4B"/>
    <w:rsid w:val="00732B94"/>
    <w:rsid w:val="00766EA0"/>
    <w:rsid w:val="0078178F"/>
    <w:rsid w:val="007A2226"/>
    <w:rsid w:val="007A316E"/>
    <w:rsid w:val="007C0DCB"/>
    <w:rsid w:val="007E5BB9"/>
    <w:rsid w:val="007E6464"/>
    <w:rsid w:val="007F5B66"/>
    <w:rsid w:val="00801565"/>
    <w:rsid w:val="00810D7C"/>
    <w:rsid w:val="00813322"/>
    <w:rsid w:val="00823A1C"/>
    <w:rsid w:val="00830D98"/>
    <w:rsid w:val="00845B9D"/>
    <w:rsid w:val="00860984"/>
    <w:rsid w:val="00893D59"/>
    <w:rsid w:val="00896404"/>
    <w:rsid w:val="008B3ECB"/>
    <w:rsid w:val="008B4E85"/>
    <w:rsid w:val="008C1B2E"/>
    <w:rsid w:val="008E1DFB"/>
    <w:rsid w:val="009054BE"/>
    <w:rsid w:val="0091627E"/>
    <w:rsid w:val="00927D20"/>
    <w:rsid w:val="00936D50"/>
    <w:rsid w:val="0097032B"/>
    <w:rsid w:val="00983514"/>
    <w:rsid w:val="009C6121"/>
    <w:rsid w:val="009D2EAD"/>
    <w:rsid w:val="009D54B2"/>
    <w:rsid w:val="009E1922"/>
    <w:rsid w:val="009F7ED2"/>
    <w:rsid w:val="00A02EC2"/>
    <w:rsid w:val="00A2669B"/>
    <w:rsid w:val="00A80728"/>
    <w:rsid w:val="00A93661"/>
    <w:rsid w:val="00A9516B"/>
    <w:rsid w:val="00A95652"/>
    <w:rsid w:val="00AB483F"/>
    <w:rsid w:val="00AC0AB8"/>
    <w:rsid w:val="00AC3555"/>
    <w:rsid w:val="00AD1EE8"/>
    <w:rsid w:val="00AD4B70"/>
    <w:rsid w:val="00B20F27"/>
    <w:rsid w:val="00B33C6D"/>
    <w:rsid w:val="00B4508F"/>
    <w:rsid w:val="00B55AD5"/>
    <w:rsid w:val="00B8057C"/>
    <w:rsid w:val="00BC1823"/>
    <w:rsid w:val="00BD6238"/>
    <w:rsid w:val="00BF593B"/>
    <w:rsid w:val="00BF773A"/>
    <w:rsid w:val="00BF7E81"/>
    <w:rsid w:val="00C13773"/>
    <w:rsid w:val="00C13942"/>
    <w:rsid w:val="00C17CC8"/>
    <w:rsid w:val="00C34301"/>
    <w:rsid w:val="00C53A20"/>
    <w:rsid w:val="00C54E2F"/>
    <w:rsid w:val="00C60A93"/>
    <w:rsid w:val="00C807D9"/>
    <w:rsid w:val="00C83417"/>
    <w:rsid w:val="00C9604F"/>
    <w:rsid w:val="00CA19AA"/>
    <w:rsid w:val="00CB4CF9"/>
    <w:rsid w:val="00CC5298"/>
    <w:rsid w:val="00CD736E"/>
    <w:rsid w:val="00CD798D"/>
    <w:rsid w:val="00CE161E"/>
    <w:rsid w:val="00CF47C8"/>
    <w:rsid w:val="00CF59A8"/>
    <w:rsid w:val="00D308C4"/>
    <w:rsid w:val="00D325A9"/>
    <w:rsid w:val="00D36A8A"/>
    <w:rsid w:val="00D54FC2"/>
    <w:rsid w:val="00D61409"/>
    <w:rsid w:val="00D63E04"/>
    <w:rsid w:val="00D6691E"/>
    <w:rsid w:val="00D71170"/>
    <w:rsid w:val="00D870CA"/>
    <w:rsid w:val="00D9170B"/>
    <w:rsid w:val="00DA1C92"/>
    <w:rsid w:val="00DA25D4"/>
    <w:rsid w:val="00DA4D26"/>
    <w:rsid w:val="00DA6538"/>
    <w:rsid w:val="00DA7701"/>
    <w:rsid w:val="00DC5CFA"/>
    <w:rsid w:val="00DC78EB"/>
    <w:rsid w:val="00DE2C5C"/>
    <w:rsid w:val="00DF30B1"/>
    <w:rsid w:val="00E05A37"/>
    <w:rsid w:val="00E15E75"/>
    <w:rsid w:val="00E445D8"/>
    <w:rsid w:val="00E5262C"/>
    <w:rsid w:val="00E64CE5"/>
    <w:rsid w:val="00E716F9"/>
    <w:rsid w:val="00E7399A"/>
    <w:rsid w:val="00E941D3"/>
    <w:rsid w:val="00EC7DC4"/>
    <w:rsid w:val="00ED30CF"/>
    <w:rsid w:val="00ED7980"/>
    <w:rsid w:val="00EE4505"/>
    <w:rsid w:val="00EE5276"/>
    <w:rsid w:val="00F176EF"/>
    <w:rsid w:val="00F2476B"/>
    <w:rsid w:val="00F31215"/>
    <w:rsid w:val="00F345A5"/>
    <w:rsid w:val="00F45E10"/>
    <w:rsid w:val="00F54AA9"/>
    <w:rsid w:val="00F60384"/>
    <w:rsid w:val="00F6364A"/>
    <w:rsid w:val="00F828E6"/>
    <w:rsid w:val="00F9113A"/>
    <w:rsid w:val="00FE2546"/>
    <w:rsid w:val="00FF53A6"/>
    <w:rsid w:val="22DF3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DE1B"/>
  <w15:chartTrackingRefBased/>
  <w15:docId w15:val="{7B307B62-F528-4EB2-887F-88E65684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45D8"/>
    <w:rPr>
      <w:rFonts w:ascii="Calibri" w:eastAsiaTheme="minorEastAsia" w:hAnsi="Calibri"/>
      <w:szCs w:val="24"/>
    </w:rPr>
  </w:style>
  <w:style w:type="paragraph" w:styleId="Heading1">
    <w:name w:val="heading 1"/>
    <w:aliases w:val="Pocket"/>
    <w:basedOn w:val="Normal"/>
    <w:next w:val="Normal"/>
    <w:link w:val="Heading1Char"/>
    <w:uiPriority w:val="9"/>
    <w:qFormat/>
    <w:rsid w:val="00E44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45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45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E445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45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5D8"/>
  </w:style>
  <w:style w:type="character" w:customStyle="1" w:styleId="Heading1Char">
    <w:name w:val="Heading 1 Char"/>
    <w:aliases w:val="Pocket Char"/>
    <w:basedOn w:val="DefaultParagraphFont"/>
    <w:link w:val="Heading1"/>
    <w:uiPriority w:val="9"/>
    <w:rsid w:val="00E445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45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45D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445D8"/>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445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45D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E445D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E445D8"/>
    <w:rPr>
      <w:color w:val="auto"/>
      <w:u w:val="none"/>
    </w:rPr>
  </w:style>
  <w:style w:type="character" w:styleId="FollowedHyperlink">
    <w:name w:val="FollowedHyperlink"/>
    <w:basedOn w:val="DefaultParagraphFont"/>
    <w:uiPriority w:val="99"/>
    <w:semiHidden/>
    <w:unhideWhenUsed/>
    <w:rsid w:val="00E445D8"/>
    <w:rPr>
      <w:color w:val="auto"/>
      <w:u w:val="none"/>
    </w:rPr>
  </w:style>
  <w:style w:type="paragraph" w:customStyle="1" w:styleId="textbold">
    <w:name w:val="text bold"/>
    <w:basedOn w:val="Normal"/>
    <w:link w:val="Emphasis"/>
    <w:uiPriority w:val="20"/>
    <w:qFormat/>
    <w:rsid w:val="00494C46"/>
    <w:pPr>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E445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45D8"/>
    <w:rPr>
      <w:rFonts w:ascii="Lucida Grande" w:eastAsiaTheme="minorEastAsia" w:hAnsi="Lucida Grande" w:cs="Lucida Grande"/>
      <w:sz w:val="24"/>
      <w:szCs w:val="24"/>
    </w:rPr>
  </w:style>
  <w:style w:type="paragraph" w:styleId="BodyText">
    <w:name w:val="Body Text"/>
    <w:basedOn w:val="Normal"/>
    <w:link w:val="BodyTextChar"/>
    <w:rsid w:val="005C6A90"/>
    <w:pPr>
      <w:spacing w:after="140" w:line="276" w:lineRule="auto"/>
    </w:pPr>
    <w:rPr>
      <w:rFonts w:eastAsia="Calibri" w:cs="Times New Roman"/>
    </w:rPr>
  </w:style>
  <w:style w:type="character" w:customStyle="1" w:styleId="BodyTextChar">
    <w:name w:val="Body Text Char"/>
    <w:basedOn w:val="DefaultParagraphFont"/>
    <w:link w:val="BodyText"/>
    <w:rsid w:val="005C6A90"/>
    <w:rPr>
      <w:rFonts w:ascii="Calibri" w:eastAsia="Calibri" w:hAnsi="Calibri" w:cs="Times New Roman"/>
      <w:szCs w:val="24"/>
    </w:rPr>
  </w:style>
  <w:style w:type="character" w:styleId="FootnoteReference">
    <w:name w:val="footnote reference"/>
    <w:basedOn w:val="DefaultParagraphFont"/>
    <w:uiPriority w:val="99"/>
    <w:unhideWhenUsed/>
    <w:rsid w:val="00E716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quote/MRNA:US"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loomberg.com/quote/0746610D: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oomberg.com/news/articles/2021-06-03/eu-s-trade-response-to-pandemic-stops-short-of-vaccine-ip-waiver"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loomberg.com/quote/BNTX: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ec.europa.eu/commission/presscorner/detail/en/STATEMENT_21_2361"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www.citizenstrade.org/ctc/wp-content/uploads/2021/06/COVIDTRIPSWaiver_SignOnLtr2_062221.pdf" TargetMode="External"/><Relationship Id="rId4" Type="http://schemas.openxmlformats.org/officeDocument/2006/relationships/settings" Target="settings.xml"/><Relationship Id="rId9" Type="http://schemas.openxmlformats.org/officeDocument/2006/relationships/hyperlink" Target="https://pmindiaun.gov.in/public_files/assets/pdf/Statement_as_delivered_on_Waiver_Proposal.pdf" TargetMode="External"/><Relationship Id="rId14" Type="http://schemas.openxmlformats.org/officeDocument/2006/relationships/hyperlink" Target="https://www.bloomberg.com/quote/PFE: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hyperlink" Target="https://www.who.int/director-general/speeches/detail/who-director-general-s-opening-remarks-at-the-wto---who-high-level-dialogue-expanding-covid-19-vaccine-manufacture-to-promote-equitable-access" TargetMode="External"/><Relationship Id="rId3" Type="http://schemas.openxmlformats.org/officeDocument/2006/relationships/styles" Target="styles.xml"/><Relationship Id="rId12" Type="http://schemas.openxmlformats.org/officeDocument/2006/relationships/hyperlink" Target="https://twitter.com/AmbassadorTai/status/1390021205974003720?s=20" TargetMode="External"/><Relationship Id="rId17" Type="http://schemas.openxmlformats.org/officeDocument/2006/relationships/hyperlink" Target="https://gh.bmj.com/content/6/6/e006504)//ML"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theme" Target="theme/theme1.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D6B97-EB11-48F4-B0B7-CBB58F99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10871</Words>
  <Characters>61968</Characters>
  <Application>Microsoft Office Word</Application>
  <DocSecurity>0</DocSecurity>
  <Lines>516</Lines>
  <Paragraphs>145</Paragraphs>
  <ScaleCrop>false</ScaleCrop>
  <Company/>
  <LinksUpToDate>false</LinksUpToDate>
  <CharactersWithSpaces>72694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Salkin, Margalit</cp:lastModifiedBy>
  <cp:revision>3</cp:revision>
  <dcterms:created xsi:type="dcterms:W3CDTF">2021-09-18T14:48:00Z</dcterms:created>
  <dcterms:modified xsi:type="dcterms:W3CDTF">2021-09-18T14:59:00Z</dcterms:modified>
</cp:coreProperties>
</file>