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25E745" w14:textId="77777777" w:rsidR="009B26A4" w:rsidRPr="00701BAD" w:rsidRDefault="009B26A4" w:rsidP="009B26A4">
      <w:pPr>
        <w:pStyle w:val="Heading4"/>
      </w:pPr>
      <w:r>
        <w:t xml:space="preserve">Interpretation: the affirmative must defend the hypothetical implementation of the resolution or a subset thereof – </w:t>
      </w:r>
    </w:p>
    <w:p w14:paraId="42262CB1" w14:textId="77777777" w:rsidR="009B26A4" w:rsidRPr="007E6262" w:rsidRDefault="009B26A4" w:rsidP="009B26A4">
      <w:pPr>
        <w:pStyle w:val="Heading4"/>
        <w:tabs>
          <w:tab w:val="num" w:pos="1440"/>
        </w:tabs>
        <w:rPr>
          <w:rFonts w:cs="Calibri"/>
        </w:rPr>
      </w:pPr>
      <w:r w:rsidRPr="007E6262">
        <w:rPr>
          <w:rFonts w:cs="Calibri"/>
        </w:rPr>
        <w:t>Appropriation includes making space unusable.</w:t>
      </w:r>
    </w:p>
    <w:p w14:paraId="4D8D47FC" w14:textId="77777777" w:rsidR="009B26A4" w:rsidRPr="002401A3" w:rsidRDefault="009B26A4" w:rsidP="009B26A4">
      <w:pPr>
        <w:rPr>
          <w:rStyle w:val="Hyperlink"/>
        </w:rPr>
      </w:pPr>
      <w:r w:rsidRPr="002401A3">
        <w:t xml:space="preserve">Stephen </w:t>
      </w:r>
      <w:r w:rsidRPr="002401A3">
        <w:rPr>
          <w:b/>
          <w:bCs/>
          <w:sz w:val="26"/>
          <w:szCs w:val="26"/>
        </w:rPr>
        <w:t>Gorove, 69</w:t>
      </w:r>
      <w:r w:rsidRPr="002401A3">
        <w:t xml:space="preserve"> - ("Interpreting Article II of the Outer Space Treaty" 1969, 12-10-2021 https://ir.lawnet.fordham.edu/cgi/viewcontent.cgi?article=1966&amp;context=flr)//AW</w:t>
      </w:r>
    </w:p>
    <w:p w14:paraId="400F658A" w14:textId="77777777" w:rsidR="009B26A4" w:rsidRPr="002401A3" w:rsidRDefault="009B26A4" w:rsidP="009B26A4">
      <w:pPr>
        <w:rPr>
          <w:u w:val="single"/>
        </w:rPr>
      </w:pPr>
      <w:r w:rsidRPr="002401A3">
        <w:rPr>
          <w:sz w:val="12"/>
        </w:rPr>
        <w:t xml:space="preserve">With respect to the concept of appropriation the basic question is what constitutes "appropriation," as used in the Treaty, especially in contradistinction to casual or temporary use. </w:t>
      </w:r>
      <w:r w:rsidRPr="002401A3">
        <w:rPr>
          <w:u w:val="single"/>
        </w:rPr>
        <w:t>The term "</w:t>
      </w:r>
      <w:r w:rsidRPr="002401A3">
        <w:rPr>
          <w:highlight w:val="yellow"/>
          <w:u w:val="single"/>
        </w:rPr>
        <w:t>appropriation" is used</w:t>
      </w:r>
      <w:r w:rsidRPr="002401A3">
        <w:rPr>
          <w:sz w:val="12"/>
        </w:rPr>
        <w:t xml:space="preserve"> most frequently </w:t>
      </w:r>
      <w:r w:rsidRPr="002401A3">
        <w:rPr>
          <w:highlight w:val="yellow"/>
          <w:u w:val="single"/>
        </w:rPr>
        <w:t>to denote</w:t>
      </w:r>
      <w:r w:rsidRPr="002401A3">
        <w:rPr>
          <w:sz w:val="12"/>
        </w:rPr>
        <w:t xml:space="preserve"> the </w:t>
      </w:r>
      <w:r w:rsidRPr="002401A3">
        <w:rPr>
          <w:highlight w:val="yellow"/>
          <w:u w:val="single"/>
        </w:rPr>
        <w:t>taking</w:t>
      </w:r>
      <w:r w:rsidRPr="002401A3">
        <w:rPr>
          <w:u w:val="single"/>
        </w:rPr>
        <w:t xml:space="preserve"> of </w:t>
      </w:r>
      <w:r w:rsidRPr="002401A3">
        <w:rPr>
          <w:highlight w:val="yellow"/>
          <w:u w:val="single"/>
        </w:rPr>
        <w:t>property for</w:t>
      </w:r>
      <w:r w:rsidRPr="002401A3">
        <w:rPr>
          <w:sz w:val="12"/>
        </w:rPr>
        <w:t xml:space="preserve"> one's own or </w:t>
      </w:r>
      <w:r w:rsidRPr="002401A3">
        <w:rPr>
          <w:highlight w:val="yellow"/>
          <w:u w:val="single"/>
        </w:rPr>
        <w:t>exclusive use</w:t>
      </w:r>
      <w:r w:rsidRPr="002401A3">
        <w:rPr>
          <w:u w:val="single"/>
        </w:rPr>
        <w:t xml:space="preserve"> with</w:t>
      </w:r>
      <w:r w:rsidRPr="002401A3">
        <w:rPr>
          <w:sz w:val="12"/>
        </w:rPr>
        <w:t xml:space="preserve"> a sense of </w:t>
      </w:r>
      <w:r w:rsidRPr="002401A3">
        <w:rPr>
          <w:u w:val="single"/>
        </w:rPr>
        <w:t>permanence.</w:t>
      </w:r>
      <w:r w:rsidRPr="002401A3">
        <w:rPr>
          <w:sz w:val="12"/>
        </w:rPr>
        <w:t xml:space="preserve"> Under such interpretation the establishment of a permanent settlement or the </w:t>
      </w:r>
      <w:r w:rsidRPr="002401A3">
        <w:rPr>
          <w:highlight w:val="yellow"/>
          <w:u w:val="single"/>
        </w:rPr>
        <w:t>carrying out of commercial activities</w:t>
      </w:r>
      <w:r w:rsidRPr="002401A3">
        <w:rPr>
          <w:sz w:val="12"/>
        </w:rPr>
        <w:t xml:space="preserve"> by nationals of a country on a celestial body </w:t>
      </w:r>
      <w:r w:rsidRPr="002401A3">
        <w:rPr>
          <w:highlight w:val="yellow"/>
          <w:u w:val="single"/>
        </w:rPr>
        <w:t>may constitute</w:t>
      </w:r>
      <w:r w:rsidRPr="002401A3">
        <w:rPr>
          <w:sz w:val="12"/>
        </w:rPr>
        <w:t xml:space="preserve"> national </w:t>
      </w:r>
      <w:r w:rsidRPr="002401A3">
        <w:rPr>
          <w:u w:val="single"/>
        </w:rPr>
        <w:t xml:space="preserve">appropriation </w:t>
      </w:r>
      <w:r w:rsidRPr="002401A3">
        <w:rPr>
          <w:sz w:val="12"/>
        </w:rPr>
        <w:t xml:space="preserve">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w:t>
      </w:r>
      <w:r w:rsidRPr="002401A3">
        <w:rPr>
          <w:u w:val="single"/>
        </w:rPr>
        <w:t xml:space="preserve">any </w:t>
      </w:r>
      <w:r w:rsidRPr="002401A3">
        <w:rPr>
          <w:highlight w:val="yellow"/>
          <w:u w:val="single"/>
        </w:rPr>
        <w:t>use involving consumption</w:t>
      </w:r>
      <w:r w:rsidRPr="002401A3">
        <w:rPr>
          <w:u w:val="single"/>
        </w:rPr>
        <w:t xml:space="preserve"> </w:t>
      </w:r>
      <w:r w:rsidRPr="002401A3">
        <w:rPr>
          <w:highlight w:val="yellow"/>
          <w:u w:val="single"/>
        </w:rPr>
        <w:t>or</w:t>
      </w:r>
      <w:r w:rsidRPr="002401A3">
        <w:rPr>
          <w:u w:val="single"/>
        </w:rPr>
        <w:t xml:space="preserve"> taking with intention of </w:t>
      </w:r>
      <w:r w:rsidRPr="002401A3">
        <w:rPr>
          <w:highlight w:val="yellow"/>
          <w:u w:val="single"/>
        </w:rPr>
        <w:t>keeping for one's own</w:t>
      </w:r>
      <w:r w:rsidRPr="002401A3">
        <w:rPr>
          <w:sz w:val="12"/>
        </w:rPr>
        <w:t xml:space="preserve"> exclusive </w:t>
      </w:r>
      <w:r w:rsidRPr="002401A3">
        <w:rPr>
          <w:highlight w:val="yellow"/>
          <w:u w:val="single"/>
        </w:rPr>
        <w:t>use would amount to appropriation</w:t>
      </w:r>
    </w:p>
    <w:p w14:paraId="29B7348E" w14:textId="77777777" w:rsidR="009B26A4" w:rsidRDefault="009B26A4" w:rsidP="009B26A4">
      <w:pPr>
        <w:pStyle w:val="Heading4"/>
      </w:pPr>
      <w:r>
        <w:t>Outer space begins at one hundred kilometers above sea level.</w:t>
      </w:r>
    </w:p>
    <w:p w14:paraId="7467E1C2" w14:textId="77777777" w:rsidR="009B26A4" w:rsidRPr="005843FA" w:rsidRDefault="009B26A4" w:rsidP="009B26A4">
      <w:pPr>
        <w:rPr>
          <w:rStyle w:val="Style13ptBold"/>
        </w:rPr>
      </w:pPr>
      <w:r>
        <w:rPr>
          <w:rStyle w:val="Style13ptBold"/>
        </w:rPr>
        <w:t>Pershing 19</w:t>
      </w:r>
    </w:p>
    <w:p w14:paraId="504CB5D4" w14:textId="77777777" w:rsidR="009B26A4" w:rsidRPr="002C6856" w:rsidRDefault="009B26A4" w:rsidP="009B26A4">
      <w:pPr>
        <w:rPr>
          <w:sz w:val="16"/>
        </w:rPr>
      </w:pPr>
      <w:r w:rsidRPr="005843FA">
        <w:rPr>
          <w:sz w:val="16"/>
        </w:rPr>
        <w:t>Abigail Pershing (J.D. Candidate @ Yale, B.A. UChicago). “Interpreting the Outer Space Treaty’s Non-Appropriation Principle: Customary International Law from 1967 to Today.” Yale Journal of International Law 44, no. 1. 2019. JDN. https://digitalcommons.law.yale.edu/cgi/viewcontent.cgi?article=1697&amp;context=yjil</w:t>
      </w:r>
    </w:p>
    <w:p w14:paraId="29E864A7" w14:textId="77777777" w:rsidR="009B26A4" w:rsidRDefault="009B26A4" w:rsidP="009B26A4">
      <w:pPr>
        <w:rPr>
          <w:sz w:val="12"/>
        </w:rPr>
      </w:pPr>
      <w:r w:rsidRPr="00245B1E">
        <w:rPr>
          <w:sz w:val="12"/>
        </w:rPr>
        <w:t xml:space="preserve">A. An Introduction to the Outer Space Treaty ¶ Even </w:t>
      </w:r>
      <w:r w:rsidRPr="00245B1E">
        <w:rPr>
          <w:rStyle w:val="StyleUnderline"/>
          <w:highlight w:val="yellow"/>
        </w:rPr>
        <w:t>defining “space” is</w:t>
      </w:r>
      <w:r w:rsidRPr="00245B1E">
        <w:rPr>
          <w:rStyle w:val="StyleUnderline"/>
        </w:rPr>
        <w:t xml:space="preserve"> itself a legally </w:t>
      </w:r>
      <w:r w:rsidRPr="00245B1E">
        <w:rPr>
          <w:rStyle w:val="StyleUnderline"/>
          <w:highlight w:val="yellow"/>
        </w:rPr>
        <w:t>fraught</w:t>
      </w:r>
      <w:r w:rsidRPr="00245B1E">
        <w:rPr>
          <w:rStyle w:val="StyleUnderline"/>
        </w:rPr>
        <w:t xml:space="preserve"> exercise</w:t>
      </w:r>
      <w:r w:rsidRPr="00245B1E">
        <w:rPr>
          <w:sz w:val="12"/>
        </w:rPr>
        <w:t xml:space="preserve">—where does the Earth’s atmosphere end and space begin? Various legal theories have been advanced to demarcate this limit.11 There is no universally accepted boundary, but </w:t>
      </w:r>
      <w:r w:rsidRPr="00245B1E">
        <w:rPr>
          <w:rStyle w:val="Emphasis"/>
          <w:highlight w:val="yellow"/>
        </w:rPr>
        <w:t>the Kármán line, at an altitude of one hundred kilometers</w:t>
      </w:r>
      <w:r w:rsidRPr="00245B1E">
        <w:rPr>
          <w:sz w:val="12"/>
        </w:rPr>
        <w:t xml:space="preserve"> (sixty-two miles) </w:t>
      </w:r>
      <w:r w:rsidRPr="00245B1E">
        <w:rPr>
          <w:rStyle w:val="Emphasis"/>
          <w:highlight w:val="yellow"/>
        </w:rPr>
        <w:t>above sea level, is the most widely recognized.</w:t>
      </w:r>
      <w:r w:rsidRPr="00245B1E">
        <w:rPr>
          <w:sz w:val="12"/>
        </w:rPr>
        <w:t>12</w:t>
      </w:r>
    </w:p>
    <w:p w14:paraId="536A1DF4" w14:textId="77777777" w:rsidR="009B26A4" w:rsidRDefault="009B26A4" w:rsidP="009B26A4">
      <w:pPr>
        <w:rPr>
          <w:sz w:val="12"/>
        </w:rPr>
      </w:pPr>
    </w:p>
    <w:p w14:paraId="290BF7D4" w14:textId="77777777" w:rsidR="009B26A4" w:rsidRDefault="009B26A4" w:rsidP="009B26A4">
      <w:pPr>
        <w:pStyle w:val="Heading4"/>
      </w:pPr>
      <w:r>
        <w:t>Private entities mean commercial groups. Cornell Law:</w:t>
      </w:r>
    </w:p>
    <w:p w14:paraId="4B2F3FDB" w14:textId="77777777" w:rsidR="009B26A4" w:rsidRPr="00DA6153" w:rsidRDefault="009B26A4" w:rsidP="009B26A4">
      <w:r w:rsidRPr="00DA6153">
        <w:t>https://www.law.cornell.edu/definitions/uscode.php?width=840&amp;height=800&amp;iframe=true&amp;def_id=6-USC-625312480-168358316&amp;term_occur=999&amp;term_src=title:6:chapter:6:subchapter:I:section:1501</w:t>
      </w:r>
    </w:p>
    <w:p w14:paraId="6EB1851B" w14:textId="77777777" w:rsidR="009B26A4" w:rsidRPr="00DA6153" w:rsidRDefault="009B26A4" w:rsidP="009B26A4">
      <w:pPr>
        <w:rPr>
          <w:sz w:val="12"/>
        </w:rPr>
      </w:pPr>
      <w:r w:rsidRPr="00DA6153">
        <w:rPr>
          <w:sz w:val="12"/>
        </w:rPr>
        <w:t>(A) In general Except as otherwise provided in this paragraph, the term “</w:t>
      </w:r>
      <w:r w:rsidRPr="00DA6153">
        <w:rPr>
          <w:rStyle w:val="StyleUnderline"/>
          <w:highlight w:val="yellow"/>
        </w:rPr>
        <w:t>private entity</w:t>
      </w:r>
      <w:r w:rsidRPr="00DA6153">
        <w:rPr>
          <w:sz w:val="12"/>
        </w:rPr>
        <w:t xml:space="preserve">” </w:t>
      </w:r>
      <w:r w:rsidRPr="00DA6153">
        <w:rPr>
          <w:rStyle w:val="StyleUnderline"/>
          <w:highlight w:val="yellow"/>
        </w:rPr>
        <w:t>means any person or private group, organization, proprietorship, partnership, trust, cooperative, corporation, or other commercial or nonprofit entity</w:t>
      </w:r>
      <w:r w:rsidRPr="00DA6153">
        <w:rPr>
          <w:sz w:val="12"/>
        </w:rPr>
        <w:t>, including an officer, employee, or agent thereof.</w:t>
      </w:r>
    </w:p>
    <w:p w14:paraId="2B4C40C4" w14:textId="77777777" w:rsidR="009B26A4" w:rsidRDefault="009B26A4" w:rsidP="009B26A4">
      <w:pPr>
        <w:pStyle w:val="Heading4"/>
        <w:rPr>
          <w:rFonts w:ascii="Open Sans" w:hAnsi="Open Sans" w:cs="Open Sans"/>
          <w:color w:val="212529"/>
          <w:spacing w:val="3"/>
          <w:sz w:val="27"/>
          <w:szCs w:val="27"/>
          <w:bdr w:val="none" w:sz="0" w:space="0" w:color="auto" w:frame="1"/>
          <w:shd w:val="clear" w:color="auto" w:fill="FFFFFF"/>
        </w:rPr>
      </w:pPr>
    </w:p>
    <w:p w14:paraId="275D5EAB" w14:textId="77777777" w:rsidR="009B26A4" w:rsidRPr="00D92843" w:rsidRDefault="009B26A4" w:rsidP="009B26A4">
      <w:pPr>
        <w:pStyle w:val="Heading4"/>
      </w:pPr>
      <w:r>
        <w:rPr>
          <w:rFonts w:ascii="Open Sans" w:hAnsi="Open Sans" w:cs="Open Sans"/>
          <w:color w:val="212529"/>
          <w:spacing w:val="3"/>
          <w:sz w:val="27"/>
          <w:szCs w:val="27"/>
          <w:bdr w:val="none" w:sz="0" w:space="0" w:color="auto" w:frame="1"/>
          <w:shd w:val="clear" w:color="auto" w:fill="FFFFFF"/>
        </w:rPr>
        <w:t>Unjust is the opposite of right or in violation of somebody else’s rights.</w:t>
      </w:r>
      <w:r>
        <w:rPr>
          <w:rFonts w:ascii="Open Sans" w:hAnsi="Open Sans" w:cs="Open Sans"/>
          <w:color w:val="212529"/>
          <w:spacing w:val="3"/>
          <w:sz w:val="27"/>
          <w:szCs w:val="27"/>
          <w:bdr w:val="none" w:sz="0" w:space="0" w:color="auto" w:frame="1"/>
          <w:shd w:val="clear" w:color="auto" w:fill="FFFFFF"/>
        </w:rPr>
        <w:br/>
      </w:r>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44059A31" w14:textId="77777777" w:rsidR="009B26A4" w:rsidRPr="00163BAD" w:rsidRDefault="009B26A4" w:rsidP="009B26A4">
      <w:pPr>
        <w:rPr>
          <w:sz w:val="14"/>
        </w:rPr>
      </w:pPr>
      <w:r w:rsidRPr="00163BAD">
        <w:rPr>
          <w:rStyle w:val="Emphasis"/>
          <w:highlight w:val="yellow"/>
        </w:rPr>
        <w:t>Contrary to right and justice</w:t>
      </w:r>
      <w:r w:rsidRPr="00163BAD">
        <w:rPr>
          <w:sz w:val="14"/>
          <w:highlight w:val="yellow"/>
        </w:rPr>
        <w:t>,</w:t>
      </w:r>
      <w:r w:rsidRPr="00163BAD">
        <w:rPr>
          <w:sz w:val="14"/>
        </w:rPr>
        <w:t xml:space="preserve"> </w:t>
      </w:r>
      <w:r w:rsidRPr="00163BAD">
        <w:rPr>
          <w:rStyle w:val="StyleUnderline"/>
          <w:highlight w:val="yellow"/>
        </w:rPr>
        <w:t>or to the enjoyment of his rights by another</w:t>
      </w:r>
      <w:r w:rsidRPr="00163BAD">
        <w:rPr>
          <w:sz w:val="14"/>
        </w:rPr>
        <w:t>, or to the standards of conduct furnished by the laws.</w:t>
      </w:r>
    </w:p>
    <w:p w14:paraId="25F91C00" w14:textId="77777777" w:rsidR="009B26A4" w:rsidRDefault="009B26A4" w:rsidP="009B26A4">
      <w:pPr>
        <w:pStyle w:val="Heading4"/>
      </w:pPr>
    </w:p>
    <w:p w14:paraId="60B3E971" w14:textId="77777777" w:rsidR="009B26A4" w:rsidRDefault="009B26A4" w:rsidP="009B26A4">
      <w:pPr>
        <w:pStyle w:val="Heading4"/>
      </w:pPr>
      <w:r>
        <w:t xml:space="preserve">Vote negative – there is a distinction between debate as an institution and debate as a game, and while the affs intervention may or may not be effective on an institutional level, the ballot only signifies a win or loss within debate as a game </w:t>
      </w:r>
    </w:p>
    <w:p w14:paraId="710F6BCA" w14:textId="77777777" w:rsidR="009B26A4" w:rsidRDefault="009B26A4" w:rsidP="009B26A4">
      <w:pPr>
        <w:pStyle w:val="Heading4"/>
      </w:pPr>
      <w:r>
        <w:t>We are both in this round primarily to get a win - its why we all adhere to other rules of the game like speech times and prep time, even if breaking those norms might make the debate “better” – its why you would vote neg if they read a 10 hour long AC about why speech time constraints are bad</w:t>
      </w:r>
    </w:p>
    <w:p w14:paraId="77A7191E" w14:textId="77777777" w:rsidR="009B26A4" w:rsidRDefault="009B26A4" w:rsidP="009B26A4">
      <w:pPr>
        <w:pStyle w:val="Heading4"/>
      </w:pPr>
      <w:r>
        <w:t>Not reading a topical aff creates incredible structural advantages for the aff – they get first and last speech and perms which means without a stable advocacy they get to morph their aff into whatever minimizes direct clash, and allows for a retreat to moral high ground</w:t>
      </w:r>
    </w:p>
    <w:p w14:paraId="607B9419" w14:textId="77777777" w:rsidR="009B26A4" w:rsidRDefault="009B26A4" w:rsidP="009B26A4">
      <w:pPr>
        <w:pStyle w:val="Heading4"/>
      </w:pPr>
      <w:r>
        <w:t xml:space="preserve">You don’t have to disagree with the aff to vote neg. But, the ballot is fundamentally tied to the structure of the </w:t>
      </w:r>
      <w:r w:rsidRPr="004701EA">
        <w:rPr>
          <w:i/>
          <w:u w:val="single"/>
        </w:rPr>
        <w:t>game</w:t>
      </w:r>
      <w:r>
        <w:t xml:space="preserve"> of debate, not the </w:t>
      </w:r>
      <w:r>
        <w:rPr>
          <w:i/>
          <w:u w:val="single"/>
        </w:rPr>
        <w:t>institution</w:t>
      </w:r>
      <w:r>
        <w:t>, which means that your ballot can only ascribe who did a better job playing the game that we agreed upon before the start of the tournament.</w:t>
      </w:r>
    </w:p>
    <w:p w14:paraId="7FED7B30" w14:textId="77777777" w:rsidR="009B26A4" w:rsidRDefault="009B26A4" w:rsidP="009B26A4"/>
    <w:p w14:paraId="549BE728" w14:textId="77777777" w:rsidR="009B26A4" w:rsidRDefault="009B26A4" w:rsidP="009B26A4">
      <w:pPr>
        <w:pStyle w:val="Heading4"/>
      </w:pPr>
      <w:r>
        <w:t xml:space="preserve">There’s two Impacts – </w:t>
      </w:r>
    </w:p>
    <w:p w14:paraId="7BFFDA25" w14:textId="77777777" w:rsidR="009B26A4" w:rsidRDefault="009B26A4" w:rsidP="009B26A4">
      <w:pPr>
        <w:pStyle w:val="Heading4"/>
        <w:numPr>
          <w:ilvl w:val="0"/>
          <w:numId w:val="12"/>
        </w:numPr>
        <w:tabs>
          <w:tab w:val="num" w:pos="360"/>
        </w:tabs>
        <w:ind w:left="360"/>
      </w:pPr>
      <w:r>
        <w:t>Clash – Non-T affs avoid meaningful objections by preventing effective prep. This is supercharged by the Aff not being disclosed open source. That link turns all their research and subjectivity arguments. We can’t deploy new research strategies or cultivate new dispositions to power structures if we can’t effectively evaluate the arguments. Clash is a pre-requisite to debate, because we use competitive argumentation to understand and internalize attitudes and knowledge. That’s what distinguishes debate from other forms of learning.</w:t>
      </w:r>
    </w:p>
    <w:p w14:paraId="2160BDDF" w14:textId="77777777" w:rsidR="009B26A4" w:rsidRPr="00FB252F" w:rsidRDefault="009B26A4" w:rsidP="009B26A4">
      <w:pPr>
        <w:pStyle w:val="Heading4"/>
        <w:numPr>
          <w:ilvl w:val="0"/>
          <w:numId w:val="12"/>
        </w:numPr>
        <w:tabs>
          <w:tab w:val="num" w:pos="360"/>
        </w:tabs>
        <w:ind w:left="360"/>
      </w:pPr>
      <w:r>
        <w:t xml:space="preserve">Iterative argumentative testing – for example, think about how the India aff transformed over the course of the Compulsory Voting topic. The first tournament was generic democracy and turnout arguments, but by the end of October debates centered around third level analysis of vote-banking and whether Modi’s nationalism was self-driven or a response to his voter base – the ability to subject controversial ideas to rigorous testing allows debaters to better engage in the research process, discern what arguments are most accurate, and learn how to refine our own beliefs to become more compelling advocates – not reading a plan allows a constant spew of new content that never reaches those high levels of contestation without the constraints of the topic – Even if this topic isn’t the perfect topic, the predictability of debates under it are </w:t>
      </w:r>
      <w:r w:rsidRPr="00FB252F">
        <w:t xml:space="preserve">worth potential substantive tradeoff. Limits produce a rigorous </w:t>
      </w:r>
      <w:r w:rsidRPr="00EA2791">
        <w:rPr>
          <w:i/>
        </w:rPr>
        <w:t xml:space="preserve">culture of justification </w:t>
      </w:r>
      <w:r w:rsidRPr="00FB252F">
        <w:t xml:space="preserve">instead of a culture of </w:t>
      </w:r>
      <w:r w:rsidRPr="00EA2791">
        <w:rPr>
          <w:i/>
        </w:rPr>
        <w:t>assertion</w:t>
      </w:r>
      <w:r w:rsidRPr="00FB252F">
        <w:t xml:space="preserve"> or </w:t>
      </w:r>
      <w:r w:rsidRPr="00EA2791">
        <w:rPr>
          <w:i/>
        </w:rPr>
        <w:t>presumption</w:t>
      </w:r>
      <w:r w:rsidRPr="00FB252F">
        <w:t>.  Without a bridge for subjecting beliefs to a rigorous test, we are left with might-makes-right.</w:t>
      </w:r>
      <w:r>
        <w:t xml:space="preserve"> This link turns the Aff again, because our ability to develop critical subjectivities that can </w:t>
      </w:r>
      <w:r w:rsidRPr="00762875">
        <w:rPr>
          <w:i/>
        </w:rPr>
        <w:t>strategically</w:t>
      </w:r>
      <w:r>
        <w:t xml:space="preserve"> challenge power structures necessitates this type of argument culture.</w:t>
      </w:r>
    </w:p>
    <w:p w14:paraId="1760D461" w14:textId="77777777" w:rsidR="009B26A4" w:rsidRPr="00FB252F" w:rsidRDefault="009B26A4" w:rsidP="009B26A4">
      <w:pPr>
        <w:rPr>
          <w:sz w:val="16"/>
        </w:rPr>
      </w:pPr>
      <w:r w:rsidRPr="00FB252F">
        <w:rPr>
          <w:sz w:val="16"/>
        </w:rPr>
        <w:t xml:space="preserve">Cheryl </w:t>
      </w:r>
      <w:r w:rsidRPr="00FB252F">
        <w:rPr>
          <w:rStyle w:val="Style13ptBold"/>
        </w:rPr>
        <w:t>MISAK</w:t>
      </w:r>
      <w:r w:rsidRPr="00FB252F">
        <w:rPr>
          <w:sz w:val="16"/>
        </w:rPr>
        <w:t xml:space="preserve"> Philosophy @ Toronto </w:t>
      </w:r>
      <w:r w:rsidRPr="00FB252F">
        <w:rPr>
          <w:rStyle w:val="Style13ptBold"/>
        </w:rPr>
        <w:t>‘8</w:t>
      </w:r>
      <w:r w:rsidRPr="00FB252F">
        <w:rPr>
          <w:sz w:val="16"/>
        </w:rPr>
        <w:t xml:space="preserve"> “A Culture of Justification: The Pragmatist's Epistemic Argument for Democracy” </w:t>
      </w:r>
      <w:r w:rsidRPr="00FB252F">
        <w:rPr>
          <w:i/>
          <w:sz w:val="16"/>
        </w:rPr>
        <w:t>Episteme</w:t>
      </w:r>
      <w:r w:rsidRPr="00FB252F">
        <w:rPr>
          <w:sz w:val="16"/>
        </w:rPr>
        <w:t xml:space="preserve"> 5 (1) p. 100-104</w:t>
      </w:r>
    </w:p>
    <w:p w14:paraId="78C041D6" w14:textId="77777777" w:rsidR="009B26A4" w:rsidRDefault="009B26A4" w:rsidP="009B26A4">
      <w:pPr>
        <w:rPr>
          <w:sz w:val="16"/>
        </w:rPr>
      </w:pPr>
      <w:r w:rsidRPr="00FB252F">
        <w:rPr>
          <w:sz w:val="16"/>
        </w:rPr>
        <w:t xml:space="preserve">The charge that </w:t>
      </w:r>
      <w:r w:rsidRPr="00FB252F">
        <w:rPr>
          <w:rStyle w:val="StyleUnderline"/>
        </w:rPr>
        <w:t>Rorty</w:t>
      </w:r>
      <w:r w:rsidRPr="00FB252F">
        <w:rPr>
          <w:sz w:val="16"/>
        </w:rPr>
        <w:t xml:space="preserve"> has had to face again and again </w:t>
      </w:r>
      <w:r w:rsidRPr="00FB252F">
        <w:rPr>
          <w:rStyle w:val="StyleUnderline"/>
        </w:rPr>
        <w:t>is</w:t>
      </w:r>
      <w:r w:rsidRPr="00FB252F">
        <w:rPr>
          <w:sz w:val="16"/>
        </w:rPr>
        <w:t xml:space="preserve"> that he </w:t>
      </w:r>
      <w:r w:rsidRPr="00FB252F">
        <w:rPr>
          <w:rStyle w:val="StyleUnderline"/>
        </w:rPr>
        <w:t>really</w:t>
      </w:r>
      <w:r w:rsidRPr="00FB252F">
        <w:rPr>
          <w:sz w:val="16"/>
        </w:rPr>
        <w:t xml:space="preserve"> is </w:t>
      </w:r>
      <w:r w:rsidRPr="00FB252F">
        <w:rPr>
          <w:rStyle w:val="StyleUnderline"/>
        </w:rPr>
        <w:t>a relativist,</w:t>
      </w:r>
      <w:r w:rsidRPr="00FB252F">
        <w:rPr>
          <w:sz w:val="16"/>
        </w:rPr>
        <w:t xml:space="preserve"> </w:t>
      </w:r>
      <w:r w:rsidRPr="00FB252F">
        <w:rPr>
          <w:rStyle w:val="StyleUnderline"/>
        </w:rPr>
        <w:t xml:space="preserve">holding </w:t>
      </w:r>
      <w:r w:rsidRPr="00FB252F">
        <w:rPr>
          <w:sz w:val="16"/>
        </w:rPr>
        <w:t xml:space="preserve">that one belief is no better than another, and that </w:t>
      </w:r>
      <w:r w:rsidRPr="00FB252F">
        <w:rPr>
          <w:rStyle w:val="StyleUnderline"/>
        </w:rPr>
        <w:t>one must “treat the epistemic standards of any and every epistemic community as on a par</w:t>
      </w:r>
      <w:r w:rsidRPr="00FB252F">
        <w:rPr>
          <w:sz w:val="16"/>
        </w:rPr>
        <w:t xml:space="preserve">” (Haack 1995, 136). </w:t>
      </w:r>
      <w:r w:rsidRPr="00FB252F">
        <w:rPr>
          <w:rStyle w:val="StyleUnderline"/>
        </w:rPr>
        <w:t>Rorty</w:t>
      </w:r>
      <w:r w:rsidRPr="00FB252F">
        <w:rPr>
          <w:sz w:val="16"/>
        </w:rPr>
        <w:t xml:space="preserve">, that is, </w:t>
      </w:r>
      <w:r w:rsidRPr="00FB252F">
        <w:rPr>
          <w:rStyle w:val="StyleUnderline"/>
        </w:rPr>
        <w:t xml:space="preserve">leaves us with no way of adjudicating claims that arise in different communities. </w:t>
      </w:r>
      <w:r w:rsidRPr="00FB252F">
        <w:rPr>
          <w:sz w:val="16"/>
        </w:rPr>
        <w:t xml:space="preserve">It is argued that this is not only an unsatisfactory view, but </w:t>
      </w:r>
      <w:r w:rsidRPr="00FB252F">
        <w:rPr>
          <w:rStyle w:val="StyleUnderline"/>
        </w:rPr>
        <w:t>it is incompatible with his commitment to his own set of beliefs and with his practice of arguing or giving reasons for them.</w:t>
      </w:r>
      <w:r w:rsidRPr="00FB252F">
        <w:rPr>
          <w:sz w:val="16"/>
        </w:rPr>
        <w:t xml:space="preserve"> Peirce would join in this charge, arguing that </w:t>
      </w:r>
      <w:r w:rsidRPr="00FB252F">
        <w:rPr>
          <w:rStyle w:val="StyleUnderline"/>
        </w:rPr>
        <w:t>it is the community of inquirers or reasoners that matter, not this or that local community</w:t>
      </w:r>
      <w:r w:rsidRPr="00FB252F">
        <w:rPr>
          <w:sz w:val="16"/>
        </w:rPr>
        <w:t xml:space="preserve">. </w:t>
      </w:r>
      <w:r w:rsidRPr="00FB252F">
        <w:rPr>
          <w:rStyle w:val="StyleUnderline"/>
        </w:rPr>
        <w:t>One of Rorty’s responses</w:t>
      </w:r>
      <w:r w:rsidRPr="00FB252F">
        <w:rPr>
          <w:sz w:val="16"/>
        </w:rPr>
        <w:t xml:space="preserve"> to this clutch of objections </w:t>
      </w:r>
      <w:r w:rsidRPr="00FB252F">
        <w:rPr>
          <w:rStyle w:val="StyleUnderline"/>
        </w:rPr>
        <w:t xml:space="preserve">is </w:t>
      </w:r>
      <w:r w:rsidRPr="00FB252F">
        <w:rPr>
          <w:rStyle w:val="StyleUnderline"/>
          <w:highlight w:val="cyan"/>
        </w:rPr>
        <w:t>to say</w:t>
      </w:r>
      <w:r w:rsidRPr="00FB252F">
        <w:rPr>
          <w:sz w:val="16"/>
        </w:rPr>
        <w:t xml:space="preserve"> that he doesn’t have to treat the epistemic standards of every community as on a par: “I prize communities which share more background beliefs with me above those which share fewer” (Rorty 1995b, 153). </w:t>
      </w:r>
      <w:r w:rsidRPr="00FB252F">
        <w:rPr>
          <w:rStyle w:val="StyleUnderline"/>
          <w:highlight w:val="cyan"/>
        </w:rPr>
        <w:t>There is nothing incoherent about asserting</w:t>
      </w:r>
      <w:r w:rsidRPr="00FB252F">
        <w:rPr>
          <w:rStyle w:val="StyleUnderline"/>
        </w:rPr>
        <w:t xml:space="preserve"> that </w:t>
      </w:r>
      <w:r w:rsidRPr="00FB252F">
        <w:rPr>
          <w:rStyle w:val="StyleUnderline"/>
          <w:highlight w:val="cyan"/>
        </w:rPr>
        <w:t xml:space="preserve">your community has it right, </w:t>
      </w:r>
      <w:r w:rsidRPr="00FB252F">
        <w:rPr>
          <w:rStyle w:val="StyleUnderline"/>
        </w:rPr>
        <w:t>for all “right” amounts to is what your community agrees upon</w:t>
      </w:r>
      <w:r w:rsidRPr="00FB252F">
        <w:rPr>
          <w:sz w:val="16"/>
        </w:rPr>
        <w:t xml:space="preserve">. I have argued (2000, 12ff) that this kind of comeback puts Rorty in a very difficult position, </w:t>
      </w:r>
      <w:r w:rsidRPr="00FB252F">
        <w:rPr>
          <w:rStyle w:val="StyleUnderline"/>
          <w:highlight w:val="cyan"/>
        </w:rPr>
        <w:t>giving him nothing to say against</w:t>
      </w:r>
      <w:r w:rsidRPr="00FB252F">
        <w:rPr>
          <w:rStyle w:val="StyleUnderline"/>
        </w:rPr>
        <w:t xml:space="preserve"> the likes of Carl </w:t>
      </w:r>
      <w:r w:rsidRPr="00FB252F">
        <w:rPr>
          <w:rStyle w:val="StyleUnderline"/>
          <w:highlight w:val="cyan"/>
        </w:rPr>
        <w:t>Schmitt</w:t>
      </w:r>
      <w:r w:rsidRPr="00FB252F">
        <w:rPr>
          <w:rStyle w:val="StyleUnderline"/>
        </w:rPr>
        <w:t xml:space="preserve">, the fascist legal philosopher </w:t>
      </w:r>
      <w:r w:rsidRPr="00FB252F">
        <w:rPr>
          <w:rStyle w:val="StyleUnderline"/>
          <w:highlight w:val="cyan"/>
        </w:rPr>
        <w:t>who</w:t>
      </w:r>
      <w:r w:rsidRPr="00FB252F">
        <w:rPr>
          <w:rStyle w:val="StyleUnderline"/>
        </w:rPr>
        <w:t xml:space="preserve"> found it natural to join the Nazi bandwagon</w:t>
      </w:r>
      <w:r w:rsidRPr="00FB252F">
        <w:rPr>
          <w:sz w:val="16"/>
        </w:rPr>
        <w:t xml:space="preserve">. </w:t>
      </w:r>
      <w:r w:rsidRPr="00FB252F">
        <w:rPr>
          <w:rStyle w:val="StyleUnderline"/>
        </w:rPr>
        <w:t>Schmitt</w:t>
      </w:r>
      <w:r w:rsidRPr="00FB252F">
        <w:rPr>
          <w:sz w:val="16"/>
        </w:rPr>
        <w:t xml:space="preserve">, like Rorty, </w:t>
      </w:r>
      <w:r w:rsidRPr="00FB252F">
        <w:rPr>
          <w:rStyle w:val="StyleUnderline"/>
          <w:highlight w:val="cyan"/>
        </w:rPr>
        <w:t>argued</w:t>
      </w:r>
      <w:r w:rsidRPr="00FB252F">
        <w:rPr>
          <w:rStyle w:val="StyleUnderline"/>
        </w:rPr>
        <w:t xml:space="preserve"> that </w:t>
      </w:r>
      <w:r w:rsidRPr="00FB252F">
        <w:rPr>
          <w:rStyle w:val="StyleUnderline"/>
          <w:highlight w:val="cyan"/>
        </w:rPr>
        <w:t>there is no truth</w:t>
      </w:r>
      <w:r w:rsidRPr="00FB252F">
        <w:rPr>
          <w:rStyle w:val="StyleUnderline"/>
        </w:rPr>
        <w:t xml:space="preserve"> and rationality </w:t>
      </w:r>
      <w:r w:rsidRPr="00FB252F">
        <w:rPr>
          <w:rStyle w:val="StyleUnderline"/>
          <w:highlight w:val="cyan"/>
        </w:rPr>
        <w:t>in politics</w:t>
      </w:r>
      <w:r w:rsidRPr="00FB252F">
        <w:rPr>
          <w:sz w:val="16"/>
        </w:rPr>
        <w:t xml:space="preserve">. Rather, </w:t>
      </w:r>
      <w:r w:rsidRPr="00FB252F">
        <w:rPr>
          <w:rStyle w:val="StyleUnderline"/>
          <w:highlight w:val="cyan"/>
        </w:rPr>
        <w:t>politics is the arena in which groups assert themselves</w:t>
      </w:r>
      <w:r w:rsidRPr="00FB252F">
        <w:rPr>
          <w:sz w:val="16"/>
        </w:rPr>
        <w:t xml:space="preserve">, with the strongest coming out on top and the weaker groups disappearing. </w:t>
      </w:r>
      <w:r w:rsidRPr="00FB252F">
        <w:rPr>
          <w:rStyle w:val="StyleUnderline"/>
        </w:rPr>
        <w:t>One makes an existential choice – opts for a conception of the good – and then tries to attain “substantive homogeneity” in the population</w:t>
      </w:r>
      <w:r w:rsidRPr="00FB252F">
        <w:rPr>
          <w:sz w:val="16"/>
        </w:rPr>
        <w:t xml:space="preserve">. </w:t>
      </w:r>
      <w:r w:rsidRPr="00FB252F">
        <w:rPr>
          <w:rStyle w:val="StyleUnderline"/>
          <w:highlight w:val="cyan"/>
        </w:rPr>
        <w:t>Might ends up being right and the elimination of those who disagree</w:t>
      </w:r>
      <w:r w:rsidRPr="00FB252F">
        <w:rPr>
          <w:rStyle w:val="StyleUnderline"/>
        </w:rPr>
        <w:t xml:space="preserve"> with us </w:t>
      </w:r>
      <w:r w:rsidRPr="00FB252F">
        <w:rPr>
          <w:rStyle w:val="StyleUnderline"/>
          <w:highlight w:val="cyan"/>
        </w:rPr>
        <w:t>ends up being a fine method of reaching</w:t>
      </w:r>
      <w:r w:rsidRPr="00FB252F">
        <w:rPr>
          <w:rStyle w:val="StyleUnderline"/>
        </w:rPr>
        <w:t xml:space="preserve"> our political </w:t>
      </w:r>
      <w:r w:rsidRPr="00FB252F">
        <w:rPr>
          <w:rStyle w:val="StyleUnderline"/>
          <w:highlight w:val="cyan"/>
        </w:rPr>
        <w:t>decisions</w:t>
      </w:r>
      <w:r w:rsidRPr="00FB252F">
        <w:rPr>
          <w:sz w:val="16"/>
        </w:rPr>
        <w:t xml:space="preserve">. A democrat or liberal like Rorty has an impossible time in giving us – and himself – reasons for opting for his view rather than his fascist opponent’s view. Once you give up aiming at truth, once you give up aiming at something that goes beyond the standards of your own community, then you give up the wherewithal to argue against the might-is-right view. The charge I am trying to answer here, on behalf of the non-Rortian pragmatist, is that mixing truth and politics is dangerous. One of the points I want to make is that, whatever the dangers are in saying morals and politics aim at the truth, the dangers of denying it are even more alarming. If we were to get rid of the notion of truth, nothing would protect us from the idea that there is nothing to get right, no better or worse action, and no better or worse way of treating others. Nothing would protect us from the Schmittian worldview. Another point is that </w:t>
      </w:r>
      <w:r w:rsidRPr="00FB252F">
        <w:rPr>
          <w:rStyle w:val="StyleUnderline"/>
          <w:highlight w:val="cyan"/>
        </w:rPr>
        <w:t>the pragmatist view</w:t>
      </w:r>
      <w:r w:rsidRPr="00FB252F">
        <w:rPr>
          <w:rStyle w:val="StyleUnderline"/>
        </w:rPr>
        <w:t xml:space="preserve"> </w:t>
      </w:r>
      <w:r w:rsidRPr="00FB252F">
        <w:rPr>
          <w:rStyle w:val="StyleUnderline"/>
          <w:highlight w:val="cyan"/>
        </w:rPr>
        <w:t>encourages</w:t>
      </w:r>
      <w:r w:rsidRPr="00FB252F">
        <w:rPr>
          <w:sz w:val="16"/>
        </w:rPr>
        <w:t xml:space="preserve"> something which is downright salutary, not dangerous at all. It encourages </w:t>
      </w:r>
      <w:r w:rsidRPr="00FB252F">
        <w:rPr>
          <w:rStyle w:val="StyleUnderline"/>
          <w:highlight w:val="cyan"/>
        </w:rPr>
        <w:t xml:space="preserve">a </w:t>
      </w:r>
      <w:r w:rsidRPr="00FB252F">
        <w:rPr>
          <w:rStyle w:val="Emphasis"/>
          <w:highlight w:val="cyan"/>
        </w:rPr>
        <w:t>culture of justification</w:t>
      </w:r>
      <w:r w:rsidRPr="00FB252F">
        <w:rPr>
          <w:sz w:val="16"/>
          <w:highlight w:val="cyan"/>
        </w:rPr>
        <w:t xml:space="preserve">, </w:t>
      </w:r>
      <w:r w:rsidRPr="00FB252F">
        <w:rPr>
          <w:rStyle w:val="StyleUnderline"/>
          <w:highlight w:val="cyan"/>
        </w:rPr>
        <w:t>a culture the importance of which grows as we face the challenges of living in a global society with worldviews struggling against each other</w:t>
      </w:r>
      <w:r w:rsidRPr="00FB252F">
        <w:rPr>
          <w:rStyle w:val="StyleUnderline"/>
        </w:rPr>
        <w:t>.</w:t>
      </w:r>
      <w:r w:rsidRPr="00FB252F">
        <w:rPr>
          <w:sz w:val="16"/>
        </w:rPr>
        <w:t xml:space="preserve"> </w:t>
      </w:r>
      <w:r w:rsidRPr="00FB252F">
        <w:rPr>
          <w:rStyle w:val="StyleUnderline"/>
        </w:rPr>
        <w:t>This thought was prominent in the debate about how the new democratic order in South Africa should be conceived</w:t>
      </w:r>
      <w:r w:rsidRPr="00FB252F">
        <w:rPr>
          <w:sz w:val="16"/>
        </w:rPr>
        <w:t xml:space="preserve">. Here is how Etienne Murienik put it: If </w:t>
      </w:r>
      <w:r w:rsidRPr="00FB252F">
        <w:rPr>
          <w:rStyle w:val="StyleUnderline"/>
        </w:rPr>
        <w:t>the new constitution is a bridge away from a culture of authority, it is clear what it must be a bridge to. It must lead to a culture of justification – a culture in which every exercise of power is expected to be justified; in which the leadership given by government rests on the cogency of the case offered in defense of its decisions, not the fear inspired by the force of its command</w:t>
      </w:r>
      <w:r w:rsidRPr="00FB252F">
        <w:rPr>
          <w:sz w:val="16"/>
        </w:rPr>
        <w:t xml:space="preserve">. </w:t>
      </w:r>
      <w:r w:rsidRPr="00FB252F">
        <w:rPr>
          <w:rStyle w:val="StyleUnderline"/>
          <w:highlight w:val="cyan"/>
        </w:rPr>
        <w:t>The new order must be</w:t>
      </w:r>
      <w:r w:rsidRPr="00FB252F">
        <w:rPr>
          <w:rStyle w:val="StyleUnderline"/>
        </w:rPr>
        <w:t xml:space="preserve"> a community </w:t>
      </w:r>
      <w:r w:rsidRPr="00FB252F">
        <w:rPr>
          <w:rStyle w:val="StyleUnderline"/>
          <w:highlight w:val="cyan"/>
        </w:rPr>
        <w:t>built on persuasion</w:t>
      </w:r>
      <w:r w:rsidRPr="00FB252F">
        <w:rPr>
          <w:rStyle w:val="StyleUnderline"/>
        </w:rPr>
        <w:t>,</w:t>
      </w:r>
      <w:r w:rsidRPr="00FB252F">
        <w:rPr>
          <w:sz w:val="16"/>
        </w:rPr>
        <w:t xml:space="preserve"> not on coercion.4 A final point rests on the nature of the kinds of answers the pragmatist envisions. Rorty and Rawls seem to think that any view of truth carries with it the idea that there is one and only one true answer to every question. It is important to see that, </w:t>
      </w:r>
      <w:r w:rsidRPr="00FB252F">
        <w:rPr>
          <w:rStyle w:val="StyleUnderline"/>
        </w:rPr>
        <w:t xml:space="preserve">whatever the case might be for other views of truth, the pragmatist’s view of truth does not entail anything about the precise nature of right answers. </w:t>
      </w:r>
      <w:r w:rsidRPr="00FB252F">
        <w:rPr>
          <w:sz w:val="16"/>
        </w:rPr>
        <w:t xml:space="preserve">On the Peircean view of truth, it might be true that the best solution to a problem is to compromise in a certain way. Or a question might have a number of equally right answers: it might be true that either A or B or C is an acceptable solution to a problem. That is, </w:t>
      </w:r>
      <w:r w:rsidRPr="00FB252F">
        <w:rPr>
          <w:rStyle w:val="StyleUnderline"/>
          <w:highlight w:val="cyan"/>
        </w:rPr>
        <w:t>bringing truth into politics need not result in a view on which one theory of the good triumphs over the other</w:t>
      </w:r>
      <w:r w:rsidRPr="00FB252F">
        <w:rPr>
          <w:sz w:val="16"/>
        </w:rPr>
        <w:t xml:space="preserve">s. Indeed, the pragmatist account of truth does not require agreement at the end of the day (whatever that might mean) and it does not require the consent of all who are affected by a particular decision here and now. The right answer to a question might be one that only a few see is right. </w:t>
      </w:r>
      <w:r w:rsidRPr="00FB252F">
        <w:rPr>
          <w:rStyle w:val="StyleUnderline"/>
          <w:highlight w:val="cyan"/>
        </w:rPr>
        <w:t>A right answer is the one that would be best</w:t>
      </w:r>
      <w:r w:rsidRPr="00FB252F">
        <w:rPr>
          <w:rStyle w:val="StyleUnderline"/>
        </w:rPr>
        <w:t xml:space="preserve"> – would stand up to the evidence and arguments – </w:t>
      </w:r>
      <w:r w:rsidRPr="00FB252F">
        <w:rPr>
          <w:rStyle w:val="StyleUnderline"/>
          <w:highlight w:val="cyan"/>
        </w:rPr>
        <w:t>were we to inquire into the matter as far as we</w:t>
      </w:r>
      <w:r w:rsidRPr="00FB252F">
        <w:rPr>
          <w:rStyle w:val="StyleUnderline"/>
        </w:rPr>
        <w:t xml:space="preserve"> fruitfully </w:t>
      </w:r>
      <w:r w:rsidRPr="00FB252F">
        <w:rPr>
          <w:rStyle w:val="StyleUnderline"/>
          <w:highlight w:val="cyan"/>
        </w:rPr>
        <w:t>could</w:t>
      </w:r>
      <w:r w:rsidRPr="00FB252F">
        <w:rPr>
          <w:sz w:val="16"/>
        </w:rPr>
        <w:t xml:space="preserve">. That is, </w:t>
      </w:r>
      <w:r w:rsidRPr="00FB252F">
        <w:rPr>
          <w:rStyle w:val="StyleUnderline"/>
          <w:highlight w:val="cyan"/>
        </w:rPr>
        <w:t>we are not</w:t>
      </w:r>
      <w:r w:rsidRPr="00FB252F">
        <w:rPr>
          <w:rStyle w:val="StyleUnderline"/>
        </w:rPr>
        <w:t xml:space="preserve"> primarily </w:t>
      </w:r>
      <w:r w:rsidRPr="00FB252F">
        <w:rPr>
          <w:rStyle w:val="StyleUnderline"/>
          <w:highlight w:val="cyan"/>
        </w:rPr>
        <w:t xml:space="preserve">aiming at agreement in deliberation </w:t>
      </w:r>
      <w:r w:rsidRPr="00FB252F">
        <w:rPr>
          <w:sz w:val="16"/>
          <w:highlight w:val="cyan"/>
        </w:rPr>
        <w:t xml:space="preserve">– </w:t>
      </w:r>
      <w:r w:rsidRPr="00FB252F">
        <w:rPr>
          <w:rStyle w:val="StyleUnderline"/>
          <w:highlight w:val="cyan"/>
        </w:rPr>
        <w:t>we are aiming at getting a view that will stand up to</w:t>
      </w:r>
      <w:r w:rsidRPr="00FB252F">
        <w:rPr>
          <w:rStyle w:val="StyleUnderline"/>
        </w:rPr>
        <w:t xml:space="preserve"> reasons and </w:t>
      </w:r>
      <w:r w:rsidRPr="00FB252F">
        <w:rPr>
          <w:rStyle w:val="StyleUnderline"/>
          <w:highlight w:val="cyan"/>
        </w:rPr>
        <w:t>evidence</w:t>
      </w:r>
      <w:r w:rsidRPr="00FB252F">
        <w:rPr>
          <w:b/>
          <w:sz w:val="16"/>
        </w:rPr>
        <w:t>.</w:t>
      </w:r>
      <w:r w:rsidRPr="00FB252F">
        <w:rPr>
          <w:sz w:val="16"/>
        </w:rPr>
        <w:t xml:space="preserve"> That said, there may be cases in moral and especially political deliberation in which we do aim for agreement because we think that what will best stand up to reasons in that case is a solution that is agreed upon by all or by all who are affected. But this will be just one kind of case amongst many. Right answers aren’t necessarily answers that are acceptable by all. Nor are right answers necessarily those that resolve a conflict with a compromise, although sometimes a compromise or cooperative solution may indeed be what is required. Nor is bargaining always not conducive to truth – in some cases, that may be exactly what is required. This view of truth does not lead to zeal, oppression, closing off of discussion, or a squashing of pluralism, even if it might happen to be the case that there is only one reasonable conception of the good out there. The idea is that we are always aiming at getting the best answer – whatever that may be – and to do that we need to take into account the views of all. 6 . WHO DECIDES? One of the first questions put to those who would like to think of politics as a species of truth-oriented deliberation is this: why deliberate with the ignorant multitude? Would it not be better to expose our moral and political beliefs only to the reasons and experience of experts? Science, after all, doesn’t work by asking the person in the street what he or she thinks about quantum mechanics. The reason that the pragmatist’s epistemic justification is a justification of democratic politics, rather than of a hierarchical politics, in which an elite makes decisions, is that we do not and will not ever have an identifiable pool of moral and political experts. Dewey saw this clearly. As experts become specialized, “they are shut off from knowledge of the needs which they are supposed to serve” (Dewey 1926/1984, 364). </w:t>
      </w:r>
      <w:r w:rsidRPr="00FB252F">
        <w:rPr>
          <w:rStyle w:val="StyleUnderline"/>
        </w:rPr>
        <w:t>Everyone engages in moral and political deliberation and it is not obvious that having special education makes you better at it</w:t>
      </w:r>
      <w:r w:rsidRPr="00FB252F">
        <w:rPr>
          <w:sz w:val="16"/>
        </w:rPr>
        <w:t xml:space="preserve"> – just look at priests, politicians, and moral philosophers/political theorists and ask yourself if they seem especially decent or especially wise when it comes to practical matters. Some people are good at examining moral and politi\cal issues, but it’s not clear that they are the ones trained to do so. Even if we could identify genuinely wise people, this kind of expertise is liable to be corrupted merely by being identified – merely by the wise person starting to think of herself as a moral expert.5 And it is far from clear that the rule of the wise would really take the views and experiences of all into account better than the democratic rule of the people. So </w:t>
      </w:r>
      <w:r w:rsidRPr="00FB252F">
        <w:rPr>
          <w:rStyle w:val="StyleUnderline"/>
          <w:highlight w:val="cyan"/>
        </w:rPr>
        <w:t xml:space="preserve">how do we distinguish deliberating well and </w:t>
      </w:r>
      <w:r w:rsidRPr="00FB252F">
        <w:rPr>
          <w:rStyle w:val="StyleUnderline"/>
        </w:rPr>
        <w:t xml:space="preserve">deliberating </w:t>
      </w:r>
      <w:r w:rsidRPr="00FB252F">
        <w:rPr>
          <w:rStyle w:val="StyleUnderline"/>
          <w:highlight w:val="cyan"/>
        </w:rPr>
        <w:t>badly if we cannot appeal to education and training?</w:t>
      </w:r>
      <w:r w:rsidRPr="00FB252F">
        <w:rPr>
          <w:sz w:val="16"/>
        </w:rPr>
        <w:t xml:space="preserve"> No account of deliberative democracy can ignore the call to make the distinction. The trouble is that, in saying what good, as opposed to poor, deliberation amounts to, one finds oneself facing a justificatory problem: how can we specify what good deliberation is without simply assuming that our current standards of deliberation and inquiry are the gold standards? (This is the deep and central question of pragmatism: how do genuine norms arise out of contingent practices?) It will be unsurprising that I agree with Robert Talisse that the way forward is to focus on an epistemic justification of the whole range of deliberative virtues. Some of the </w:t>
      </w:r>
      <w:r w:rsidRPr="00FB252F">
        <w:rPr>
          <w:rStyle w:val="StyleUnderline"/>
          <w:highlight w:val="cyan"/>
        </w:rPr>
        <w:t>virtues</w:t>
      </w:r>
      <w:r w:rsidRPr="00FB252F">
        <w:rPr>
          <w:sz w:val="16"/>
        </w:rPr>
        <w:t xml:space="preserve"> we think </w:t>
      </w:r>
      <w:r w:rsidRPr="00FB252F">
        <w:rPr>
          <w:rStyle w:val="StyleUnderline"/>
          <w:highlight w:val="cyan"/>
        </w:rPr>
        <w:t>important in inquiry are open-mindedness</w:t>
      </w:r>
      <w:r w:rsidRPr="00FB252F">
        <w:rPr>
          <w:sz w:val="16"/>
        </w:rPr>
        <w:t xml:space="preserve">, </w:t>
      </w:r>
      <w:r w:rsidRPr="00FB252F">
        <w:rPr>
          <w:rStyle w:val="StyleUnderline"/>
        </w:rPr>
        <w:t xml:space="preserve">courage, </w:t>
      </w:r>
      <w:r w:rsidRPr="00FB252F">
        <w:rPr>
          <w:rStyle w:val="StyleUnderline"/>
          <w:highlight w:val="cyan"/>
        </w:rPr>
        <w:t>honesty</w:t>
      </w:r>
      <w:r w:rsidRPr="00FB252F">
        <w:rPr>
          <w:rStyle w:val="StyleUnderline"/>
        </w:rPr>
        <w:t xml:space="preserve">, integrity, rigor, </w:t>
      </w:r>
      <w:r w:rsidRPr="00FB252F">
        <w:rPr>
          <w:rStyle w:val="StyleUnderline"/>
          <w:highlight w:val="cyan"/>
        </w:rPr>
        <w:t>willingness to listen</w:t>
      </w:r>
      <w:r w:rsidRPr="00FB252F">
        <w:rPr>
          <w:rStyle w:val="StyleUnderline"/>
        </w:rPr>
        <w:t xml:space="preserve"> to the views of others </w:t>
      </w:r>
      <w:r w:rsidRPr="00FB252F">
        <w:rPr>
          <w:rStyle w:val="StyleUnderline"/>
          <w:highlight w:val="cyan"/>
        </w:rPr>
        <w:t>and to</w:t>
      </w:r>
      <w:r w:rsidRPr="00FB252F">
        <w:rPr>
          <w:rStyle w:val="StyleUnderline"/>
        </w:rPr>
        <w:t xml:space="preserve"> seriously </w:t>
      </w:r>
      <w:r w:rsidRPr="00FB252F">
        <w:rPr>
          <w:rStyle w:val="StyleUnderline"/>
          <w:highlight w:val="cyan"/>
        </w:rPr>
        <w:t>entertain challenges to one’s own views</w:t>
      </w:r>
      <w:r w:rsidRPr="00FB252F">
        <w:rPr>
          <w:rStyle w:val="StyleUnderline"/>
        </w:rPr>
        <w:t>, willingness to put oneself in another’s shoes</w:t>
      </w:r>
      <w:r w:rsidRPr="00FB252F">
        <w:rPr>
          <w:sz w:val="16"/>
        </w:rPr>
        <w:t xml:space="preserve">, and the like. These virtues may well have a number of kinds of justifications – justifications, for instance, with their origins in the canons of etiquette or in this or that substantive moral or religious view. Politeness and Christianity (do unto others . . . ), for instance,may both dictate that we should listen to the views of others. But this kind of justification doesn’t break out of the circle of local practices. Talisse argues that the virtues are justified because they lead to true belief. Listening to others is not merely the polite thing to do, but it is also good because we might learn something. The epistemic argument I have presented on Peirce’s behalf gets us this far: </w:t>
      </w:r>
      <w:r w:rsidRPr="00FB252F">
        <w:rPr>
          <w:rStyle w:val="StyleUnderline"/>
        </w:rPr>
        <w:t xml:space="preserve">we need to expose our beliefs to the views of others if we are to follow a method that will get us good or better or true beliefs. </w:t>
      </w:r>
      <w:r w:rsidRPr="00FB252F">
        <w:rPr>
          <w:sz w:val="16"/>
        </w:rPr>
        <w:t xml:space="preserve">Talisse takes us the next step – there are other characteristics that make one an inquirer who aims at the truth. </w:t>
      </w:r>
      <w:r w:rsidRPr="00FB252F">
        <w:rPr>
          <w:rStyle w:val="StyleUnderline"/>
        </w:rPr>
        <w:t>Honesty is the trait of following reasons and evidence, rather than self-interest. Modesty is the trait of taking your views to be fallible</w:t>
      </w:r>
      <w:r w:rsidRPr="00FB252F">
        <w:rPr>
          <w:sz w:val="16"/>
        </w:rPr>
        <w:t xml:space="preserve">. </w:t>
      </w:r>
      <w:r w:rsidRPr="00FB252F">
        <w:rPr>
          <w:rStyle w:val="StyleUnderline"/>
        </w:rPr>
        <w:t>Charity is willingness to listen to the views of others. Integrity is willingness to uphold the deliberative process, no matter the difficulties encountered</w:t>
      </w:r>
      <w:r w:rsidRPr="00FB252F">
        <w:rPr>
          <w:sz w:val="16"/>
        </w:rPr>
        <w:t xml:space="preserve">. </w:t>
      </w:r>
      <w:r w:rsidRPr="00FB252F">
        <w:rPr>
          <w:rStyle w:val="StyleUnderline"/>
          <w:highlight w:val="cyan"/>
        </w:rPr>
        <w:t>The distinction between deliberating well</w:t>
      </w:r>
      <w:r w:rsidRPr="00FB252F">
        <w:rPr>
          <w:sz w:val="16"/>
        </w:rPr>
        <w:t xml:space="preserve"> (having deliberative virtues) </w:t>
      </w:r>
      <w:r w:rsidRPr="00FB252F">
        <w:rPr>
          <w:rStyle w:val="StyleUnderline"/>
          <w:highlight w:val="cyan"/>
        </w:rPr>
        <w:t>and deliberating badly</w:t>
      </w:r>
      <w:r w:rsidRPr="00FB252F">
        <w:rPr>
          <w:sz w:val="16"/>
        </w:rPr>
        <w:t xml:space="preserve"> (having deliberative vices), that is, </w:t>
      </w:r>
      <w:r w:rsidRPr="00FB252F">
        <w:rPr>
          <w:rStyle w:val="StyleUnderline"/>
          <w:highlight w:val="cyan"/>
        </w:rPr>
        <w:t>is drawn in terms of whether a method promotes beliefs which are responsive to and fit with the reasons and evidence</w:t>
      </w:r>
      <w:r w:rsidRPr="00FB252F">
        <w:rPr>
          <w:sz w:val="16"/>
        </w:rPr>
        <w:t xml:space="preserve">. 7 . THE SOURCE OF AUTHORITY The pragmatist has offered us a compelling reason to take the views of others seriously and encourage the values associated with deliberative democratic politics. For </w:t>
      </w:r>
      <w:r w:rsidRPr="00FB252F">
        <w:rPr>
          <w:rStyle w:val="StyleUnderline"/>
          <w:highlight w:val="cyan"/>
        </w:rPr>
        <w:t>inquirers must engage in the ongoing project of continually subjecting their beliefs to the tests of further experience and argument</w:t>
      </w:r>
      <w:r w:rsidRPr="00FB252F">
        <w:rPr>
          <w:sz w:val="16"/>
        </w:rPr>
        <w:t>. The virtues inherent in a deliberative model of democratic citizenship must be cultivated if we are to come to good beliefs about how to treat others, how to resolve conflicts, and how to arrange society. The model of democratic citizenship which results is one that makes democratic citizenship part of a culture of justification. Citizens search for how best to structure our institutions and how best to live our lives. Democratic citizenship is a quest to get things right, with a genuine engagement in looking for right answers to pressing questions.</w:t>
      </w:r>
      <w:r w:rsidRPr="00FB252F">
        <w:rPr>
          <w:rStyle w:val="StyleUnderline"/>
        </w:rPr>
        <w:t>We are not after mere agreement and we are not after the transformation of initial preferences into something that others can accept</w:t>
      </w:r>
      <w:r w:rsidRPr="00FB252F">
        <w:rPr>
          <w:sz w:val="16"/>
        </w:rPr>
        <w:t xml:space="preserve">. </w:t>
      </w:r>
      <w:r w:rsidRPr="00FB252F">
        <w:rPr>
          <w:rStyle w:val="StyleUnderline"/>
          <w:highlight w:val="cyan"/>
        </w:rPr>
        <w:t>We aim at</w:t>
      </w:r>
      <w:r w:rsidRPr="00FB252F">
        <w:rPr>
          <w:rStyle w:val="StyleUnderline"/>
        </w:rPr>
        <w:t xml:space="preserve"> </w:t>
      </w:r>
      <w:r w:rsidRPr="00FB252F">
        <w:rPr>
          <w:sz w:val="16"/>
        </w:rPr>
        <w:t xml:space="preserve">getting things right – at </w:t>
      </w:r>
      <w:r w:rsidRPr="00FB252F">
        <w:rPr>
          <w:rStyle w:val="StyleUnderline"/>
          <w:highlight w:val="cyan"/>
        </w:rPr>
        <w:t>getting beliefs that would</w:t>
      </w:r>
      <w:r w:rsidRPr="00FB252F">
        <w:rPr>
          <w:rStyle w:val="StyleUnderline"/>
        </w:rPr>
        <w:t xml:space="preserve"> forever </w:t>
      </w:r>
      <w:r w:rsidRPr="00FB252F">
        <w:rPr>
          <w:rStyle w:val="StyleUnderline"/>
          <w:highlight w:val="cyan"/>
        </w:rPr>
        <w:t>stand up to scrutiny</w:t>
      </w:r>
      <w:r w:rsidRPr="00FB252F">
        <w:rPr>
          <w:rStyle w:val="StyleUnderline"/>
        </w:rPr>
        <w:t>.</w:t>
      </w:r>
      <w:r w:rsidRPr="00FB252F">
        <w:rPr>
          <w:sz w:val="16"/>
        </w:rPr>
        <w:t xml:space="preserve"> In so aiming, citizens commit themselves to abiding by the decisions produced by the democratic procedure. For those decisions are the best we can do here and now. Here we find the justification of the coercive power of democracies. Eventually there has to be a decision in politics. The question that faces all societies is who decides and who wields the power to coerce once the decision is made? My argument is that as more people deliberate and more reasons and experience go into the mix, it will become more likely that the decisions made will account for the reasons and experience of all. The more likely, that is, that the answer will be right. Decisions produced by a democratic deliberative process are made by a rational method and so they are enforceable.</w:t>
      </w:r>
    </w:p>
    <w:p w14:paraId="02AA9C37" w14:textId="77777777" w:rsidR="009B26A4" w:rsidRDefault="009B26A4" w:rsidP="009B26A4">
      <w:pPr>
        <w:pStyle w:val="Heading4"/>
      </w:pPr>
      <w:r>
        <w:t>Frame procedural impacts through a lens of optimization – we don’t need to win that they make the game impossible, just relatively less effective. In the same way you would vote aff to reject a bad process CP even if there are theoretically solvency deficits based on certainty and immediacy – the fact that we still have some neg ground doesn’t mean that reading the cap k for the 87</w:t>
      </w:r>
      <w:r w:rsidRPr="004F240C">
        <w:rPr>
          <w:vertAlign w:val="superscript"/>
        </w:rPr>
        <w:t>th</w:t>
      </w:r>
      <w:r>
        <w:t xml:space="preserve"> time against a survival strategy aff is a good debate to have for anyone involved </w:t>
      </w:r>
    </w:p>
    <w:p w14:paraId="6637ABFE" w14:textId="77777777" w:rsidR="009B26A4" w:rsidRPr="004F240C" w:rsidRDefault="009B26A4" w:rsidP="009B26A4"/>
    <w:p w14:paraId="00CE0A18" w14:textId="77777777" w:rsidR="009B26A4" w:rsidRDefault="009B26A4" w:rsidP="009B26A4">
      <w:pPr>
        <w:pStyle w:val="Heading4"/>
      </w:pPr>
      <w:r>
        <w:t xml:space="preserve">They have no offense </w:t>
      </w:r>
    </w:p>
    <w:p w14:paraId="7B65E487" w14:textId="77777777" w:rsidR="009B26A4" w:rsidRDefault="009B26A4" w:rsidP="009B26A4">
      <w:pPr>
        <w:pStyle w:val="Heading4"/>
        <w:numPr>
          <w:ilvl w:val="0"/>
          <w:numId w:val="13"/>
        </w:numPr>
      </w:pPr>
      <w:r>
        <w:t>View T impacts as a process, not a product – any education impact about their content being important are solved by reading a book – filter impacts through what is unique to the process of debating itself</w:t>
      </w:r>
    </w:p>
    <w:p w14:paraId="0EFCF686" w14:textId="77777777" w:rsidR="009B26A4" w:rsidRDefault="009B26A4" w:rsidP="009B26A4">
      <w:pPr>
        <w:pStyle w:val="Heading4"/>
        <w:numPr>
          <w:ilvl w:val="0"/>
          <w:numId w:val="13"/>
        </w:numPr>
      </w:pPr>
      <w:r>
        <w:t>They get to read it on the neg – if their k of being topical is true then reading the aff as a K on the neg means they get auto-wins, we still access their education</w:t>
      </w:r>
    </w:p>
    <w:p w14:paraId="198A2BDA" w14:textId="77777777" w:rsidR="009B26A4" w:rsidRDefault="009B26A4" w:rsidP="009B26A4">
      <w:pPr>
        <w:pStyle w:val="Heading4"/>
        <w:numPr>
          <w:ilvl w:val="0"/>
          <w:numId w:val="13"/>
        </w:numPr>
      </w:pPr>
      <w:r>
        <w:t xml:space="preserve">The TVA solves – they could have read an aff that has a plantext-this would allow a discussion of the aff in a forum that allows us to have nuanced responses – yes, it isn’t perfect, but those imperfections are neg ground – if they aren’t forced to defend a controversy, then the meaning of any wins they get become hollow anyway which takes out solvency </w:t>
      </w:r>
    </w:p>
    <w:p w14:paraId="64C1145F"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Open Sans">
    <w:altName w:val="Lucida Grande"/>
    <w:charset w:val="00"/>
    <w:family w:val="swiss"/>
    <w:pitch w:val="variable"/>
    <w:sig w:usb0="E00002EF" w:usb1="4000205B" w:usb2="00000028"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879539A"/>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D061AF"/>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B26A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6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75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38BA3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B26A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B26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B26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B26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9B26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B26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26A4"/>
  </w:style>
  <w:style w:type="character" w:customStyle="1" w:styleId="Heading1Char">
    <w:name w:val="Heading 1 Char"/>
    <w:aliases w:val="Pocket Char"/>
    <w:basedOn w:val="DefaultParagraphFont"/>
    <w:link w:val="Heading1"/>
    <w:uiPriority w:val="9"/>
    <w:rsid w:val="009B26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B26A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B26A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9B26A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9B26A4"/>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9B26A4"/>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B1"/>
    <w:basedOn w:val="DefaultParagraphFont"/>
    <w:link w:val="textbold"/>
    <w:uiPriority w:val="20"/>
    <w:qFormat/>
    <w:rsid w:val="009B26A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B26A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9B26A4"/>
    <w:rPr>
      <w:color w:val="auto"/>
      <w:u w:val="none"/>
    </w:rPr>
  </w:style>
  <w:style w:type="paragraph" w:styleId="DocumentMap">
    <w:name w:val="Document Map"/>
    <w:basedOn w:val="Normal"/>
    <w:link w:val="DocumentMapChar"/>
    <w:uiPriority w:val="99"/>
    <w:semiHidden/>
    <w:unhideWhenUsed/>
    <w:rsid w:val="009B26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26A4"/>
    <w:rPr>
      <w:rFonts w:ascii="Lucida Grande" w:hAnsi="Lucida Grande" w:cs="Lucida Grande"/>
    </w:rPr>
  </w:style>
  <w:style w:type="paragraph" w:customStyle="1" w:styleId="textbold">
    <w:name w:val="text bold"/>
    <w:basedOn w:val="Normal"/>
    <w:link w:val="Emphasis"/>
    <w:uiPriority w:val="20"/>
    <w:qFormat/>
    <w:rsid w:val="009B26A4"/>
    <w:pPr>
      <w:ind w:left="720"/>
      <w:jc w:val="both"/>
    </w:pPr>
    <w:rPr>
      <w:rFonts w:cstheme="minorBidi"/>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
    <w:basedOn w:val="Heading1"/>
    <w:link w:val="Hyperlink"/>
    <w:autoRedefine/>
    <w:uiPriority w:val="99"/>
    <w:qFormat/>
    <w:rsid w:val="009B26A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thelawdictionary.org/unjust/"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op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62B3A5-B126-4D45-A92A-790845398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2935</Words>
  <Characters>16735</Characters>
  <Application>Microsoft Macintosh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19631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2022-02-05T22:20:00Z</dcterms:created>
  <dcterms:modified xsi:type="dcterms:W3CDTF">2022-02-05T22:20:00Z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