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0E96A" w14:textId="77777777" w:rsidR="008E3794" w:rsidRPr="00E8729B" w:rsidRDefault="008E3794" w:rsidP="008E3794">
      <w:pPr>
        <w:pStyle w:val="Heading1"/>
      </w:pPr>
      <w:r>
        <w:t>T appropriation</w:t>
      </w:r>
    </w:p>
    <w:p w14:paraId="76D76CCF" w14:textId="77777777" w:rsidR="008E3794" w:rsidRDefault="008E3794" w:rsidP="008E3794">
      <w:pPr>
        <w:pStyle w:val="Heading4"/>
      </w:pPr>
      <w:r>
        <w:t>Interpretation: Appropriation is permanently taking property for exclusive use. Gorove 69:</w:t>
      </w:r>
    </w:p>
    <w:p w14:paraId="41763138" w14:textId="77777777" w:rsidR="008E3794" w:rsidRPr="000E4564" w:rsidRDefault="008E3794" w:rsidP="008E3794">
      <w:r w:rsidRPr="000E4564">
        <w:t>Stephen Gorove, Interpreting Article II of the Outer Space Treaty, 37 Fordham L. Rev. 349 (1969). Available at: https://ir.lawnet.fordham.edu/flr/vol37/iss3/2</w:t>
      </w:r>
    </w:p>
    <w:p w14:paraId="6E4AFA19" w14:textId="77777777" w:rsidR="008E3794" w:rsidRPr="008C77F2" w:rsidRDefault="008E3794" w:rsidP="008E3794">
      <w:pPr>
        <w:ind w:left="720"/>
        <w:rPr>
          <w:sz w:val="16"/>
        </w:rPr>
      </w:pPr>
      <w:r w:rsidRPr="008C77F2">
        <w:rPr>
          <w:sz w:val="16"/>
        </w:rPr>
        <w:t xml:space="preserve">With respect to the concept of appropriation </w:t>
      </w:r>
      <w:r w:rsidRPr="008C77F2">
        <w:rPr>
          <w:rStyle w:val="StyleUnderline"/>
          <w:sz w:val="16"/>
          <w:u w:val="none"/>
        </w:rPr>
        <w:t>the basic question is what constitutes</w:t>
      </w:r>
      <w:r w:rsidRPr="00E06594">
        <w:rPr>
          <w:rStyle w:val="StyleUnderline"/>
        </w:rPr>
        <w:t xml:space="preserve">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8C77F2">
        <w:rPr>
          <w:sz w:val="16"/>
        </w:rPr>
        <w:t>, especially in contradistinction to casual or temporary use. The term "</w:t>
      </w:r>
      <w:r w:rsidRPr="008C77F2">
        <w:rPr>
          <w:rStyle w:val="StyleUnderline"/>
          <w:sz w:val="16"/>
          <w:u w:val="none"/>
        </w:rPr>
        <w:t>appropriation</w:t>
      </w:r>
      <w:r w:rsidRPr="008C77F2">
        <w:rPr>
          <w:sz w:val="16"/>
        </w:rPr>
        <w:t xml:space="preserve">" </w:t>
      </w:r>
      <w:r w:rsidRPr="00E06594">
        <w:rPr>
          <w:rStyle w:val="StyleUnderline"/>
          <w:highlight w:val="yellow"/>
        </w:rPr>
        <w:t>is</w:t>
      </w:r>
      <w:r w:rsidRPr="00E06594">
        <w:rPr>
          <w:rStyle w:val="StyleUnderline"/>
        </w:rPr>
        <w:t xml:space="preserve"> </w:t>
      </w:r>
      <w:r w:rsidRPr="008C77F2">
        <w:rPr>
          <w:rStyle w:val="StyleUnderline"/>
          <w:sz w:val="16"/>
          <w:u w:val="none"/>
        </w:rPr>
        <w:t>used</w:t>
      </w:r>
      <w:r w:rsidRPr="008C77F2">
        <w:rPr>
          <w:sz w:val="16"/>
        </w:rPr>
        <w:t xml:space="preserve"> most frequently </w:t>
      </w:r>
      <w:r w:rsidRPr="008C77F2">
        <w:rPr>
          <w:rStyle w:val="Emphasis"/>
          <w:b w:val="0"/>
          <w:bCs/>
          <w:sz w:val="16"/>
          <w:u w:val="none"/>
        </w:rPr>
        <w:t xml:space="preserve">to denote </w:t>
      </w:r>
      <w:r w:rsidRPr="00E06594">
        <w:rPr>
          <w:rStyle w:val="Emphasis"/>
          <w:highlight w:val="yellow"/>
        </w:rPr>
        <w:t>the taking of property for one's own or exclusive use with a sense of permanence.</w:t>
      </w:r>
      <w:r w:rsidRPr="008C77F2">
        <w:rPr>
          <w:sz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4D69793B" w14:textId="77777777" w:rsidR="008E3794" w:rsidRDefault="008E3794" w:rsidP="008E3794">
      <w:pPr>
        <w:pStyle w:val="Heading4"/>
      </w:pPr>
      <w:r>
        <w:t>Violation: the non-Appropriation principle does not apply to resource extraction. International consensus and rejection of the Moon Treaty support the distinction between sovereign ownership and resource extraction</w:t>
      </w:r>
    </w:p>
    <w:p w14:paraId="625CB8DA" w14:textId="77777777" w:rsidR="008E3794" w:rsidRDefault="008E3794" w:rsidP="008E3794">
      <w:r w:rsidRPr="00B540D6">
        <w:rPr>
          <w:rStyle w:val="StyleUnderline"/>
          <w:rFonts w:eastAsiaTheme="majorEastAsia" w:cstheme="majorBidi"/>
          <w:b/>
          <w:bCs/>
          <w:sz w:val="26"/>
          <w:szCs w:val="26"/>
          <w:u w:val="none"/>
        </w:rPr>
        <w:t>Wrench 19</w:t>
      </w:r>
      <w:r w:rsidRPr="00B540D6">
        <w:rPr>
          <w:rFonts w:eastAsiaTheme="majorEastAsia" w:cstheme="majorBidi"/>
          <w:b/>
          <w:bCs/>
          <w:sz w:val="26"/>
          <w:szCs w:val="26"/>
        </w:rPr>
        <w:t xml:space="preserve"> </w:t>
      </w:r>
      <w:r>
        <w:t xml:space="preserve">[John,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1A2C7D08" w14:textId="77777777" w:rsidR="008E3794" w:rsidRPr="008C77F2" w:rsidRDefault="008E3794" w:rsidP="008E3794">
      <w:pPr>
        <w:ind w:left="720"/>
        <w:rPr>
          <w:rStyle w:val="StyleUnderline"/>
          <w:sz w:val="16"/>
          <w:u w:val="none"/>
        </w:rPr>
      </w:pPr>
      <w:r w:rsidRPr="00E516A6">
        <w:rPr>
          <w:rStyle w:val="StyleUnderline"/>
          <w:highlight w:val="green"/>
        </w:rPr>
        <w:t>An interpretation</w:t>
      </w:r>
      <w:r w:rsidRPr="00274C66">
        <w:rPr>
          <w:rStyle w:val="StyleUnderline"/>
        </w:rPr>
        <w:t xml:space="preserve"> </w:t>
      </w:r>
      <w:r w:rsidRPr="008C77F2">
        <w:rPr>
          <w:rStyle w:val="StyleUnderline"/>
          <w:sz w:val="16"/>
          <w:u w:val="none"/>
        </w:rPr>
        <w:t>of Article II</w:t>
      </w:r>
      <w:r w:rsidRPr="00274C66">
        <w:rPr>
          <w:rStyle w:val="StyleUnderline"/>
        </w:rPr>
        <w:t xml:space="preserve"> </w:t>
      </w:r>
      <w:r w:rsidRPr="00E516A6">
        <w:rPr>
          <w:rStyle w:val="StyleUnderline"/>
          <w:highlight w:val="green"/>
        </w:rPr>
        <w:t>supporting a blanket ban on resource ownership is unwarranted</w:t>
      </w:r>
      <w:r w:rsidRPr="00274C66">
        <w:rPr>
          <w:rStyle w:val="StyleUnderline"/>
        </w:rPr>
        <w:t xml:space="preserve"> </w:t>
      </w:r>
      <w:r w:rsidRPr="008C77F2">
        <w:rPr>
          <w:rStyle w:val="StyleUnderline"/>
          <w:sz w:val="16"/>
          <w:u w:val="none"/>
        </w:rPr>
        <w:t xml:space="preserve">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w:t>
      </w:r>
      <w:r w:rsidRPr="008C77F2">
        <w:rPr>
          <w:rStyle w:val="StyleUnderline"/>
          <w:sz w:val="16"/>
          <w:u w:val="none"/>
        </w:rPr>
        <w:t xml:space="preserve">harvested from celestial bodies </w:t>
      </w:r>
      <w:r w:rsidRPr="00E516A6">
        <w:rPr>
          <w:rStyle w:val="StyleUnderline"/>
          <w:highlight w:val="green"/>
        </w:rPr>
        <w:t>belong to the extracting nation.</w:t>
      </w:r>
      <w:r w:rsidRPr="008C77F2">
        <w:rPr>
          <w:rStyle w:val="StyleUnderline"/>
          <w:sz w:val="16"/>
          <w:u w:val="none"/>
        </w:rPr>
        <w:t>60 Furthermore, space-faring members of</w:t>
      </w:r>
      <w:r w:rsidRPr="00274C66">
        <w:rPr>
          <w:rStyle w:val="StyleUnderline"/>
        </w:rPr>
        <w:t xml:space="preserve">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w:t>
      </w:r>
      <w:r w:rsidRPr="008C77F2">
        <w:rPr>
          <w:rStyle w:val="StyleUnderline"/>
          <w:sz w:val="16"/>
          <w:u w:val="none"/>
        </w:rPr>
        <w:t>extracted from celestial bodies.</w:t>
      </w:r>
      <w:r w:rsidRPr="008C77F2">
        <w:rPr>
          <w:sz w:val="16"/>
        </w:rPr>
        <w:t xml:space="preserve">61 The space-faring nations’ support for the OST, coupled with their rejection of an alternative set of rules governing extracted resources, is at the very least an indication of what those nations believe the non-appropriation principle to stand for. It is equally improbable that the international community drafted the non-appropriation principle to be merely idealistic rhetoric. </w:t>
      </w:r>
      <w:r w:rsidRPr="008C77F2">
        <w:rPr>
          <w:rStyle w:val="StyleUnderline"/>
          <w:sz w:val="16"/>
          <w:u w:val="none"/>
        </w:rPr>
        <w:t>The OST leaves no room for interpretations to squirm out from under its ban on sovereign claims of land.</w:t>
      </w:r>
      <w:r w:rsidRPr="008C77F2">
        <w:rPr>
          <w:sz w:val="16"/>
        </w:rPr>
        <w:t xml:space="preserve">62 The following section illustrates, however, that </w:t>
      </w:r>
      <w:r w:rsidRPr="008C77F2">
        <w:rPr>
          <w:rStyle w:val="StyleUnderline"/>
          <w:sz w:val="16"/>
          <w:u w:val="none"/>
        </w:rPr>
        <w:t xml:space="preserve">the distinction between sovereign ownership of land, and the vestment of property rights in resources extracted from that land, is nothing new. </w:t>
      </w:r>
    </w:p>
    <w:p w14:paraId="37C55CB8" w14:textId="77777777" w:rsidR="008E3794" w:rsidRDefault="008E3794" w:rsidP="008E3794">
      <w:pPr>
        <w:pStyle w:val="Heading4"/>
      </w:pPr>
      <w:r>
        <w:t xml:space="preserve">Vote neg – two impacts: </w:t>
      </w:r>
    </w:p>
    <w:p w14:paraId="2982DD41" w14:textId="77777777" w:rsidR="008E3794" w:rsidRDefault="008E3794" w:rsidP="008E3794">
      <w:pPr>
        <w:pStyle w:val="Heading4"/>
        <w:numPr>
          <w:ilvl w:val="0"/>
          <w:numId w:val="12"/>
        </w:numPr>
        <w:tabs>
          <w:tab w:val="num" w:pos="360"/>
        </w:tabs>
        <w:ind w:left="360"/>
      </w:pPr>
      <w:r>
        <w:t>Limits. Expanding the topic to anything that involves merely launching something into the atmosphere expands the topic into numerous new tech areas which undermines core neg prep.</w:t>
      </w:r>
    </w:p>
    <w:p w14:paraId="1C6EDB5C" w14:textId="77777777" w:rsidR="008E3794" w:rsidRDefault="008E3794" w:rsidP="008E3794">
      <w:pPr>
        <w:pStyle w:val="Heading4"/>
        <w:numPr>
          <w:ilvl w:val="0"/>
          <w:numId w:val="12"/>
        </w:numPr>
        <w:tabs>
          <w:tab w:val="num" w:pos="360"/>
        </w:tabs>
        <w:ind w:left="360"/>
      </w:pPr>
      <w:r>
        <w:t>Topic literature. Our definition has intent to define and exclude in the context of the OST, which is the core of all topic research and the only predictable source.</w:t>
      </w:r>
    </w:p>
    <w:p w14:paraId="63E21C9B" w14:textId="77777777" w:rsidR="008E3794" w:rsidRPr="001B7D52" w:rsidRDefault="008E3794" w:rsidP="008E3794"/>
    <w:p w14:paraId="74704B62" w14:textId="77777777" w:rsidR="008E3794" w:rsidRPr="001B7D52" w:rsidRDefault="008E3794" w:rsidP="008E3794">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59936D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7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79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73D22"/>
  <w14:defaultImageDpi w14:val="300"/>
  <w15:docId w15:val="{289A620C-F515-B74F-A54F-7FCD26C0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3794"/>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8E37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7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7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E37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7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794"/>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8E37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37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37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E379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E379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E379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E37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379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E3794"/>
    <w:rPr>
      <w:color w:val="auto"/>
      <w:u w:val="none"/>
    </w:rPr>
  </w:style>
  <w:style w:type="paragraph" w:styleId="DocumentMap">
    <w:name w:val="Document Map"/>
    <w:basedOn w:val="Normal"/>
    <w:link w:val="DocumentMapChar"/>
    <w:uiPriority w:val="99"/>
    <w:semiHidden/>
    <w:unhideWhenUsed/>
    <w:rsid w:val="008E37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794"/>
    <w:rPr>
      <w:rFonts w:ascii="Lucida Grande" w:hAnsi="Lucida Grande" w:cs="Lucida Grande"/>
    </w:rPr>
  </w:style>
  <w:style w:type="paragraph" w:customStyle="1" w:styleId="Emphasis1">
    <w:name w:val="Emphasis1"/>
    <w:basedOn w:val="Normal"/>
    <w:link w:val="Emphasis"/>
    <w:autoRedefine/>
    <w:uiPriority w:val="20"/>
    <w:qFormat/>
    <w:rsid w:val="008E379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8E379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635</Words>
  <Characters>3433</Characters>
  <Application>Microsoft Office Word</Application>
  <DocSecurity>0</DocSecurity>
  <Lines>38</Lines>
  <Paragraphs>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2022-01-16T03:54:00Z</dcterms:created>
  <dcterms:modified xsi:type="dcterms:W3CDTF">2022-01-16T03:54:00Z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