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C2850" w14:textId="12014ED2" w:rsidR="008A5352" w:rsidRDefault="008A5352" w:rsidP="001F36DF">
      <w:pPr>
        <w:pStyle w:val="Heading2"/>
      </w:pPr>
      <w:r>
        <w:t xml:space="preserve">I affirm. </w:t>
      </w:r>
      <w:r w:rsidRPr="008A5352">
        <w:t>Resolved: The member nations of the World Trade Organization ought to reduce intellectual property protections for medicines.</w:t>
      </w:r>
    </w:p>
    <w:p w14:paraId="772CC86C" w14:textId="29ECFABF" w:rsidR="001F36DF" w:rsidRPr="00245808" w:rsidRDefault="001F36DF" w:rsidP="001F36DF">
      <w:pPr>
        <w:pStyle w:val="Heading2"/>
      </w:pPr>
      <w:r w:rsidRPr="00245808">
        <w:t>Advantage</w:t>
      </w:r>
    </w:p>
    <w:p w14:paraId="0C11D664" w14:textId="77777777" w:rsidR="001F36DF" w:rsidRPr="00245808" w:rsidRDefault="001F36DF" w:rsidP="001F36DF">
      <w:pPr>
        <w:pStyle w:val="Heading4"/>
      </w:pPr>
      <w:r w:rsidRPr="00245808">
        <w:t>IP undermines competition and keeps medicine prices high.</w:t>
      </w:r>
    </w:p>
    <w:p w14:paraId="235A773F" w14:textId="77777777" w:rsidR="001F36DF" w:rsidRPr="00245808" w:rsidRDefault="001F36DF" w:rsidP="001F36DF">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609D7936" w14:textId="56044A00" w:rsidR="001F36DF" w:rsidRPr="00245808" w:rsidRDefault="001F36DF" w:rsidP="001F36DF">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w:t>
      </w:r>
      <w:proofErr w:type="gramStart"/>
      <w:r w:rsidRPr="00245808">
        <w:rPr>
          <w:sz w:val="12"/>
        </w:rPr>
        <w:t>Merck</w:t>
      </w:r>
      <w:proofErr w:type="gramEnd"/>
      <w:r w:rsidRPr="00245808">
        <w:rPr>
          <w:sz w:val="12"/>
        </w:rPr>
        <w:t xml:space="preserve">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 xml:space="preserve">There are numerous other examples of vaccine composition patents and these may also warrant further analysis for the effects they may have on competition. For example, Pfizer, </w:t>
      </w:r>
      <w:proofErr w:type="gramStart"/>
      <w:r w:rsidRPr="00245808">
        <w:rPr>
          <w:sz w:val="10"/>
        </w:rPr>
        <w:t>GSK</w:t>
      </w:r>
      <w:proofErr w:type="gramEnd"/>
      <w:r w:rsidRPr="00245808">
        <w:rPr>
          <w:sz w:val="10"/>
        </w:rPr>
        <w:t xml:space="preserve">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w:t>
      </w:r>
      <w:proofErr w:type="gramStart"/>
      <w:r w:rsidRPr="00245808">
        <w:rPr>
          <w:sz w:val="12"/>
        </w:rPr>
        <w:t>compound</w:t>
      </w:r>
      <w:proofErr w:type="gramEnd"/>
      <w:r w:rsidRPr="00245808">
        <w:rPr>
          <w:sz w:val="12"/>
        </w:rPr>
        <w:t xml:space="preserve">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w:t>
      </w:r>
      <w:proofErr w:type="gramStart"/>
      <w:r w:rsidRPr="00245808">
        <w:rPr>
          <w:sz w:val="12"/>
        </w:rPr>
        <w:t>Korea</w:t>
      </w:r>
      <w:proofErr w:type="gramEnd"/>
      <w:r w:rsidRPr="00245808">
        <w:rPr>
          <w:sz w:val="12"/>
        </w:rPr>
        <w:t xml:space="preserve">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w:t>
      </w:r>
      <w:proofErr w:type="gramStart"/>
      <w:r w:rsidRPr="00245808">
        <w:rPr>
          <w:sz w:val="12"/>
        </w:rPr>
        <w:t>have to</w:t>
      </w:r>
      <w:proofErr w:type="gramEnd"/>
      <w:r w:rsidRPr="00245808">
        <w:rPr>
          <w:sz w:val="12"/>
        </w:rPr>
        <w:t xml:space="preserve">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 xml:space="preserve">of vaccines </w:t>
      </w:r>
      <w:proofErr w:type="spellStart"/>
      <w:r w:rsidRPr="00245808">
        <w:rPr>
          <w:sz w:val="12"/>
        </w:rPr>
        <w:t>t</w:t>
      </w:r>
      <w:r w:rsidR="00CE3D7D">
        <w:rPr>
          <w:sz w:val="12"/>
        </w:rPr>
        <w:t xml:space="preserve"> </w:t>
      </w:r>
      <w:r w:rsidRPr="00245808">
        <w:rPr>
          <w:sz w:val="12"/>
        </w:rPr>
        <w:t>hat</w:t>
      </w:r>
      <w:proofErr w:type="spellEnd"/>
      <w:r w:rsidRPr="00245808">
        <w:rPr>
          <w:sz w:val="12"/>
        </w:rPr>
        <w:t xml:space="preserve">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143FF7D8" w14:textId="77777777" w:rsidR="001F36DF" w:rsidRPr="00245808" w:rsidRDefault="001F36DF" w:rsidP="001F36DF">
      <w:pPr>
        <w:pStyle w:val="Heading4"/>
      </w:pPr>
      <w:r w:rsidRPr="00245808">
        <w:t>Millions, including many children, die from pneumonia and HPV, but low-income countries and families can’t afford the vaccines to prevent them.</w:t>
      </w:r>
    </w:p>
    <w:p w14:paraId="7513CA2B" w14:textId="77777777" w:rsidR="001F36DF" w:rsidRPr="00245808" w:rsidRDefault="001F36DF" w:rsidP="001F36DF">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133FD660" w14:textId="2980E2EC" w:rsidR="001F36DF" w:rsidRPr="00245808" w:rsidRDefault="001F36DF" w:rsidP="001F36DF">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 xml:space="preserve">Millions of children around the world are left unprotected from pneumonia or HPV when Ministries of Health cannot afford to incorporate these vaccines into their national </w:t>
      </w:r>
      <w:proofErr w:type="spellStart"/>
      <w:r w:rsidRPr="00DF7958">
        <w:rPr>
          <w:rStyle w:val="StyleUnderline"/>
          <w:highlight w:val="yellow"/>
        </w:rPr>
        <w:t>immunisation</w:t>
      </w:r>
      <w:proofErr w:type="spellEnd"/>
      <w:r w:rsidRPr="00DF7958">
        <w:rPr>
          <w:rStyle w:val="StyleUnderline"/>
          <w:highlight w:val="yellow"/>
        </w:rPr>
        <w:t xml:space="preserve"> </w:t>
      </w:r>
      <w:proofErr w:type="spellStart"/>
      <w:proofErr w:type="gramStart"/>
      <w:r w:rsidRPr="00DF7958">
        <w:rPr>
          <w:rStyle w:val="StyleUnderline"/>
          <w:highlight w:val="yellow"/>
        </w:rPr>
        <w:t>programmes</w:t>
      </w:r>
      <w:proofErr w:type="spellEnd"/>
      <w:r w:rsidRPr="00DF7958">
        <w:rPr>
          <w:rStyle w:val="StyleUnderline"/>
          <w:highlight w:val="yellow"/>
        </w:rPr>
        <w:t>.</w:t>
      </w:r>
      <w:r w:rsidRPr="00245808">
        <w:rPr>
          <w:sz w:val="12"/>
        </w:rPr>
        <w:t>¶</w:t>
      </w:r>
      <w:proofErr w:type="gramEnd"/>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PCV is priced out of reach of many pa</w:t>
      </w:r>
      <w:r w:rsidR="00166D62">
        <w:rPr>
          <w:rStyle w:val="StyleUnderline"/>
          <w:highlight w:val="yellow"/>
        </w:rPr>
        <w:t>t</w:t>
      </w:r>
      <w:r w:rsidRPr="00DF7958">
        <w:rPr>
          <w:rStyle w:val="StyleUnderline"/>
          <w:highlight w:val="yellow"/>
        </w:rPr>
        <w:t xml:space="preserve">ents, </w:t>
      </w:r>
      <w:proofErr w:type="gramStart"/>
      <w:r w:rsidRPr="00DF7958">
        <w:rPr>
          <w:rStyle w:val="StyleUnderline"/>
          <w:highlight w:val="yellow"/>
        </w:rPr>
        <w:t>governments</w:t>
      </w:r>
      <w:proofErr w:type="gramEnd"/>
      <w:r w:rsidRPr="00DF7958">
        <w:rPr>
          <w:rStyle w:val="StyleUnderline"/>
          <w:highlight w:val="yellow"/>
        </w:rPr>
        <w:t xml:space="preserve">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w:t>
      </w:r>
      <w:proofErr w:type="gramStart"/>
      <w:r w:rsidRPr="00245808">
        <w:rPr>
          <w:sz w:val="12"/>
        </w:rPr>
        <w:t>Millions</w:t>
      </w:r>
      <w:proofErr w:type="gramEnd"/>
      <w:r w:rsidRPr="00245808">
        <w:rPr>
          <w:sz w:val="12"/>
        </w:rPr>
        <w:t xml:space="preserve">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w:t>
      </w:r>
      <w:proofErr w:type="spellStart"/>
      <w:r w:rsidRPr="00245808">
        <w:rPr>
          <w:sz w:val="12"/>
        </w:rPr>
        <w:t>immunisation</w:t>
      </w:r>
      <w:proofErr w:type="spellEnd"/>
      <w:r w:rsidRPr="00245808">
        <w:rPr>
          <w:sz w:val="12"/>
        </w:rPr>
        <w:t xml:space="preserve">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w:t>
      </w:r>
      <w:proofErr w:type="spellStart"/>
      <w:r w:rsidRPr="00245808">
        <w:rPr>
          <w:sz w:val="12"/>
        </w:rPr>
        <w:t>organisations</w:t>
      </w:r>
      <w:proofErr w:type="spellEnd"/>
      <w:r w:rsidRPr="00245808">
        <w:rPr>
          <w:sz w:val="12"/>
        </w:rPr>
        <w:t xml:space="preserve">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w:t>
      </w:r>
      <w:proofErr w:type="spellStart"/>
      <w:r w:rsidRPr="00245808">
        <w:rPr>
          <w:sz w:val="12"/>
        </w:rPr>
        <w:t>organisations</w:t>
      </w:r>
      <w:proofErr w:type="spellEnd"/>
      <w:r w:rsidRPr="00245808">
        <w:rPr>
          <w:sz w:val="12"/>
        </w:rPr>
        <w:t xml:space="preserve">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proofErr w:type="gramStart"/>
      <w:r w:rsidRPr="00DF7958">
        <w:rPr>
          <w:rStyle w:val="StyleUnderline"/>
          <w:highlight w:val="yellow"/>
        </w:rPr>
        <w:t>HPV.</w:t>
      </w:r>
      <w:proofErr w:type="gramEnd"/>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50</w:t>
      </w:r>
      <w:r w:rsidR="00166D62">
        <w:rPr>
          <w:rStyle w:val="StyleUnderline"/>
        </w:rPr>
        <w:t xml:space="preserve"> </w:t>
      </w:r>
      <w:r w:rsidR="00166D62" w:rsidRPr="00166D62">
        <w:rPr>
          <w:rStyle w:val="StyleUnderline"/>
          <w:highlight w:val="yellow"/>
        </w:rPr>
        <w:t>cents</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130FD301" w14:textId="77777777" w:rsidR="001F36DF" w:rsidRPr="00245808" w:rsidRDefault="001F36DF" w:rsidP="001F36DF">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611E94B1" w14:textId="77777777" w:rsidR="001F36DF" w:rsidRPr="00245808" w:rsidRDefault="001F36DF" w:rsidP="001F36DF">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6D3B4781" w14:textId="3BFD2C6A" w:rsidR="001F36DF" w:rsidRPr="00245808" w:rsidRDefault="001F36DF" w:rsidP="001F36DF">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 xml:space="preserve">lack access to crucial drugs </w:t>
      </w:r>
      <w:r w:rsidRPr="00245808">
        <w:rPr>
          <w:sz w:val="12"/>
          <w:szCs w:val="12"/>
        </w:rPr>
        <w:t xml:space="preserve">25 percent </w:t>
      </w:r>
      <w:r w:rsidRPr="00315E82">
        <w:rPr>
          <w:sz w:val="18"/>
          <w:szCs w:val="18"/>
        </w:rPr>
        <w:t>(</w:t>
      </w:r>
      <w:r w:rsidRPr="00315E82">
        <w:rPr>
          <w:rStyle w:val="Emphasis"/>
          <w:sz w:val="18"/>
          <w:szCs w:val="18"/>
        </w:rPr>
        <w:t>1.6 billion</w:t>
      </w:r>
      <w:r w:rsidRPr="00315E82">
        <w:rPr>
          <w:sz w:val="18"/>
          <w:szCs w:val="18"/>
        </w:rPr>
        <w:t xml:space="preserve">) </w:t>
      </w:r>
      <w:r w:rsidRPr="00315E82">
        <w:rPr>
          <w:rStyle w:val="Emphasis"/>
          <w:sz w:val="18"/>
          <w:szCs w:val="18"/>
        </w:rPr>
        <w:t>lack electricity</w:t>
      </w:r>
      <w:r w:rsidRPr="00315E82">
        <w:rPr>
          <w:sz w:val="18"/>
          <w:szCs w:val="18"/>
        </w:rPr>
        <w:t xml:space="preserve"> (Fogarty</w:t>
      </w:r>
      <w:r w:rsidRPr="00245808">
        <w:rPr>
          <w:sz w:val="12"/>
          <w:szCs w:val="12"/>
        </w:rPr>
        <w:t xml:space="preserve"> n.d., IEA 2002</w:t>
      </w:r>
      <w:r w:rsidRPr="00315E82">
        <w:rPr>
          <w:sz w:val="12"/>
          <w:szCs w:val="12"/>
        </w:rPr>
        <w:t xml:space="preserve">). </w:t>
      </w:r>
      <w:r w:rsidRPr="00315E82">
        <w:rPr>
          <w:sz w:val="18"/>
          <w:szCs w:val="18"/>
        </w:rPr>
        <w:t xml:space="preserve">Some </w:t>
      </w:r>
      <w:r w:rsidRPr="00315E82">
        <w:rPr>
          <w:rStyle w:val="Emphasis"/>
          <w:sz w:val="18"/>
          <w:szCs w:val="18"/>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w:t>
      </w:r>
      <w:r w:rsidRPr="00315E82">
        <w:rPr>
          <w:sz w:val="14"/>
          <w:szCs w:val="14"/>
        </w:rPr>
        <w:t>17 (</w:t>
      </w:r>
      <w:r w:rsidRPr="00315E82">
        <w:rPr>
          <w:rStyle w:val="Emphasis"/>
          <w:sz w:val="14"/>
          <w:szCs w:val="14"/>
        </w:rPr>
        <w:t>218 million</w:t>
      </w:r>
      <w:r w:rsidRPr="00315E82">
        <w:rPr>
          <w:sz w:val="14"/>
          <w:szCs w:val="14"/>
        </w:rPr>
        <w:t xml:space="preserve">) </w:t>
      </w:r>
      <w:r w:rsidRPr="00315E82">
        <w:rPr>
          <w:rStyle w:val="Emphasis"/>
          <w:sz w:val="14"/>
          <w:szCs w:val="14"/>
        </w:rPr>
        <w:t xml:space="preserve">are child laborers, more than half in hazardous work </w:t>
      </w:r>
      <w:r w:rsidRPr="00315E82">
        <w:rPr>
          <w:sz w:val="14"/>
          <w:szCs w:val="14"/>
        </w:rPr>
        <w:t>(ILO 2006, 6</w:t>
      </w:r>
      <w:proofErr w:type="gramStart"/>
      <w:r w:rsidRPr="00315E82">
        <w:rPr>
          <w:sz w:val="14"/>
          <w:szCs w:val="14"/>
        </w:rPr>
        <w:t>)</w:t>
      </w:r>
      <w:r w:rsidRPr="00315E82">
        <w:rPr>
          <w:rStyle w:val="Emphasis"/>
          <w:sz w:val="14"/>
          <w:szCs w:val="14"/>
        </w:rPr>
        <w:t>.</w:t>
      </w:r>
      <w:r w:rsidRPr="00315E82">
        <w:rPr>
          <w:sz w:val="14"/>
          <w:szCs w:val="14"/>
        </w:rPr>
        <w:t>¶</w:t>
      </w:r>
      <w:proofErr w:type="gramEnd"/>
      <w:r w:rsidRPr="00315E82">
        <w:rPr>
          <w:sz w:val="14"/>
          <w:szCs w:val="14"/>
        </w:rPr>
        <w:t xml:space="preserve"> Worldwide</w:t>
      </w:r>
      <w:r w:rsidRPr="00245808">
        <w:rPr>
          <w:sz w:val="12"/>
          <w:szCs w:val="12"/>
        </w:rPr>
        <w:t xml:space="preserv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comprise over 50</w:t>
      </w:r>
      <w:r w:rsidR="00315E82">
        <w:rPr>
          <w:rStyle w:val="Emphasis"/>
          <w:highlight w:val="yellow"/>
        </w:rPr>
        <w:t xml:space="preserve">% </w:t>
      </w:r>
      <w:r w:rsidRPr="00DF7958">
        <w:rPr>
          <w:rStyle w:val="Emphasis"/>
          <w:highlight w:val="yellow"/>
        </w:rPr>
        <w:t xml:space="preserve">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w:t>
      </w:r>
      <w:r w:rsidRPr="00315E82">
        <w:rPr>
          <w:rStyle w:val="Emphasis"/>
          <w:highlight w:val="yellow"/>
        </w:rPr>
        <w:t xml:space="preserve"> </w:t>
      </w:r>
      <w:r w:rsidR="00315E82" w:rsidRPr="00315E82">
        <w:rPr>
          <w:rStyle w:val="Emphasis"/>
          <w:highlight w:val="yellow"/>
        </w:rPr>
        <w:t>for</w:t>
      </w:r>
      <w:r w:rsidR="00315E82">
        <w:rPr>
          <w:rStyle w:val="Emphasis"/>
        </w:rPr>
        <w:t xml:space="preserve"> </w:t>
      </w:r>
      <w:r w:rsidRPr="00245808">
        <w:rPr>
          <w:sz w:val="12"/>
          <w:szCs w:val="12"/>
        </w:rPr>
        <w:t xml:space="preserve">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24C1360A" w14:textId="77777777" w:rsidR="001F36DF" w:rsidRPr="00245808" w:rsidRDefault="001F36DF" w:rsidP="001F36DF">
      <w:pPr>
        <w:pStyle w:val="Heading2"/>
      </w:pPr>
      <w:r w:rsidRPr="00245808">
        <w:t>Solvency</w:t>
      </w:r>
    </w:p>
    <w:p w14:paraId="2342D695" w14:textId="6C5EE3B9" w:rsidR="001F36DF" w:rsidRPr="00245808" w:rsidRDefault="003534AB" w:rsidP="001F36DF">
      <w:pPr>
        <w:pStyle w:val="Heading4"/>
      </w:pPr>
      <w:r>
        <w:t xml:space="preserve">Plan Text: </w:t>
      </w:r>
      <w:r w:rsidR="001F36DF" w:rsidRPr="00245808">
        <w:t>The member nations of the W</w:t>
      </w:r>
      <w:r w:rsidR="00166D62">
        <w:t>TO</w:t>
      </w:r>
      <w:r w:rsidR="001F36DF" w:rsidRPr="00245808">
        <w:t xml:space="preserve"> ought to reduce intellectual property protections for medicines using the mechanisms described by MSF ’17:</w:t>
      </w:r>
    </w:p>
    <w:p w14:paraId="562EC767" w14:textId="77777777" w:rsidR="001F36DF" w:rsidRPr="00245808" w:rsidRDefault="001F36DF" w:rsidP="001F36DF">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5BA499E0" w14:textId="77777777" w:rsidR="001F36DF" w:rsidRPr="00245808" w:rsidRDefault="001F36DF" w:rsidP="001F36DF">
      <w:pPr>
        <w:ind w:left="720"/>
        <w:rPr>
          <w:sz w:val="12"/>
        </w:rPr>
      </w:pPr>
      <w:r w:rsidRPr="00DF7958">
        <w:rPr>
          <w:rStyle w:val="StyleUnderline"/>
          <w:highlight w:val="yellow"/>
        </w:rPr>
        <w:t xml:space="preserve">Countries can take a variety of steps to promote competition in vaccine manufacturing and help mitigate the complex patent thickets that could block, </w:t>
      </w:r>
      <w:proofErr w:type="gramStart"/>
      <w:r w:rsidRPr="00DF7958">
        <w:rPr>
          <w:rStyle w:val="StyleUnderline"/>
          <w:highlight w:val="yellow"/>
        </w:rPr>
        <w:t>delay</w:t>
      </w:r>
      <w:proofErr w:type="gramEnd"/>
      <w:r w:rsidRPr="00DF7958">
        <w:rPr>
          <w:rStyle w:val="StyleUnderline"/>
          <w:highlight w:val="yellow"/>
        </w:rPr>
        <w:t xml:space="preserve">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54B00FF3" w14:textId="77777777" w:rsidR="001F36DF" w:rsidRPr="00245808" w:rsidRDefault="001F36DF" w:rsidP="001F36DF">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 xml:space="preserve">This will support an early start for research and clinical studies by follow-on </w:t>
      </w:r>
      <w:proofErr w:type="gramStart"/>
      <w:r w:rsidRPr="00DF7958">
        <w:rPr>
          <w:rStyle w:val="StyleUnderline"/>
          <w:highlight w:val="yellow"/>
        </w:rPr>
        <w:t>manufacturers, and</w:t>
      </w:r>
      <w:proofErr w:type="gramEnd"/>
      <w:r w:rsidRPr="00DF7958">
        <w:rPr>
          <w:rStyle w:val="StyleUnderline"/>
          <w:highlight w:val="yellow"/>
        </w:rPr>
        <w:t xml:space="preserve"> support independent follow-on research</w:t>
      </w:r>
      <w:r w:rsidRPr="00245808">
        <w:rPr>
          <w:sz w:val="12"/>
        </w:rPr>
        <w:t xml:space="preserve"> and development.</w:t>
      </w:r>
    </w:p>
    <w:p w14:paraId="0160B47F" w14:textId="77777777" w:rsidR="001F36DF" w:rsidRPr="00245808" w:rsidRDefault="001F36DF" w:rsidP="001F36DF">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 xml:space="preserve">in patent examination and judicial proceedings. 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75F93018" w14:textId="77777777" w:rsidR="001F36DF" w:rsidRPr="00245808" w:rsidRDefault="001F36DF" w:rsidP="001F36DF">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73B6FF41" w14:textId="77777777" w:rsidR="001F36DF" w:rsidRPr="00245808" w:rsidRDefault="001F36DF" w:rsidP="001F36DF">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the most expedited access to multiple sources of vaccines and to safeguard public health.</w:t>
      </w:r>
    </w:p>
    <w:p w14:paraId="4E6B53A1" w14:textId="77777777" w:rsidR="001F36DF" w:rsidRPr="00245808" w:rsidRDefault="001F36DF" w:rsidP="001F36DF">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06741A70" w14:textId="77777777" w:rsidR="001F36DF" w:rsidRPr="00245808" w:rsidRDefault="001F36DF" w:rsidP="001F36DF">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2F26F116" w14:textId="77777777" w:rsidR="001F36DF" w:rsidRPr="00245808" w:rsidRDefault="001F36DF" w:rsidP="001F36DF">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03FBADE4" w14:textId="77777777" w:rsidR="001F36DF" w:rsidRPr="00245808" w:rsidRDefault="001F36DF" w:rsidP="001F36DF">
      <w:pPr>
        <w:ind w:left="720"/>
        <w:rPr>
          <w:sz w:val="12"/>
        </w:rPr>
      </w:pPr>
      <w:r w:rsidRPr="00245808">
        <w:rPr>
          <w:sz w:val="12"/>
        </w:rPr>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694AAF96" w14:textId="77777777" w:rsidR="001F36DF" w:rsidRPr="00245808" w:rsidRDefault="001F36DF" w:rsidP="001F36DF">
      <w:pPr>
        <w:pStyle w:val="Heading4"/>
      </w:pPr>
      <w:r w:rsidRPr="00245808">
        <w:t>The neoliberal drive to privatization created the tragedy of the anti-commons, stifling innovation through excessive protection of ever more segmented intellectual property.</w:t>
      </w:r>
    </w:p>
    <w:p w14:paraId="713EEA53" w14:textId="77777777" w:rsidR="001F36DF" w:rsidRDefault="001F36DF" w:rsidP="001F36DF">
      <w:r>
        <w:rPr>
          <w:rStyle w:val="Style13ptBold"/>
        </w:rPr>
        <w:t xml:space="preserve">Heller &amp; Eisenberg ’98 - </w:t>
      </w:r>
      <w:r>
        <w:t xml:space="preserve">Michael Heller [Prof. of Property Law, Columbia Law School] &amp; Rebecca S. Eisenberg [Prof. of Patent Law, Michigan Law], “Can Patents Deter Innovation? The </w:t>
      </w:r>
      <w:proofErr w:type="spellStart"/>
      <w:r>
        <w:t>Anticommons</w:t>
      </w:r>
      <w:proofErr w:type="spellEnd"/>
      <w:r>
        <w:t xml:space="preserve"> in Biomedical Research,” SCIENCE, VOL. 280, P. 698, 1998 (1998). &lt;</w:t>
      </w:r>
      <w:hyperlink r:id="rId12" w:history="1">
        <w:r w:rsidRPr="0030365A">
          <w:rPr>
            <w:rStyle w:val="Hyperlink"/>
          </w:rPr>
          <w:t>https://scholarship.law.columbia.edu/faculty_scholarship/1158</w:t>
        </w:r>
      </w:hyperlink>
      <w:r>
        <w:t>&gt; AT</w:t>
      </w:r>
    </w:p>
    <w:p w14:paraId="15B07461" w14:textId="77777777" w:rsidR="001F36DF" w:rsidRPr="00245808" w:rsidRDefault="001F36DF" w:rsidP="001F36DF">
      <w:pPr>
        <w:ind w:left="720"/>
        <w:rPr>
          <w:sz w:val="12"/>
        </w:rPr>
      </w:pPr>
      <w:r w:rsidRPr="00245808">
        <w:rPr>
          <w:sz w:val="12"/>
        </w:rPr>
        <w:t xml:space="preserve">Since Hardin’s article appeared, </w:t>
      </w:r>
      <w:r w:rsidRPr="00DF7958">
        <w:rPr>
          <w:rStyle w:val="StyleUnderline"/>
          <w:highlight w:val="yellow"/>
        </w:rPr>
        <w:t>biomedical research has been moving from a commons model toward a privatization model</w:t>
      </w:r>
      <w:r w:rsidRPr="00245808">
        <w:rPr>
          <w:sz w:val="12"/>
        </w:rPr>
        <w:t xml:space="preserve"> (4)</w:t>
      </w:r>
      <w:r w:rsidRPr="00DF7958">
        <w:rPr>
          <w:rStyle w:val="StyleUnderline"/>
          <w:highlight w:val="yellow"/>
        </w:rPr>
        <w:t>.</w:t>
      </w:r>
      <w:r w:rsidRPr="00245808">
        <w:rPr>
          <w:sz w:val="12"/>
        </w:rPr>
        <w:t xml:space="preserve"> </w:t>
      </w:r>
      <w:r w:rsidRPr="00DF7958">
        <w:rPr>
          <w:rStyle w:val="StyleUnderline"/>
          <w:highlight w:val="yellow"/>
        </w:rPr>
        <w:t xml:space="preserve">Under the commons model, the </w:t>
      </w:r>
      <w:r w:rsidRPr="00245808">
        <w:rPr>
          <w:sz w:val="12"/>
        </w:rPr>
        <w:t>federal</w:t>
      </w:r>
      <w:r w:rsidRPr="00DF7958">
        <w:rPr>
          <w:rStyle w:val="StyleUnderline"/>
          <w:highlight w:val="yellow"/>
        </w:rPr>
        <w:t xml:space="preserve"> government sponsored </w:t>
      </w:r>
      <w:r w:rsidRPr="00245808">
        <w:rPr>
          <w:sz w:val="12"/>
        </w:rPr>
        <w:t>premarket or</w:t>
      </w:r>
      <w:r w:rsidRPr="00DF7958">
        <w:rPr>
          <w:rStyle w:val="StyleUnderline"/>
          <w:highlight w:val="yellow"/>
        </w:rPr>
        <w:t xml:space="preserve"> “upstream” research and encouraged broad dissemination of results in the public domain. Unpatented </w:t>
      </w:r>
      <w:r w:rsidRPr="00245808">
        <w:rPr>
          <w:sz w:val="12"/>
        </w:rPr>
        <w:t>biomedical</w:t>
      </w:r>
      <w:r w:rsidRPr="00DF7958">
        <w:rPr>
          <w:rStyle w:val="StyleUnderline"/>
          <w:highlight w:val="yellow"/>
        </w:rPr>
        <w:t xml:space="preserve"> discoveries were freely incorporated in “downstream” products for diagnosing and treating disease. In 1980, </w:t>
      </w:r>
      <w:proofErr w:type="gramStart"/>
      <w:r w:rsidRPr="00245808">
        <w:rPr>
          <w:sz w:val="12"/>
        </w:rPr>
        <w:t>in an effort</w:t>
      </w:r>
      <w:r w:rsidRPr="00DF7958">
        <w:rPr>
          <w:rStyle w:val="StyleUnderline"/>
          <w:highlight w:val="yellow"/>
        </w:rPr>
        <w:t xml:space="preserve"> to</w:t>
      </w:r>
      <w:proofErr w:type="gramEnd"/>
      <w:r w:rsidRPr="00DF7958">
        <w:rPr>
          <w:rStyle w:val="StyleUnderline"/>
          <w:highlight w:val="yellow"/>
        </w:rPr>
        <w:t xml:space="preserve"> promote commercial development </w:t>
      </w:r>
      <w:r w:rsidRPr="00245808">
        <w:rPr>
          <w:sz w:val="12"/>
        </w:rPr>
        <w:t>of new technologies</w:t>
      </w:r>
      <w:r w:rsidRPr="00DF7958">
        <w:rPr>
          <w:rStyle w:val="StyleUnderline"/>
          <w:highlight w:val="yellow"/>
        </w:rPr>
        <w:t xml:space="preserve">, Congress began encouraging universities and </w:t>
      </w:r>
      <w:r w:rsidRPr="00245808">
        <w:rPr>
          <w:sz w:val="12"/>
        </w:rPr>
        <w:t>other</w:t>
      </w:r>
      <w:r w:rsidRPr="00DF7958">
        <w:rPr>
          <w:rStyle w:val="StyleUnderline"/>
          <w:highlight w:val="yellow"/>
        </w:rPr>
        <w:t xml:space="preserve"> institutions to patent discoveries arising from federally supported research </w:t>
      </w:r>
      <w:r w:rsidRPr="00245808">
        <w:rPr>
          <w:sz w:val="12"/>
        </w:rPr>
        <w:t>and development</w:t>
      </w:r>
      <w:r w:rsidRPr="00DF7958">
        <w:rPr>
          <w:rStyle w:val="StyleUnderline"/>
          <w:highlight w:val="yellow"/>
        </w:rPr>
        <w:t xml:space="preserve"> and </w:t>
      </w:r>
      <w:r w:rsidRPr="00245808">
        <w:rPr>
          <w:sz w:val="12"/>
        </w:rPr>
        <w:t>to</w:t>
      </w:r>
      <w:r w:rsidRPr="00DF7958">
        <w:rPr>
          <w:rStyle w:val="StyleUnderline"/>
          <w:highlight w:val="yellow"/>
        </w:rPr>
        <w:t xml:space="preserve"> transfer their technology to the private sector</w:t>
      </w:r>
      <w:r w:rsidRPr="00245808">
        <w:rPr>
          <w:sz w:val="12"/>
        </w:rPr>
        <w:t xml:space="preserve"> (5)</w:t>
      </w:r>
      <w:r w:rsidRPr="00DF7958">
        <w:rPr>
          <w:rStyle w:val="StyleUnderline"/>
          <w:highlight w:val="yellow"/>
        </w:rPr>
        <w:t>.</w:t>
      </w:r>
      <w:r w:rsidRPr="00245808">
        <w:rPr>
          <w:sz w:val="12"/>
        </w:rPr>
        <w:t xml:space="preserve"> Supporters applaud the resulting increase in patent filings and private investment (6), whereas critics fear deterioration in the culture of upstream research (7). Building on Heller’s theory of </w:t>
      </w:r>
      <w:proofErr w:type="spellStart"/>
      <w:r w:rsidRPr="00245808">
        <w:rPr>
          <w:sz w:val="12"/>
        </w:rPr>
        <w:t>anticommons</w:t>
      </w:r>
      <w:proofErr w:type="spellEnd"/>
      <w:r w:rsidRPr="00245808">
        <w:rPr>
          <w:sz w:val="12"/>
        </w:rPr>
        <w:t xml:space="preserve"> property (3), this article identifies an unintended and paradoxical consequence of biomedical privatization: A proliferation of intellectual property rights upstream may be stifling life-saving innovations further downstream in the course of research and product </w:t>
      </w:r>
      <w:proofErr w:type="gramStart"/>
      <w:r w:rsidRPr="00245808">
        <w:rPr>
          <w:sz w:val="12"/>
        </w:rPr>
        <w:t>development.¶</w:t>
      </w:r>
      <w:proofErr w:type="gramEnd"/>
      <w:r w:rsidRPr="00245808">
        <w:rPr>
          <w:sz w:val="12"/>
        </w:rPr>
        <w:t xml:space="preserve"> The Tragedy of the </w:t>
      </w:r>
      <w:proofErr w:type="spellStart"/>
      <w:r w:rsidRPr="00245808">
        <w:rPr>
          <w:sz w:val="12"/>
        </w:rPr>
        <w:t>Anticommons</w:t>
      </w:r>
      <w:proofErr w:type="spellEnd"/>
      <w:r w:rsidRPr="00245808">
        <w:rPr>
          <w:sz w:val="12"/>
        </w:rPr>
        <w:t xml:space="preserve">¶ </w:t>
      </w:r>
      <w:proofErr w:type="spellStart"/>
      <w:r w:rsidRPr="00245808">
        <w:rPr>
          <w:sz w:val="12"/>
        </w:rPr>
        <w:t>Anticommons</w:t>
      </w:r>
      <w:proofErr w:type="spellEnd"/>
      <w:r w:rsidRPr="00245808">
        <w:rPr>
          <w:sz w:val="12"/>
        </w:rPr>
        <w:t xml:space="preserve"> property can best be understood as the mirror image of commons property (3, 8). A resource is prone to overuse in a tragedy of the commons when too many owners each have a privilege to use a given resource and no one has a right to exclude another (9). By contrast, </w:t>
      </w:r>
      <w:r w:rsidRPr="00DF7958">
        <w:rPr>
          <w:rStyle w:val="StyleUnderline"/>
          <w:highlight w:val="yellow"/>
        </w:rPr>
        <w:t xml:space="preserve">a resource is prone to underuse in a “tragedy of the </w:t>
      </w:r>
      <w:proofErr w:type="spellStart"/>
      <w:r w:rsidRPr="00DF7958">
        <w:rPr>
          <w:rStyle w:val="StyleUnderline"/>
          <w:highlight w:val="yellow"/>
        </w:rPr>
        <w:t>anticommons</w:t>
      </w:r>
      <w:proofErr w:type="spellEnd"/>
      <w:r w:rsidRPr="00DF7958">
        <w:rPr>
          <w:rStyle w:val="StyleUnderline"/>
          <w:highlight w:val="yellow"/>
        </w:rPr>
        <w:t>” when multiple owners each have a right to exclude others from a scarce resource and no one has an effective privilege of use.</w:t>
      </w:r>
      <w:r w:rsidRPr="00245808">
        <w:rPr>
          <w:sz w:val="12"/>
        </w:rPr>
        <w:t xml:space="preserve"> In theory, in a world of costless transactions, people could always avoid commons or </w:t>
      </w:r>
      <w:proofErr w:type="spellStart"/>
      <w:r w:rsidRPr="00245808">
        <w:rPr>
          <w:sz w:val="12"/>
        </w:rPr>
        <w:t>anticommons</w:t>
      </w:r>
      <w:proofErr w:type="spellEnd"/>
      <w:r w:rsidRPr="00245808">
        <w:rPr>
          <w:sz w:val="12"/>
        </w:rPr>
        <w:t xml:space="preserve"> tragedies by trading their rights (10). In practice, however, avoiding tragedy requires overcoming transaction costs, strategic behaviors, and cognitive biases of participants (11), with success more likely within close-knit communities than among hostile strangers (12– 14). </w:t>
      </w:r>
      <w:r w:rsidRPr="00DF7958">
        <w:rPr>
          <w:rStyle w:val="StyleUnderline"/>
          <w:highlight w:val="yellow"/>
        </w:rPr>
        <w:t xml:space="preserve">Once an </w:t>
      </w:r>
      <w:proofErr w:type="spellStart"/>
      <w:r w:rsidRPr="00DF7958">
        <w:rPr>
          <w:rStyle w:val="StyleUnderline"/>
          <w:highlight w:val="yellow"/>
        </w:rPr>
        <w:t>anticommons</w:t>
      </w:r>
      <w:proofErr w:type="spellEnd"/>
      <w:r w:rsidRPr="00DF7958">
        <w:rPr>
          <w:rStyle w:val="StyleUnderline"/>
          <w:highlight w:val="yellow"/>
        </w:rPr>
        <w:t xml:space="preserve"> emerges, collecting rights into usable</w:t>
      </w:r>
      <w:r w:rsidRPr="00245808">
        <w:rPr>
          <w:sz w:val="12"/>
        </w:rPr>
        <w:t xml:space="preserve"> private </w:t>
      </w:r>
      <w:r w:rsidRPr="00DF7958">
        <w:rPr>
          <w:rStyle w:val="StyleUnderline"/>
          <w:highlight w:val="yellow"/>
        </w:rPr>
        <w:t>property is</w:t>
      </w:r>
      <w:r w:rsidRPr="00245808">
        <w:rPr>
          <w:sz w:val="12"/>
        </w:rPr>
        <w:t xml:space="preserve"> often </w:t>
      </w:r>
      <w:r w:rsidRPr="00DF7958">
        <w:rPr>
          <w:rStyle w:val="StyleUnderline"/>
          <w:highlight w:val="yellow"/>
        </w:rPr>
        <w:t>brutal and slow</w:t>
      </w:r>
      <w:r w:rsidRPr="00245808">
        <w:rPr>
          <w:sz w:val="12"/>
        </w:rPr>
        <w:t xml:space="preserve"> (15</w:t>
      </w:r>
      <w:proofErr w:type="gramStart"/>
      <w:r w:rsidRPr="00245808">
        <w:rPr>
          <w:sz w:val="12"/>
        </w:rPr>
        <w:t>)</w:t>
      </w:r>
      <w:r w:rsidRPr="00DF7958">
        <w:rPr>
          <w:rStyle w:val="StyleUnderline"/>
          <w:highlight w:val="yellow"/>
        </w:rPr>
        <w:t>.</w:t>
      </w:r>
      <w:r w:rsidRPr="00245808">
        <w:rPr>
          <w:sz w:val="12"/>
        </w:rPr>
        <w:t>¶</w:t>
      </w:r>
      <w:proofErr w:type="gramEnd"/>
      <w:r w:rsidRPr="00245808">
        <w:rPr>
          <w:sz w:val="12"/>
        </w:rPr>
        <w:t xml:space="preserve"> Privatization in </w:t>
      </w:r>
      <w:proofErr w:type="spellStart"/>
      <w:r w:rsidRPr="00245808">
        <w:rPr>
          <w:sz w:val="12"/>
        </w:rPr>
        <w:t>postsocialist</w:t>
      </w:r>
      <w:proofErr w:type="spellEnd"/>
      <w:r w:rsidRPr="00245808">
        <w:rPr>
          <w:sz w:val="12"/>
        </w:rPr>
        <w:t xml:space="preserve"> economies starkly illustrates how </w:t>
      </w:r>
      <w:proofErr w:type="spellStart"/>
      <w:r w:rsidRPr="00245808">
        <w:rPr>
          <w:sz w:val="12"/>
        </w:rPr>
        <w:t>anticommons</w:t>
      </w:r>
      <w:proofErr w:type="spellEnd"/>
      <w:r w:rsidRPr="00245808">
        <w:rPr>
          <w:sz w:val="12"/>
        </w:rPr>
        <w:t xml:space="preserve"> property can emerge and persist (3). One promise of the transition to a free market was that new entrepreneurs would fill stores that socialist rule had left bare. Yet after several years of reform, many privatized storefronts remained empty, while flimsy metal kiosks, stocked full of goods, mushroomed on the streets. Why did the new merchants not come in from the cold? One reason was that transition governments often failed to endow any individual with a bundle of rights that represents full ownership. Instead, fragmented rights were distributed to various socialist-era stakeholders, including private or quasi-private enterprises, workers’ collectives, privatization agencies, and local, regional, and federal governments. No one could set up shop without first collecting rights from each of the other </w:t>
      </w:r>
      <w:proofErr w:type="gramStart"/>
      <w:r w:rsidRPr="00245808">
        <w:rPr>
          <w:sz w:val="12"/>
        </w:rPr>
        <w:t>owners.¶</w:t>
      </w:r>
      <w:proofErr w:type="gramEnd"/>
      <w:r w:rsidRPr="00245808">
        <w:rPr>
          <w:sz w:val="12"/>
        </w:rPr>
        <w:t xml:space="preserve"> </w:t>
      </w:r>
      <w:r w:rsidRPr="00DF7958">
        <w:rPr>
          <w:rStyle w:val="StyleUnderline"/>
          <w:highlight w:val="yellow"/>
        </w:rPr>
        <w:t>Privatization of upstream biomedical research</w:t>
      </w:r>
      <w:r w:rsidRPr="00245808">
        <w:rPr>
          <w:sz w:val="12"/>
        </w:rPr>
        <w:t xml:space="preserve"> in the United States </w:t>
      </w:r>
      <w:r w:rsidRPr="00DF7958">
        <w:rPr>
          <w:rStyle w:val="StyleUnderline"/>
          <w:highlight w:val="yellow"/>
        </w:rPr>
        <w:t xml:space="preserve">may create </w:t>
      </w:r>
      <w:proofErr w:type="spellStart"/>
      <w:r w:rsidRPr="00DF7958">
        <w:rPr>
          <w:rStyle w:val="StyleUnderline"/>
          <w:highlight w:val="yellow"/>
        </w:rPr>
        <w:t>anticommons</w:t>
      </w:r>
      <w:proofErr w:type="spellEnd"/>
      <w:r w:rsidRPr="00DF7958">
        <w:rPr>
          <w:rStyle w:val="StyleUnderline"/>
          <w:highlight w:val="yellow"/>
        </w:rPr>
        <w:t xml:space="preserve"> property</w:t>
      </w:r>
      <w:r w:rsidRPr="00245808">
        <w:rPr>
          <w:sz w:val="12"/>
        </w:rPr>
        <w:t xml:space="preserve"> that is less visible than empty storefronts but even more economically and socially costly. In this setting, </w:t>
      </w:r>
      <w:r w:rsidRPr="00DF7958">
        <w:rPr>
          <w:rStyle w:val="StyleUnderline"/>
          <w:highlight w:val="yellow"/>
        </w:rPr>
        <w:t xml:space="preserve">privatization takes the form of intellectual property claims </w:t>
      </w:r>
      <w:r w:rsidRPr="00245808">
        <w:rPr>
          <w:sz w:val="12"/>
        </w:rPr>
        <w:t>to the sorts of</w:t>
      </w:r>
      <w:r w:rsidRPr="00DF7958">
        <w:rPr>
          <w:rStyle w:val="StyleUnderline"/>
          <w:sz w:val="12"/>
          <w:highlight w:val="yellow"/>
        </w:rPr>
        <w:t xml:space="preserve"> </w:t>
      </w:r>
      <w:r w:rsidRPr="00DF7958">
        <w:rPr>
          <w:rStyle w:val="StyleUnderline"/>
          <w:highlight w:val="yellow"/>
        </w:rPr>
        <w:t>research results that, in an earlier era, would have been made freely available</w:t>
      </w:r>
      <w:r w:rsidRPr="00245808">
        <w:rPr>
          <w:sz w:val="12"/>
        </w:rPr>
        <w:t xml:space="preserve"> in the public domain</w:t>
      </w:r>
      <w:r w:rsidRPr="00DF7958">
        <w:rPr>
          <w:rStyle w:val="StyleUnderline"/>
          <w:highlight w:val="yellow"/>
        </w:rPr>
        <w:t>.</w:t>
      </w:r>
      <w:r w:rsidRPr="00245808">
        <w:rPr>
          <w:sz w:val="12"/>
        </w:rPr>
        <w:t xml:space="preserve"> Responding to a shift in U.S. government policy (4) in the past two decades, research institutions such as the National Institutes of Health (NIH) and major universities have created technology transfer offices to patent and license their discoveries. At the same time, commercial biotechnology firms have emerged in research and development (R&amp;D) niches somewhere between the proverbial “fundamental” research of academic laboratories and the targeted product development of pharmaceutical firms (7). Today, upstream research in the biomedical sciences is increasingly likely to be “private” in one or more senses of the term—supported by private funds, carried out in a private institution, or privately appropriated through patents, trade secrecy, or agreements that restrict the use of materials and </w:t>
      </w:r>
      <w:proofErr w:type="gramStart"/>
      <w:r w:rsidRPr="00245808">
        <w:rPr>
          <w:sz w:val="12"/>
        </w:rPr>
        <w:t>data.¶</w:t>
      </w:r>
      <w:proofErr w:type="gramEnd"/>
      <w:r w:rsidRPr="00245808">
        <w:rPr>
          <w:sz w:val="12"/>
        </w:rPr>
        <w:t xml:space="preserve"> In biomedical research, as in </w:t>
      </w:r>
      <w:proofErr w:type="spellStart"/>
      <w:r w:rsidRPr="00245808">
        <w:rPr>
          <w:sz w:val="12"/>
        </w:rPr>
        <w:t>postsocialist</w:t>
      </w:r>
      <w:proofErr w:type="spellEnd"/>
      <w:r w:rsidRPr="00245808">
        <w:rPr>
          <w:sz w:val="12"/>
        </w:rPr>
        <w:t xml:space="preserve"> transition, privatization holds both promises and risks. Patents and other forms of intellectual property protection for upstream discoveries may fortify incentives to undertake risky research projects and could result in a more equitable distribution of profits across all stages of R&amp;D. But privatization can go astray when </w:t>
      </w:r>
      <w:r w:rsidRPr="00DF7958">
        <w:rPr>
          <w:rStyle w:val="StyleUnderline"/>
          <w:highlight w:val="yellow"/>
        </w:rPr>
        <w:t>too many owners hold rights in previous discoveries that constitute obstacles to future research</w:t>
      </w:r>
      <w:r w:rsidRPr="00245808">
        <w:rPr>
          <w:sz w:val="12"/>
        </w:rPr>
        <w:t xml:space="preserve"> (16)</w:t>
      </w:r>
      <w:r w:rsidRPr="00DF7958">
        <w:rPr>
          <w:rStyle w:val="StyleUnderline"/>
          <w:highlight w:val="yellow"/>
        </w:rPr>
        <w:t>.</w:t>
      </w:r>
      <w:r w:rsidRPr="00245808">
        <w:rPr>
          <w:sz w:val="12"/>
        </w:rPr>
        <w:t xml:space="preserve"> </w:t>
      </w:r>
      <w:r w:rsidRPr="00DF7958">
        <w:rPr>
          <w:rStyle w:val="StyleUnderline"/>
          <w:highlight w:val="yellow"/>
        </w:rPr>
        <w:t>Upstream patent rights</w:t>
      </w:r>
      <w:r w:rsidRPr="00245808">
        <w:rPr>
          <w:sz w:val="12"/>
        </w:rPr>
        <w:t xml:space="preserve">, initially offered to help attract further private investment, </w:t>
      </w:r>
      <w:r w:rsidRPr="00DF7958">
        <w:rPr>
          <w:rStyle w:val="StyleUnderline"/>
          <w:highlight w:val="yellow"/>
        </w:rPr>
        <w:t>are</w:t>
      </w:r>
      <w:r w:rsidRPr="00245808">
        <w:rPr>
          <w:sz w:val="12"/>
        </w:rPr>
        <w:t xml:space="preserve"> increasingly </w:t>
      </w:r>
      <w:r w:rsidRPr="00DF7958">
        <w:rPr>
          <w:rStyle w:val="StyleUnderline"/>
          <w:highlight w:val="yellow"/>
        </w:rPr>
        <w:t>regarded as entitlements by those who do research with public funds.</w:t>
      </w:r>
      <w:r w:rsidRPr="00245808">
        <w:rPr>
          <w:sz w:val="12"/>
        </w:rPr>
        <w:t xml:space="preserve"> A researcher who may have felt entitled to </w:t>
      </w:r>
      <w:proofErr w:type="spellStart"/>
      <w:r w:rsidRPr="00245808">
        <w:rPr>
          <w:sz w:val="12"/>
        </w:rPr>
        <w:t>coauthorship</w:t>
      </w:r>
      <w:proofErr w:type="spellEnd"/>
      <w:r w:rsidRPr="00245808">
        <w:rPr>
          <w:sz w:val="12"/>
        </w:rPr>
        <w:t xml:space="preserve"> or a citation in an earlier era may now feel entitled to be a coinventor on a patent or to receive a royalty under a material transfer agreement. </w:t>
      </w:r>
      <w:r w:rsidRPr="00DF7958">
        <w:rPr>
          <w:rStyle w:val="StyleUnderline"/>
          <w:highlight w:val="yellow"/>
        </w:rPr>
        <w:t>The result has been a spiral of overlapping patent claims in the hands of different owners</w:t>
      </w:r>
      <w:r w:rsidRPr="00D01850">
        <w:rPr>
          <w:rStyle w:val="StyleUnderline"/>
          <w:sz w:val="16"/>
          <w:szCs w:val="16"/>
        </w:rPr>
        <w:t xml:space="preserve">, reaching ever further upstream </w:t>
      </w:r>
      <w:proofErr w:type="gramStart"/>
      <w:r w:rsidRPr="00D01850">
        <w:rPr>
          <w:rStyle w:val="StyleUnderline"/>
          <w:sz w:val="16"/>
          <w:szCs w:val="16"/>
        </w:rPr>
        <w:t>in the course of</w:t>
      </w:r>
      <w:proofErr w:type="gramEnd"/>
      <w:r w:rsidRPr="00D01850">
        <w:rPr>
          <w:rStyle w:val="StyleUnderline"/>
          <w:sz w:val="16"/>
          <w:szCs w:val="16"/>
        </w:rPr>
        <w:t xml:space="preserve"> biomedical research.</w:t>
      </w:r>
      <w:r w:rsidRPr="00D01850">
        <w:rPr>
          <w:sz w:val="16"/>
          <w:szCs w:val="16"/>
        </w:rPr>
        <w:t xml:space="preserve"> Researchers and their institutions may resent restrictions on access to the patented discoveries of others, yet nobody wants to be the last one left dedicating findings to the public </w:t>
      </w:r>
      <w:proofErr w:type="gramStart"/>
      <w:r w:rsidRPr="00D01850">
        <w:rPr>
          <w:sz w:val="16"/>
          <w:szCs w:val="16"/>
        </w:rPr>
        <w:t>domain.¶</w:t>
      </w:r>
      <w:proofErr w:type="gramEnd"/>
      <w:r w:rsidRPr="00D01850">
        <w:rPr>
          <w:sz w:val="16"/>
          <w:szCs w:val="16"/>
        </w:rPr>
        <w:t xml:space="preserve"> The problem we identify is distinct from the routine underuse inherent in any </w:t>
      </w:r>
      <w:proofErr w:type="spellStart"/>
      <w:r w:rsidRPr="00D01850">
        <w:rPr>
          <w:sz w:val="16"/>
          <w:szCs w:val="16"/>
        </w:rPr>
        <w:t>wellfunctioning</w:t>
      </w:r>
      <w:proofErr w:type="spellEnd"/>
      <w:r w:rsidRPr="00D01850">
        <w:rPr>
          <w:sz w:val="16"/>
          <w:szCs w:val="16"/>
        </w:rPr>
        <w:t xml:space="preserve"> patent system. By conferring monopolies in discoveries, patents necessarily increase prices and restrict use—a cost society pays to motivate invention and disclosure. The tragedy of the </w:t>
      </w:r>
      <w:proofErr w:type="spellStart"/>
      <w:r w:rsidRPr="00D01850">
        <w:rPr>
          <w:sz w:val="16"/>
          <w:szCs w:val="16"/>
        </w:rPr>
        <w:t>anticommons</w:t>
      </w:r>
      <w:proofErr w:type="spellEnd"/>
      <w:r w:rsidRPr="00D01850">
        <w:rPr>
          <w:sz w:val="16"/>
          <w:szCs w:val="16"/>
        </w:rPr>
        <w:t xml:space="preserve"> refers to the more complex obstacles that arise when a user needs access to multiple patented inputs to create a single useful product. </w:t>
      </w:r>
      <w:r w:rsidRPr="00D01850">
        <w:rPr>
          <w:rStyle w:val="StyleUnderline"/>
          <w:sz w:val="16"/>
          <w:szCs w:val="16"/>
        </w:rPr>
        <w:t>Each upstream patent allows its owner to set up another tollbooth on the road to product development,</w:t>
      </w:r>
      <w:r w:rsidRPr="00D01850">
        <w:rPr>
          <w:rStyle w:val="StyleUnderline"/>
        </w:rPr>
        <w:t xml:space="preserve"> </w:t>
      </w:r>
      <w:r w:rsidRPr="00DF7958">
        <w:rPr>
          <w:rStyle w:val="StyleUnderline"/>
          <w:highlight w:val="yellow"/>
        </w:rPr>
        <w:t xml:space="preserve">adding to the cost and slowing the pace of downstream </w:t>
      </w:r>
      <w:r w:rsidRPr="00245808">
        <w:rPr>
          <w:sz w:val="12"/>
        </w:rPr>
        <w:t>biomedical</w:t>
      </w:r>
      <w:r w:rsidRPr="00DF7958">
        <w:rPr>
          <w:rStyle w:val="StyleUnderline"/>
          <w:highlight w:val="yellow"/>
        </w:rPr>
        <w:t xml:space="preserve"> innovation.</w:t>
      </w:r>
    </w:p>
    <w:p w14:paraId="5466D6B2" w14:textId="086504D2" w:rsidR="0028723F" w:rsidRDefault="0028723F" w:rsidP="0028723F">
      <w:pPr>
        <w:pStyle w:val="Heading1"/>
      </w:pPr>
      <w:proofErr w:type="spellStart"/>
      <w:r>
        <w:t>Underview</w:t>
      </w:r>
      <w:proofErr w:type="spellEnd"/>
    </w:p>
    <w:p w14:paraId="5CC0AB5A" w14:textId="6B52DCD4" w:rsidR="001F36DF" w:rsidRPr="003C5A91" w:rsidRDefault="001F36DF" w:rsidP="001F36DF">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r w:rsidR="008A5352">
        <w:rPr>
          <w:rFonts w:eastAsia="MS Gothic"/>
          <w:b/>
          <w:iCs/>
          <w:sz w:val="26"/>
        </w:rPr>
        <w:t xml:space="preserve"> 3 reasons</w:t>
      </w:r>
    </w:p>
    <w:p w14:paraId="4F156C6D" w14:textId="147B86F7" w:rsidR="008A5352" w:rsidRDefault="00D01850" w:rsidP="001F36DF">
      <w:pPr>
        <w:pStyle w:val="ListParagraph"/>
        <w:keepNext/>
        <w:keepLines/>
        <w:numPr>
          <w:ilvl w:val="0"/>
          <w:numId w:val="13"/>
        </w:numPr>
        <w:spacing w:before="40" w:after="0"/>
        <w:outlineLvl w:val="3"/>
        <w:rPr>
          <w:rFonts w:eastAsia="MS Gothic"/>
          <w:b/>
          <w:iCs/>
          <w:sz w:val="26"/>
        </w:rPr>
      </w:pPr>
      <w:r>
        <w:rPr>
          <w:rFonts w:eastAsia="MS Gothic"/>
          <w:b/>
          <w:iCs/>
          <w:sz w:val="26"/>
        </w:rPr>
        <w:t xml:space="preserve">First - </w:t>
      </w:r>
      <w:r w:rsidR="001F36DF" w:rsidRPr="008A5352">
        <w:rPr>
          <w:rFonts w:eastAsia="MS Gothic"/>
          <w:b/>
          <w:iCs/>
          <w:sz w:val="26"/>
        </w:rPr>
        <w:t xml:space="preserve">Ethics – WTO countries are complicit in hoarding lifesaving medicines from the world’s most vulnerable people. Apply a </w:t>
      </w:r>
      <w:r w:rsidR="001F36DF" w:rsidRPr="008A5352">
        <w:rPr>
          <w:rFonts w:eastAsia="MS Gothic"/>
          <w:b/>
          <w:i/>
          <w:iCs/>
          <w:sz w:val="26"/>
          <w:u w:val="single"/>
        </w:rPr>
        <w:t>VERY</w:t>
      </w:r>
      <w:r w:rsidR="001F36DF" w:rsidRPr="008A5352">
        <w:rPr>
          <w:rFonts w:eastAsia="MS Gothic"/>
          <w:b/>
          <w:iCs/>
          <w:sz w:val="26"/>
        </w:rPr>
        <w:t xml:space="preserve"> high standard of proof to any rationalization of that policy.</w:t>
      </w:r>
    </w:p>
    <w:p w14:paraId="0341FA52" w14:textId="1F64E64B" w:rsidR="008A5352" w:rsidRDefault="00D01850" w:rsidP="001F36DF">
      <w:pPr>
        <w:pStyle w:val="ListParagraph"/>
        <w:keepNext/>
        <w:keepLines/>
        <w:numPr>
          <w:ilvl w:val="0"/>
          <w:numId w:val="13"/>
        </w:numPr>
        <w:spacing w:before="40" w:after="0"/>
        <w:outlineLvl w:val="3"/>
        <w:rPr>
          <w:rFonts w:eastAsia="MS Gothic"/>
          <w:b/>
          <w:iCs/>
          <w:sz w:val="26"/>
        </w:rPr>
      </w:pPr>
      <w:r>
        <w:rPr>
          <w:rFonts w:eastAsia="MS Gothic"/>
          <w:b/>
          <w:iCs/>
          <w:sz w:val="26"/>
        </w:rPr>
        <w:t xml:space="preserve">Second - </w:t>
      </w:r>
      <w:r w:rsidR="001F36DF" w:rsidRPr="008A5352">
        <w:rPr>
          <w:rFonts w:eastAsia="MS Gothic"/>
          <w:b/>
          <w:iCs/>
          <w:sz w:val="26"/>
        </w:rPr>
        <w:t xml:space="preserve">Causal Direction - They will say the fractional probability of a huge impact still has a </w:t>
      </w:r>
      <w:proofErr w:type="gramStart"/>
      <w:r w:rsidR="001F36DF" w:rsidRPr="008A5352">
        <w:rPr>
          <w:rFonts w:eastAsia="MS Gothic"/>
          <w:b/>
          <w:iCs/>
          <w:sz w:val="26"/>
        </w:rPr>
        <w:t>large expected</w:t>
      </w:r>
      <w:proofErr w:type="gramEnd"/>
      <w:r w:rsidR="001F36DF" w:rsidRPr="008A5352">
        <w:rPr>
          <w:rFonts w:eastAsia="MS Gothic"/>
          <w:b/>
          <w:iCs/>
          <w:sz w:val="26"/>
        </w:rPr>
        <w:t xml:space="preserve"> value, but it’s impossible to determine the direction of low-probability links. Does the butterfly flapping its wings cause the hurricane or prevent it? Disregard tiny-probability links because they don’t guide decision-making. </w:t>
      </w:r>
    </w:p>
    <w:p w14:paraId="088C924A" w14:textId="4297C64F" w:rsidR="001F36DF" w:rsidRPr="008A5352" w:rsidRDefault="00D01850" w:rsidP="001F36DF">
      <w:pPr>
        <w:pStyle w:val="ListParagraph"/>
        <w:keepNext/>
        <w:keepLines/>
        <w:numPr>
          <w:ilvl w:val="0"/>
          <w:numId w:val="13"/>
        </w:numPr>
        <w:spacing w:before="40" w:after="0"/>
        <w:outlineLvl w:val="3"/>
        <w:rPr>
          <w:rFonts w:eastAsia="MS Gothic"/>
          <w:b/>
          <w:iCs/>
          <w:sz w:val="26"/>
        </w:rPr>
      </w:pPr>
      <w:r>
        <w:rPr>
          <w:rFonts w:eastAsia="MS Gothic"/>
          <w:b/>
          <w:iCs/>
          <w:sz w:val="26"/>
        </w:rPr>
        <w:t xml:space="preserve">Third - </w:t>
      </w:r>
      <w:r w:rsidR="001F36DF" w:rsidRPr="008A5352">
        <w:rPr>
          <w:rFonts w:eastAsia="MS Gothic"/>
          <w:b/>
          <w:iCs/>
          <w:sz w:val="26"/>
        </w:rPr>
        <w:t>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13D4CE71" w14:textId="77777777" w:rsidR="001F36DF" w:rsidRPr="00A50C23" w:rsidRDefault="001F36DF" w:rsidP="001F36DF">
      <w:pPr>
        <w:ind w:left="720"/>
        <w:rPr>
          <w:rFonts w:ascii="Times" w:eastAsia="Times New Roman" w:hAnsi="Times"/>
          <w:sz w:val="12"/>
          <w:szCs w:val="12"/>
          <w:lang w:eastAsia="ja-JP"/>
        </w:rPr>
      </w:pPr>
    </w:p>
    <w:p w14:paraId="47D506EB"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840341"/>
    <w:multiLevelType w:val="hybridMultilevel"/>
    <w:tmpl w:val="951E22DC"/>
    <w:lvl w:ilvl="0" w:tplc="D09C891C">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8B48DC"/>
    <w:multiLevelType w:val="hybridMultilevel"/>
    <w:tmpl w:val="9AEAA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36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E1E"/>
    <w:rsid w:val="000D26A6"/>
    <w:rsid w:val="000D2B90"/>
    <w:rsid w:val="000D6ED8"/>
    <w:rsid w:val="000D717B"/>
    <w:rsid w:val="00100B28"/>
    <w:rsid w:val="00117316"/>
    <w:rsid w:val="001209B4"/>
    <w:rsid w:val="00166D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6DF"/>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23F"/>
    <w:rsid w:val="00290C5A"/>
    <w:rsid w:val="00290C92"/>
    <w:rsid w:val="0029647A"/>
    <w:rsid w:val="00296504"/>
    <w:rsid w:val="002B5511"/>
    <w:rsid w:val="002B7ACF"/>
    <w:rsid w:val="002E0643"/>
    <w:rsid w:val="002E392E"/>
    <w:rsid w:val="002E6BBC"/>
    <w:rsid w:val="002F1BA9"/>
    <w:rsid w:val="002F6E74"/>
    <w:rsid w:val="003106B3"/>
    <w:rsid w:val="0031385D"/>
    <w:rsid w:val="00315E82"/>
    <w:rsid w:val="003171AB"/>
    <w:rsid w:val="003223B2"/>
    <w:rsid w:val="00322A67"/>
    <w:rsid w:val="00330E13"/>
    <w:rsid w:val="00335A23"/>
    <w:rsid w:val="00340707"/>
    <w:rsid w:val="00341C61"/>
    <w:rsid w:val="00351841"/>
    <w:rsid w:val="003534A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06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352"/>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D7D"/>
    <w:rsid w:val="00D0185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F489F6"/>
  <w14:defaultImageDpi w14:val="300"/>
  <w15:docId w15:val="{C26A2866-A4FD-C74D-8A5C-94C97D570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36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36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36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36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1F36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36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6DF"/>
  </w:style>
  <w:style w:type="character" w:customStyle="1" w:styleId="Heading1Char">
    <w:name w:val="Heading 1 Char"/>
    <w:aliases w:val="Pocket Char"/>
    <w:basedOn w:val="DefaultParagraphFont"/>
    <w:link w:val="Heading1"/>
    <w:uiPriority w:val="9"/>
    <w:rsid w:val="001F36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36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36D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F36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36DF"/>
    <w:rPr>
      <w:b/>
      <w:sz w:val="26"/>
      <w:u w:val="none"/>
    </w:rPr>
  </w:style>
  <w:style w:type="character" w:customStyle="1" w:styleId="StyleUnderline">
    <w:name w:val="Style Underline"/>
    <w:aliases w:val="Underline"/>
    <w:basedOn w:val="DefaultParagraphFont"/>
    <w:uiPriority w:val="1"/>
    <w:qFormat/>
    <w:rsid w:val="001F36DF"/>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1F36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36DF"/>
    <w:rPr>
      <w:color w:val="auto"/>
      <w:u w:val="none"/>
    </w:rPr>
  </w:style>
  <w:style w:type="character" w:styleId="Hyperlink">
    <w:name w:val="Hyperlink"/>
    <w:basedOn w:val="DefaultParagraphFont"/>
    <w:uiPriority w:val="99"/>
    <w:unhideWhenUsed/>
    <w:rsid w:val="001F36DF"/>
    <w:rPr>
      <w:color w:val="auto"/>
      <w:u w:val="none"/>
    </w:rPr>
  </w:style>
  <w:style w:type="paragraph" w:styleId="DocumentMap">
    <w:name w:val="Document Map"/>
    <w:basedOn w:val="Normal"/>
    <w:link w:val="DocumentMapChar"/>
    <w:uiPriority w:val="99"/>
    <w:semiHidden/>
    <w:unhideWhenUsed/>
    <w:rsid w:val="001F36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36DF"/>
    <w:rPr>
      <w:rFonts w:ascii="Lucida Grande" w:hAnsi="Lucida Grande" w:cs="Lucida Grande"/>
    </w:rPr>
  </w:style>
  <w:style w:type="paragraph" w:customStyle="1" w:styleId="textbold">
    <w:name w:val="text bold"/>
    <w:basedOn w:val="Normal"/>
    <w:link w:val="Emphasis"/>
    <w:uiPriority w:val="20"/>
    <w:qFormat/>
    <w:rsid w:val="001F36DF"/>
    <w:pPr>
      <w:ind w:left="720"/>
      <w:jc w:val="both"/>
    </w:pPr>
    <w:rPr>
      <w:b/>
      <w:iCs/>
      <w:u w:val="single"/>
    </w:rPr>
  </w:style>
  <w:style w:type="paragraph" w:styleId="ListParagraph">
    <w:name w:val="List Paragraph"/>
    <w:basedOn w:val="Normal"/>
    <w:uiPriority w:val="34"/>
    <w:qFormat/>
    <w:rsid w:val="008A5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columbia.edu/faculty_scholarship/115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280</TotalTime>
  <Pages>1</Pages>
  <Words>5645</Words>
  <Characters>32180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4</cp:revision>
  <dcterms:created xsi:type="dcterms:W3CDTF">2021-10-20T04:21:00Z</dcterms:created>
  <dcterms:modified xsi:type="dcterms:W3CDTF">2021-10-23T14:57:00Z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