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F76DA" w14:textId="77777777" w:rsidR="006210CF" w:rsidRDefault="006210CF" w:rsidP="006210CF">
      <w:pPr>
        <w:pStyle w:val="Heading2"/>
      </w:pPr>
      <w:r>
        <w:t xml:space="preserve">Link Turn: Innovation DA </w:t>
      </w:r>
    </w:p>
    <w:p w14:paraId="451F454A" w14:textId="77777777" w:rsidR="006210CF" w:rsidRPr="00082542" w:rsidRDefault="006210CF" w:rsidP="006210CF">
      <w:pPr>
        <w:pStyle w:val="Heading2"/>
      </w:pPr>
      <w:r>
        <w:t xml:space="preserve">NC Materials </w:t>
      </w:r>
    </w:p>
    <w:p w14:paraId="5BB1F548" w14:textId="77777777" w:rsidR="006210CF" w:rsidRPr="00405D88" w:rsidRDefault="006210CF" w:rsidP="006210CF">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551BBD59" w14:textId="77777777" w:rsidR="006210CF" w:rsidRPr="00405D88" w:rsidRDefault="006210CF" w:rsidP="006210CF">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43BD248" w14:textId="77777777" w:rsidR="006210CF" w:rsidRPr="00405D88" w:rsidRDefault="006210CF" w:rsidP="006210CF">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25FECA8E" w14:textId="77777777" w:rsidR="006210CF" w:rsidRPr="00405D88" w:rsidRDefault="006210CF" w:rsidP="006210CF">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3AAD7E7B" w14:textId="77777777" w:rsidR="006210CF" w:rsidRPr="00405D88" w:rsidRDefault="006210CF" w:rsidP="006210CF">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CDA06CE" w14:textId="77777777" w:rsidR="006210CF" w:rsidRPr="00405D88" w:rsidRDefault="006210CF" w:rsidP="006210CF">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r w:rsidRPr="009E7424">
        <w:rPr>
          <w:rStyle w:val="StyleUnderline"/>
          <w:highlight w:val="yellow"/>
        </w:rPr>
        <w:t>Remdesivir</w:t>
      </w:r>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343E9AC" w14:textId="77777777" w:rsidR="006210CF" w:rsidRPr="009026E1" w:rsidRDefault="006210CF" w:rsidP="006210CF">
      <w:pPr>
        <w:pStyle w:val="Heading4"/>
      </w:pPr>
      <w:r>
        <w:t>This sets a precedent that spills over to all future diseases – Hopkins 21:</w:t>
      </w:r>
    </w:p>
    <w:p w14:paraId="1F684759" w14:textId="77777777" w:rsidR="006210CF" w:rsidRPr="00405D88" w:rsidRDefault="006210CF" w:rsidP="006210CF">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E85EF54" w14:textId="77777777" w:rsidR="006210CF" w:rsidRPr="00856058" w:rsidRDefault="006210CF" w:rsidP="006210CF">
      <w:pPr>
        <w:ind w:left="720"/>
        <w:rPr>
          <w:sz w:val="12"/>
        </w:rPr>
      </w:pPr>
      <w:r w:rsidRPr="00405D88">
        <w:rPr>
          <w:sz w:val="12"/>
        </w:rPr>
        <w:t xml:space="preserve">The Biden administration’s unexpected support for </w:t>
      </w:r>
      <w:hyperlink r:id="rId4"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5" w:history="1">
        <w:r w:rsidRPr="00405D88">
          <w:rPr>
            <w:rStyle w:val="Hyperlink"/>
            <w:rFonts w:eastAsiaTheme="majorEastAsia"/>
            <w:sz w:val="12"/>
          </w:rPr>
          <w:t>Moderna</w:t>
        </w:r>
      </w:hyperlink>
      <w:r w:rsidRPr="00405D88">
        <w:rPr>
          <w:sz w:val="12"/>
        </w:rPr>
        <w:t xml:space="preserve"> Inc., </w:t>
      </w:r>
      <w:hyperlink r:id="rId6" w:history="1">
        <w:r w:rsidRPr="00405D88">
          <w:rPr>
            <w:rStyle w:val="Hyperlink"/>
            <w:rFonts w:eastAsiaTheme="majorEastAsia"/>
            <w:sz w:val="12"/>
          </w:rPr>
          <w:t xml:space="preserve">MRNA -4.12% </w:t>
        </w:r>
      </w:hyperlink>
      <w:hyperlink r:id="rId7" w:history="1">
        <w:r w:rsidRPr="00405D88">
          <w:rPr>
            <w:rStyle w:val="Hyperlink"/>
            <w:rFonts w:eastAsiaTheme="majorEastAsia"/>
            <w:sz w:val="12"/>
          </w:rPr>
          <w:t>Pfizer</w:t>
        </w:r>
      </w:hyperlink>
      <w:r w:rsidRPr="00405D88">
        <w:rPr>
          <w:sz w:val="12"/>
        </w:rPr>
        <w:t xml:space="preserve"> Inc. </w:t>
      </w:r>
      <w:hyperlink r:id="rId8"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drugmakers. “Other than that, this is largely symbolic.”</w:t>
      </w:r>
    </w:p>
    <w:p w14:paraId="733B6D16" w14:textId="77777777" w:rsidR="006210CF" w:rsidRPr="00405D88" w:rsidRDefault="006210CF" w:rsidP="006210C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9D4E3B2" w14:textId="77777777" w:rsidR="006210CF" w:rsidRPr="00405D88" w:rsidRDefault="006210CF" w:rsidP="006210CF">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07300380" w14:textId="77777777" w:rsidR="006210CF" w:rsidRPr="00405D88" w:rsidRDefault="006210CF" w:rsidP="006210CF">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58030530" w14:textId="77777777" w:rsidR="006210CF" w:rsidRPr="00405D88" w:rsidRDefault="006210CF" w:rsidP="006210CF">
      <w:pPr>
        <w:pStyle w:val="Heading4"/>
        <w:rPr>
          <w:rFonts w:cs="Calibri"/>
        </w:rPr>
      </w:pPr>
      <w:r w:rsidRPr="00405D88">
        <w:rPr>
          <w:rFonts w:cs="Calibri"/>
        </w:rPr>
        <w:t>Bioterror causes extinction---early response key</w:t>
      </w:r>
    </w:p>
    <w:p w14:paraId="06EAEB6A" w14:textId="77777777" w:rsidR="006210CF" w:rsidRPr="00405D88" w:rsidRDefault="006210CF" w:rsidP="006210C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7D560756" w14:textId="77777777" w:rsidR="006210CF" w:rsidRPr="00405D88" w:rsidRDefault="006210CF" w:rsidP="006210CF">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8647988" w14:textId="77777777" w:rsidR="006210CF" w:rsidRDefault="006210CF" w:rsidP="006210CF">
      <w:pPr>
        <w:pStyle w:val="Heading2"/>
      </w:pPr>
      <w:r>
        <w:t>Covid CP</w:t>
      </w:r>
    </w:p>
    <w:p w14:paraId="71974A05" w14:textId="77777777" w:rsidR="006210CF" w:rsidRDefault="006210CF" w:rsidP="006210CF">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53FF8612" w14:textId="77777777" w:rsidR="006210CF" w:rsidRPr="0066493E" w:rsidRDefault="006210CF" w:rsidP="006210CF">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CC73BE1" w14:textId="77777777" w:rsidR="006210CF" w:rsidRDefault="006210CF" w:rsidP="006210CF">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250EA53" w14:textId="77777777" w:rsidR="00592C48" w:rsidRDefault="00592C48"/>
    <w:sectPr w:rsidR="00592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0CF"/>
    <w:rsid w:val="00592C48"/>
    <w:rsid w:val="00621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FE87F"/>
  <w15:chartTrackingRefBased/>
  <w15:docId w15:val="{44A5BAE1-CBA7-4475-AB70-8A73033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10CF"/>
    <w:rPr>
      <w:rFonts w:ascii="Calibri" w:eastAsiaTheme="minorHAnsi" w:hAnsi="Calibri"/>
      <w:lang w:eastAsia="en-US"/>
    </w:rPr>
  </w:style>
  <w:style w:type="paragraph" w:styleId="Heading1">
    <w:name w:val="heading 1"/>
    <w:basedOn w:val="Normal"/>
    <w:next w:val="Normal"/>
    <w:link w:val="Heading1Char"/>
    <w:uiPriority w:val="9"/>
    <w:qFormat/>
    <w:rsid w:val="006210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1"/>
    <w:unhideWhenUsed/>
    <w:qFormat/>
    <w:rsid w:val="006210CF"/>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6210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1"/>
    <w:rsid w:val="006210CF"/>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210CF"/>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10CF"/>
    <w:rPr>
      <w:b/>
      <w:bCs/>
      <w:sz w:val="26"/>
      <w:u w:val="non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6210CF"/>
    <w:rPr>
      <w:rFonts w:ascii="Calibri" w:hAnsi="Calibri"/>
      <w:b/>
      <w:iCs/>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6210CF"/>
    <w:rPr>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6210CF"/>
  </w:style>
  <w:style w:type="paragraph" w:customStyle="1" w:styleId="textbold">
    <w:name w:val="text bold"/>
    <w:basedOn w:val="Normal"/>
    <w:link w:val="Emphasis"/>
    <w:uiPriority w:val="7"/>
    <w:qFormat/>
    <w:rsid w:val="006210CF"/>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6"/>
    <w:qFormat/>
    <w:rsid w:val="006210CF"/>
    <w:pPr>
      <w:ind w:left="288" w:right="288"/>
    </w:pPr>
    <w:rPr>
      <w:rFonts w:asciiTheme="minorHAnsi" w:eastAsiaTheme="minorEastAsia" w:hAnsiTheme="minorHAnsi"/>
      <w:u w:val="single"/>
      <w:lang w:eastAsia="zh-CN"/>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6210CF"/>
    <w:pPr>
      <w:keepNext w:val="0"/>
      <w:keepLines w:val="0"/>
      <w:outlineLvl w:val="9"/>
    </w:pPr>
    <w:rPr>
      <w:rFonts w:asciiTheme="minorHAnsi" w:eastAsiaTheme="minorEastAsia" w:hAnsiTheme="minorHAnsi" w:cstheme="minorBidi"/>
      <w:color w:val="auto"/>
      <w:sz w:val="22"/>
      <w:szCs w:val="22"/>
      <w:lang w:eastAsia="zh-CN"/>
    </w:rPr>
  </w:style>
  <w:style w:type="character" w:customStyle="1" w:styleId="Heading1Char">
    <w:name w:val="Heading 1 Char"/>
    <w:basedOn w:val="DefaultParagraphFont"/>
    <w:link w:val="Heading1"/>
    <w:uiPriority w:val="9"/>
    <w:rsid w:val="006210CF"/>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PFE?mod=chiclets" TargetMode="External"/><Relationship Id="rId3" Type="http://schemas.openxmlformats.org/officeDocument/2006/relationships/webSettings" Target="webSettings.xml"/><Relationship Id="rId7" Type="http://schemas.openxmlformats.org/officeDocument/2006/relationships/hyperlink" Target="https://www.wsj.com/market-data/quotes/PF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sj.com/market-data/quotes/MRNA?mod=chiclets" TargetMode="External"/><Relationship Id="rId5" Type="http://schemas.openxmlformats.org/officeDocument/2006/relationships/hyperlink" Target="https://www.wsj.com/market-data/quotes/MRNA" TargetMode="External"/><Relationship Id="rId10" Type="http://schemas.openxmlformats.org/officeDocument/2006/relationships/theme" Target="theme/theme1.xml"/><Relationship Id="rId4" Type="http://schemas.openxmlformats.org/officeDocument/2006/relationships/hyperlink" Target="https://www.wsj.com/articles/u-s-backs-waiver-of-intellectual-property-protection-for-covid-19-vaccines-11620243518?mod=article_inlin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6825</Words>
  <Characters>38907</Characters>
  <Application>Microsoft Office Word</Application>
  <DocSecurity>0</DocSecurity>
  <Lines>324</Lines>
  <Paragraphs>91</Paragraphs>
  <ScaleCrop>false</ScaleCrop>
  <Company/>
  <LinksUpToDate>false</LinksUpToDate>
  <CharactersWithSpaces>45641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dc:creator>
  <cp:keywords/>
  <dc:description/>
  <cp:lastModifiedBy>Yuma</cp:lastModifiedBy>
  <cp:revision>1</cp:revision>
  <dcterms:created xsi:type="dcterms:W3CDTF">2021-10-02T21:36:00Z</dcterms:created>
  <dcterms:modified xsi:type="dcterms:W3CDTF">2021-10-02T21:36:00Z</dcterms:modified>
</cp:coreProperties>
</file>