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CA1D2" w14:textId="77777777" w:rsidR="00385985" w:rsidRDefault="00385985" w:rsidP="00385985">
      <w:pPr>
        <w:pStyle w:val="Heading1"/>
        <w:rPr>
          <w:rFonts w:eastAsia="MS Gothic"/>
        </w:rPr>
      </w:pPr>
      <w:r>
        <w:rPr>
          <w:rFonts w:eastAsia="MS Gothic"/>
        </w:rPr>
        <w:t>Novice NC</w:t>
      </w:r>
    </w:p>
    <w:p w14:paraId="5728BE45" w14:textId="77777777" w:rsidR="00385985" w:rsidRDefault="00385985" w:rsidP="00385985">
      <w:pPr>
        <w:pStyle w:val="Heading4"/>
        <w:rPr>
          <w:rFonts w:eastAsia="MS Gothic"/>
        </w:rPr>
      </w:pPr>
      <w:r>
        <w:rPr>
          <w:rFonts w:eastAsia="MS Gothic"/>
        </w:rPr>
        <w:t>I negate the resolution.</w:t>
      </w:r>
    </w:p>
    <w:p w14:paraId="511833C2" w14:textId="77777777" w:rsidR="00385985" w:rsidRDefault="00385985" w:rsidP="00385985"/>
    <w:p w14:paraId="28867963" w14:textId="77777777" w:rsidR="00385985" w:rsidRPr="00385985" w:rsidRDefault="00385985" w:rsidP="00385985">
      <w:pPr>
        <w:keepNext/>
        <w:keepLines/>
        <w:spacing w:before="40" w:after="0"/>
        <w:outlineLvl w:val="3"/>
        <w:rPr>
          <w:rFonts w:eastAsiaTheme="majorEastAsia" w:cstheme="majorBidi"/>
          <w:b/>
          <w:iCs/>
          <w:sz w:val="26"/>
        </w:rPr>
      </w:pPr>
      <w:r w:rsidRPr="00385985">
        <w:rPr>
          <w:rFonts w:eastAsiaTheme="majorEastAsia" w:cstheme="majorBidi"/>
          <w:b/>
          <w:iCs/>
          <w:sz w:val="26"/>
        </w:rPr>
        <w:t xml:space="preserve">Because the resolution asks what we </w:t>
      </w:r>
      <w:r w:rsidRPr="00385985">
        <w:rPr>
          <w:rFonts w:eastAsiaTheme="majorEastAsia" w:cstheme="majorBidi"/>
          <w:b/>
          <w:i/>
          <w:iCs/>
          <w:sz w:val="26"/>
        </w:rPr>
        <w:t>ought</w:t>
      </w:r>
      <w:r w:rsidRPr="00385985">
        <w:rPr>
          <w:rFonts w:eastAsiaTheme="majorEastAsia" w:cstheme="majorBidi"/>
          <w:b/>
          <w:iCs/>
          <w:sz w:val="26"/>
        </w:rPr>
        <w:t xml:space="preserve"> to do, my value is Morality.</w:t>
      </w:r>
    </w:p>
    <w:p w14:paraId="49EB919F" w14:textId="77777777" w:rsidR="00385985" w:rsidRPr="00385985" w:rsidRDefault="00385985" w:rsidP="00385985"/>
    <w:p w14:paraId="6D3E659D" w14:textId="77777777" w:rsidR="00385985" w:rsidRPr="00385985" w:rsidRDefault="00385985" w:rsidP="00385985">
      <w:pPr>
        <w:keepNext/>
        <w:keepLines/>
        <w:spacing w:before="40" w:after="0"/>
        <w:outlineLvl w:val="3"/>
        <w:rPr>
          <w:rFonts w:eastAsiaTheme="majorEastAsia" w:cstheme="majorBidi"/>
          <w:b/>
          <w:iCs/>
          <w:sz w:val="26"/>
        </w:rPr>
      </w:pPr>
      <w:r w:rsidRPr="00385985">
        <w:rPr>
          <w:rFonts w:eastAsiaTheme="majorEastAsia" w:cstheme="majorBidi"/>
          <w:b/>
          <w:iCs/>
          <w:sz w:val="26"/>
        </w:rPr>
        <w:t>The criterion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0DCD249C" w14:textId="77777777" w:rsidR="00385985" w:rsidRPr="00385985" w:rsidRDefault="00385985" w:rsidP="00385985"/>
    <w:p w14:paraId="12022FCB" w14:textId="77777777" w:rsidR="00385985" w:rsidRPr="00385985" w:rsidRDefault="00385985" w:rsidP="00385985">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14:paraId="78F03E48" w14:textId="77777777" w:rsidR="00385985" w:rsidRPr="00385985" w:rsidRDefault="00385985" w:rsidP="00385985">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xml:space="preserve">. [Associate Philosophy Professor at Bates College].Kantian Consequentialism. Ethics, Vol. 100, No. 3. 1990. http://www.jstor.org/stable/2381810. </w:t>
      </w:r>
    </w:p>
    <w:p w14:paraId="3392518F" w14:textId="77777777" w:rsidR="00385985" w:rsidRPr="00385985" w:rsidRDefault="00385985" w:rsidP="00385985">
      <w:pPr>
        <w:spacing w:after="0" w:line="240" w:lineRule="auto"/>
        <w:jc w:val="both"/>
        <w:rPr>
          <w:rFonts w:eastAsia="Calibri"/>
          <w:b/>
          <w:bCs/>
          <w:sz w:val="24"/>
        </w:rPr>
      </w:pPr>
    </w:p>
    <w:p w14:paraId="0F4FA91A" w14:textId="77777777" w:rsidR="00385985" w:rsidRPr="00385985" w:rsidRDefault="00385985" w:rsidP="00385985">
      <w:pPr>
        <w:spacing w:after="0" w:line="240" w:lineRule="auto"/>
        <w:ind w:left="720"/>
        <w:rPr>
          <w:rFonts w:eastAsia="Times New Roman"/>
          <w:sz w:val="12"/>
        </w:rPr>
      </w:pPr>
      <w:bookmarkStart w:id="0" w:name="_Toc251595564"/>
      <w:r w:rsidRPr="0038598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385985">
        <w:rPr>
          <w:rFonts w:eastAsia="Times New Roman"/>
          <w:b/>
          <w:bCs/>
          <w:sz w:val="24"/>
          <w:u w:val="single"/>
        </w:rPr>
        <w:t xml:space="preserve"> By emphasizing solely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7E170F3A" w14:textId="77777777" w:rsidR="00385985" w:rsidRPr="00385985" w:rsidRDefault="00385985" w:rsidP="00385985"/>
    <w:p w14:paraId="55B01A88" w14:textId="77777777" w:rsidR="00385985" w:rsidRDefault="00385985" w:rsidP="00385985">
      <w:pPr>
        <w:pStyle w:val="Heading2"/>
        <w:rPr>
          <w:rFonts w:eastAsia="MS Gothic"/>
        </w:rPr>
      </w:pPr>
      <w:r>
        <w:rPr>
          <w:rFonts w:eastAsia="MS Gothic"/>
        </w:rPr>
        <w:lastRenderedPageBreak/>
        <w:t>Contention 1: Innovation</w:t>
      </w:r>
    </w:p>
    <w:p w14:paraId="5FF6B3FD" w14:textId="77777777" w:rsidR="00385985" w:rsidRPr="00385985" w:rsidRDefault="00385985" w:rsidP="00385985">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it’s also </w:t>
      </w:r>
      <w:r w:rsidRPr="00385985">
        <w:rPr>
          <w:rFonts w:eastAsia="MS Gothic"/>
          <w:b/>
          <w:iCs/>
          <w:sz w:val="26"/>
          <w:u w:val="single"/>
        </w:rPr>
        <w:t xml:space="preserve">crucial to preventing counterfeit medicines, economic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14:paraId="1663CFEC" w14:textId="77777777" w:rsidR="00385985" w:rsidRPr="00385985" w:rsidRDefault="00385985" w:rsidP="00385985">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E2C5080" w14:textId="77777777" w:rsidR="00385985" w:rsidRPr="00385985" w:rsidRDefault="00385985" w:rsidP="00385985">
      <w:pPr>
        <w:ind w:left="720"/>
        <w:rPr>
          <w:rFonts w:eastAsia="Cambria"/>
          <w:b/>
          <w:iCs/>
          <w:u w:val="single"/>
        </w:rPr>
      </w:pPr>
      <w:r w:rsidRPr="00385985">
        <w:rPr>
          <w:rFonts w:eastAsia="Cambria"/>
          <w:sz w:val="12"/>
        </w:rPr>
        <w:t xml:space="preserve">To better understand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in an effort </w:t>
      </w:r>
      <w:r w:rsidRPr="00385985">
        <w:rPr>
          <w:rFonts w:eastAsia="Cambria"/>
          <w:highlight w:val="yellow"/>
          <w:u w:val="single"/>
        </w:rPr>
        <w:t>to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r w:rsidRPr="00385985">
        <w:rPr>
          <w:rFonts w:eastAsia="Cambria"/>
          <w:u w:val="single"/>
        </w:rPr>
        <w:t>For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To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The </w:t>
      </w:r>
      <w:r w:rsidRPr="00385985">
        <w:rPr>
          <w:rFonts w:eastAsia="Cambria"/>
          <w:highlight w:val="yellow"/>
          <w:u w:val="single"/>
        </w:rPr>
        <w:t xml:space="preserve">drug development </w:t>
      </w:r>
      <w:r w:rsidRPr="00385985">
        <w:rPr>
          <w:rFonts w:eastAsia="Cambria"/>
          <w:u w:val="single"/>
        </w:rPr>
        <w:t xml:space="preserve">process </w:t>
      </w:r>
      <w:r w:rsidRPr="00385985">
        <w:rPr>
          <w:rFonts w:eastAsia="Cambria"/>
          <w:highlight w:val="yellow"/>
          <w:u w:val="single"/>
        </w:rPr>
        <w:t>spans</w:t>
      </w:r>
      <w:r w:rsidRPr="00385985">
        <w:rPr>
          <w:rFonts w:eastAsia="Cambria"/>
          <w:u w:val="single"/>
        </w:rPr>
        <w:t xml:space="preserve"> an average of 11.5 to </w:t>
      </w:r>
      <w:r w:rsidRPr="00385985">
        <w:rPr>
          <w:rFonts w:eastAsia="Cambria"/>
          <w:highlight w:val="yellow"/>
          <w:u w:val="single"/>
        </w:rPr>
        <w:t>15 years</w:t>
      </w:r>
      <w:r w:rsidRPr="00385985">
        <w:rPr>
          <w:rFonts w:eastAsia="Cambria"/>
          <w:u w:val="single"/>
        </w:rPr>
        <w:t>.</w:t>
      </w:r>
      <w:r w:rsidRPr="00385985">
        <w:rPr>
          <w:rFonts w:eastAsia="Cambria"/>
          <w:sz w:val="12"/>
        </w:rPr>
        <w:t xml:space="preserve">6 </w:t>
      </w:r>
      <w:r w:rsidRPr="00385985">
        <w:rPr>
          <w:rFonts w:eastAsia="Cambria"/>
          <w:highlight w:val="yellow"/>
          <w:u w:val="single"/>
        </w:rPr>
        <w:t>For every</w:t>
      </w:r>
      <w:r w:rsidRPr="00385985">
        <w:rPr>
          <w:rFonts w:eastAsia="Cambria"/>
          <w:u w:val="single"/>
        </w:rPr>
        <w:t xml:space="preserve"> 5,000 to </w:t>
      </w:r>
      <w:r w:rsidRPr="00385985">
        <w:rPr>
          <w:rFonts w:eastAsia="Cambria"/>
          <w:highlight w:val="yellow"/>
          <w:u w:val="single"/>
        </w:rPr>
        <w:t>10,000 compounds screened</w:t>
      </w:r>
      <w:r w:rsidRPr="00385985">
        <w:rPr>
          <w:rFonts w:eastAsia="Cambria"/>
          <w:sz w:val="12"/>
        </w:rPr>
        <w:t xml:space="preserve"> on average </w:t>
      </w:r>
      <w:r w:rsidRPr="00385985">
        <w:rPr>
          <w:rFonts w:eastAsia="Cambria"/>
          <w:u w:val="single"/>
        </w:rPr>
        <w:t>during the basic research and drug discovery phases,</w:t>
      </w:r>
      <w:r w:rsidRPr="00385985">
        <w:rPr>
          <w:rFonts w:eastAsia="Cambria"/>
          <w:sz w:val="12"/>
        </w:rPr>
        <w:t xml:space="preserve"> </w:t>
      </w:r>
      <w:r w:rsidRPr="00385985">
        <w:rPr>
          <w:rFonts w:eastAsia="Cambria"/>
          <w:u w:val="single"/>
        </w:rPr>
        <w:t>approximately 250 molecular compounds</w:t>
      </w:r>
      <w:r w:rsidRPr="00385985">
        <w:rPr>
          <w:rFonts w:eastAsia="Cambria"/>
          <w:sz w:val="12"/>
        </w:rPr>
        <w:t xml:space="preserve">, or </w:t>
      </w:r>
      <w:r w:rsidRPr="00385985">
        <w:rPr>
          <w:rFonts w:eastAsia="Cambria"/>
          <w:b/>
          <w:iCs/>
          <w:u w:val="single"/>
        </w:rPr>
        <w:t>2.5 to 5 percent, make it to preclinical testing.</w:t>
      </w:r>
      <w:r w:rsidRPr="00385985">
        <w:rPr>
          <w:rFonts w:eastAsia="Cambria"/>
          <w:sz w:val="12"/>
        </w:rPr>
        <w:t xml:space="preserve"> </w:t>
      </w:r>
      <w:r w:rsidRPr="00385985">
        <w:rPr>
          <w:rFonts w:eastAsia="Cambria"/>
          <w:u w:val="single"/>
        </w:rPr>
        <w:t xml:space="preserve">Out of those 250 molecular compounds, </w:t>
      </w:r>
      <w:r w:rsidRPr="00385985">
        <w:rPr>
          <w:rFonts w:eastAsia="Cambria"/>
          <w:b/>
          <w:iCs/>
          <w:u w:val="single"/>
        </w:rPr>
        <w:t xml:space="preserve">approximately </w:t>
      </w:r>
      <w:r w:rsidRPr="00385985">
        <w:rPr>
          <w:rFonts w:eastAsia="Cambria"/>
          <w:b/>
          <w:iCs/>
          <w:highlight w:val="yellow"/>
          <w:u w:val="single"/>
        </w:rPr>
        <w:t>5 make it to clinical testing.</w:t>
      </w:r>
      <w:r w:rsidRPr="00385985">
        <w:rPr>
          <w:rFonts w:eastAsia="Cambria"/>
          <w:sz w:val="12"/>
        </w:rPr>
        <w:t xml:space="preserve"> That is, </w:t>
      </w:r>
      <w:r w:rsidRPr="00385985">
        <w:rPr>
          <w:rFonts w:eastAsia="Cambria"/>
          <w:b/>
          <w:iCs/>
          <w:u w:val="single"/>
        </w:rPr>
        <w:t xml:space="preserve">0.05 to </w:t>
      </w:r>
      <w:r w:rsidRPr="00385985">
        <w:rPr>
          <w:rFonts w:eastAsia="Cambria"/>
          <w:b/>
          <w:iCs/>
          <w:highlight w:val="yellow"/>
          <w:u w:val="single"/>
        </w:rPr>
        <w:t>0.1 percent</w:t>
      </w:r>
      <w:r w:rsidRPr="00385985">
        <w:rPr>
          <w:rFonts w:eastAsia="Cambria"/>
          <w:b/>
          <w:iCs/>
          <w:u w:val="single"/>
        </w:rPr>
        <w:t xml:space="preserve"> of drugs make it from basic research into clinical trials.</w:t>
      </w:r>
      <w:r w:rsidRPr="00385985">
        <w:rPr>
          <w:rFonts w:eastAsia="Cambria"/>
          <w:sz w:val="12"/>
        </w:rPr>
        <w:t xml:space="preserve"> </w:t>
      </w:r>
      <w:r w:rsidRPr="00385985">
        <w:rPr>
          <w:rFonts w:eastAsia="Cambria"/>
          <w:u w:val="single"/>
        </w:rPr>
        <w:t>Of those rare few</w:t>
      </w:r>
      <w:r w:rsidRPr="00385985">
        <w:rPr>
          <w:rFonts w:eastAsia="Cambria"/>
          <w:sz w:val="12"/>
        </w:rPr>
        <w:t xml:space="preserve"> which make it to clinical testing, </w:t>
      </w:r>
      <w:r w:rsidRPr="00385985">
        <w:rPr>
          <w:rFonts w:eastAsia="Cambria"/>
          <w:highlight w:val="yellow"/>
          <w:u w:val="single"/>
        </w:rPr>
        <w:t>less than 12 percent are</w:t>
      </w:r>
      <w:r w:rsidRPr="00385985">
        <w:rPr>
          <w:rFonts w:eastAsia="Cambria"/>
          <w:u w:val="single"/>
        </w:rPr>
        <w:t xml:space="preserve"> ultimately </w:t>
      </w:r>
      <w:r w:rsidRPr="00385985">
        <w:rPr>
          <w:rFonts w:eastAsia="Cambria"/>
          <w:highlight w:val="yellow"/>
          <w:u w:val="single"/>
        </w:rPr>
        <w:t>approved</w:t>
      </w:r>
      <w:r w:rsidRPr="00385985">
        <w:rPr>
          <w:rFonts w:eastAsia="Cambria"/>
          <w:u w:val="single"/>
        </w:rPr>
        <w:t xml:space="preserve"> for use </w:t>
      </w:r>
      <w:r w:rsidRPr="00385985">
        <w:rPr>
          <w:rFonts w:eastAsia="Cambria"/>
          <w:highlight w:val="yellow"/>
          <w:u w:val="single"/>
        </w:rPr>
        <w:t>by the</w:t>
      </w:r>
      <w:r w:rsidRPr="00385985">
        <w:rPr>
          <w:rFonts w:eastAsia="Cambria"/>
          <w:u w:val="single"/>
        </w:rPr>
        <w:t xml:space="preserve"> </w:t>
      </w:r>
      <w:r w:rsidRPr="00385985">
        <w:rPr>
          <w:rFonts w:eastAsia="Cambria"/>
          <w:sz w:val="12"/>
        </w:rPr>
        <w:t xml:space="preserve">U.S. </w:t>
      </w:r>
      <w:r w:rsidRPr="00385985">
        <w:rPr>
          <w:rFonts w:eastAsia="Cambria"/>
          <w:highlight w:val="yellow"/>
          <w:u w:val="single"/>
        </w:rPr>
        <w:t>F</w:t>
      </w:r>
      <w:r w:rsidRPr="00385985">
        <w:rPr>
          <w:rFonts w:eastAsia="Cambria"/>
          <w:sz w:val="12"/>
        </w:rPr>
        <w:t xml:space="preserve">ood and </w:t>
      </w:r>
      <w:r w:rsidRPr="00385985">
        <w:rPr>
          <w:rFonts w:eastAsia="Cambria"/>
          <w:highlight w:val="yellow"/>
          <w:u w:val="single"/>
        </w:rPr>
        <w:t>D</w:t>
      </w:r>
      <w:r w:rsidRPr="00385985">
        <w:rPr>
          <w:rFonts w:eastAsia="Cambria"/>
          <w:sz w:val="12"/>
        </w:rPr>
        <w:t xml:space="preserve">rug </w:t>
      </w:r>
      <w:r w:rsidRPr="00385985">
        <w:rPr>
          <w:rFonts w:eastAsia="Cambria"/>
          <w:highlight w:val="yellow"/>
          <w:u w:val="single"/>
        </w:rPr>
        <w:t>A</w:t>
      </w:r>
      <w:r w:rsidRPr="00385985">
        <w:rPr>
          <w:rFonts w:eastAsia="Cambria"/>
          <w:sz w:val="12"/>
        </w:rPr>
        <w:t xml:space="preserve">dministration (FDA).7 In addition to high risks, </w:t>
      </w:r>
      <w:r w:rsidRPr="00385985">
        <w:rPr>
          <w:rFonts w:eastAsia="Cambria"/>
          <w:b/>
          <w:iCs/>
          <w:u w:val="single"/>
        </w:rPr>
        <w:t>drug development is costly</w:t>
      </w:r>
      <w:r w:rsidRPr="00385985">
        <w:rPr>
          <w:rFonts w:eastAsia="Cambria"/>
          <w:sz w:val="12"/>
        </w:rPr>
        <w:t xml:space="preserve">, </w:t>
      </w:r>
      <w:r w:rsidRPr="00385985">
        <w:rPr>
          <w:rFonts w:eastAsia="Cambria"/>
          <w:u w:val="single"/>
        </w:rPr>
        <w:t>and</w:t>
      </w:r>
      <w:r w:rsidRPr="00385985">
        <w:rPr>
          <w:rFonts w:eastAsia="Cambria"/>
          <w:sz w:val="12"/>
        </w:rPr>
        <w:t xml:space="preserve"> the </w:t>
      </w:r>
      <w:r w:rsidRPr="00385985">
        <w:rPr>
          <w:rFonts w:eastAsia="Cambria"/>
          <w:highlight w:val="yellow"/>
          <w:u w:val="single"/>
        </w:rPr>
        <w:t>expenses</w:t>
      </w:r>
      <w:r w:rsidRPr="00385985">
        <w:rPr>
          <w:rFonts w:eastAsia="Cambria"/>
          <w:sz w:val="12"/>
        </w:rPr>
        <w:t xml:space="preserve"> associated with it </w:t>
      </w:r>
      <w:r w:rsidRPr="00385985">
        <w:rPr>
          <w:rFonts w:eastAsia="Cambria"/>
          <w:highlight w:val="yellow"/>
          <w:u w:val="single"/>
        </w:rPr>
        <w:t>are increasing.</w:t>
      </w:r>
      <w:r w:rsidRPr="00385985">
        <w:rPr>
          <w:rFonts w:eastAsia="Cambria"/>
          <w:sz w:val="12"/>
        </w:rPr>
        <w:t xml:space="preserve"> A 2019 report by the Deloitte Center for Health Solutions concluded that </w:t>
      </w:r>
      <w:r w:rsidRPr="00385985">
        <w:rPr>
          <w:rFonts w:eastAsia="Cambria"/>
          <w:b/>
          <w:iCs/>
          <w:highlight w:val="yellow"/>
          <w:u w:val="single"/>
        </w:rPr>
        <w:t>since 2010 the</w:t>
      </w:r>
      <w:r w:rsidRPr="00385985">
        <w:rPr>
          <w:rFonts w:eastAsia="Cambria"/>
          <w:b/>
          <w:iCs/>
          <w:u w:val="single"/>
        </w:rPr>
        <w:t xml:space="preserve"> average </w:t>
      </w:r>
      <w:r w:rsidRPr="00385985">
        <w:rPr>
          <w:rFonts w:eastAsia="Cambria"/>
          <w:b/>
          <w:iCs/>
          <w:highlight w:val="yellow"/>
          <w:u w:val="single"/>
        </w:rPr>
        <w:t>cost</w:t>
      </w:r>
      <w:r w:rsidRPr="00385985">
        <w:rPr>
          <w:rFonts w:eastAsia="Cambria"/>
          <w:b/>
          <w:iCs/>
          <w:u w:val="single"/>
        </w:rPr>
        <w:t xml:space="preserve"> of bringing a new drug to market </w:t>
      </w:r>
      <w:r w:rsidRPr="00385985">
        <w:rPr>
          <w:rFonts w:eastAsia="Cambria"/>
          <w:b/>
          <w:iCs/>
          <w:highlight w:val="yellow"/>
          <w:u w:val="single"/>
        </w:rPr>
        <w:t>increased</w:t>
      </w:r>
      <w:r w:rsidRPr="00385985">
        <w:rPr>
          <w:rFonts w:eastAsia="Cambria"/>
          <w:b/>
          <w:iCs/>
          <w:u w:val="single"/>
        </w:rPr>
        <w:t xml:space="preserve"> by </w:t>
      </w:r>
      <w:r w:rsidRPr="00385985">
        <w:rPr>
          <w:rFonts w:eastAsia="Cambria"/>
          <w:b/>
          <w:iCs/>
          <w:highlight w:val="yellow"/>
          <w:u w:val="single"/>
        </w:rPr>
        <w:t>67 percent</w:t>
      </w:r>
      <w:r w:rsidRPr="00385985">
        <w:rPr>
          <w:rFonts w:eastAsia="Cambria"/>
          <w:sz w:val="12"/>
        </w:rPr>
        <w:t xml:space="preserve">.8 Numerous studies have examined the substantial cost of biopharmaceutical R&amp;D, and most confirm </w:t>
      </w:r>
      <w:r w:rsidRPr="00385985">
        <w:rPr>
          <w:rFonts w:eastAsia="Cambria"/>
          <w:b/>
          <w:iCs/>
          <w:highlight w:val="yellow"/>
          <w:u w:val="single"/>
        </w:rPr>
        <w:t>investing in new drug development requires</w:t>
      </w:r>
      <w:r w:rsidRPr="00385985">
        <w:rPr>
          <w:rFonts w:eastAsia="Cambria"/>
          <w:b/>
          <w:iCs/>
          <w:u w:val="single"/>
        </w:rPr>
        <w:t xml:space="preserve"> $1.7 billion to </w:t>
      </w:r>
      <w:r w:rsidRPr="00385985">
        <w:rPr>
          <w:rFonts w:eastAsia="Cambria"/>
          <w:b/>
          <w:iCs/>
          <w:highlight w:val="yellow"/>
          <w:u w:val="single"/>
        </w:rPr>
        <w:t>$3.2 billion up front</w:t>
      </w:r>
      <w:r w:rsidRPr="00385985">
        <w:rPr>
          <w:rFonts w:eastAsia="Cambria"/>
          <w:b/>
          <w:iCs/>
          <w:u w:val="single"/>
        </w:rPr>
        <w:t xml:space="preserve"> on average.</w:t>
      </w:r>
      <w:r w:rsidRPr="00385985">
        <w:rPr>
          <w:rFonts w:eastAsia="Cambria"/>
          <w:sz w:val="12"/>
        </w:rPr>
        <w:t xml:space="preserve">9 A 2018 study by the Coalition for Epidemic Preparedness found similar risks and figures for vaccines, stating, “In general, </w:t>
      </w:r>
      <w:r w:rsidRPr="00385985">
        <w:rPr>
          <w:rFonts w:eastAsia="Cambria"/>
          <w:u w:val="single"/>
        </w:rPr>
        <w:t xml:space="preserve">vaccine development from discovery to licensure can cost billions of dollars, can take over </w:t>
      </w:r>
      <w:r w:rsidRPr="00385985">
        <w:rPr>
          <w:rFonts w:eastAsia="Cambria"/>
          <w:u w:val="single"/>
        </w:rPr>
        <w:lastRenderedPageBreak/>
        <w:t>10 years to complete, and has an average 94 percent chance of failure.”</w:t>
      </w:r>
      <w:r w:rsidRPr="00385985">
        <w:rPr>
          <w:rFonts w:eastAsia="Cambria"/>
          <w:sz w:val="12"/>
        </w:rPr>
        <w:t xml:space="preserve">10 Yet, a 2010 study found that </w:t>
      </w:r>
      <w:r w:rsidRPr="00385985">
        <w:rPr>
          <w:rFonts w:eastAsia="Cambria"/>
          <w:highlight w:val="yellow"/>
          <w:u w:val="single"/>
        </w:rPr>
        <w:t>80 percent of new drugs</w:t>
      </w:r>
      <w:r w:rsidRPr="00385985">
        <w:rPr>
          <w:rFonts w:eastAsia="Cambria"/>
          <w:u w:val="single"/>
        </w:rPr>
        <w:t>—that is, the less than 12 percent ultimately approved by the FDA—</w:t>
      </w:r>
      <w:r w:rsidRPr="00385985">
        <w:rPr>
          <w:rFonts w:eastAsia="Cambria"/>
          <w:highlight w:val="yellow"/>
          <w:u w:val="single"/>
        </w:rPr>
        <w:t>made less than their capitalized R&amp;D costs.</w:t>
      </w:r>
      <w:r w:rsidRPr="00385985">
        <w:rPr>
          <w:rFonts w:eastAsia="Cambria"/>
          <w:sz w:val="12"/>
        </w:rPr>
        <w:t xml:space="preserve">11 Another study found that only </w:t>
      </w:r>
      <w:r w:rsidRPr="00385985">
        <w:rPr>
          <w:rFonts w:eastAsia="Cambria"/>
          <w:u w:val="single"/>
        </w:rPr>
        <w:t>1 percent (maybe three new drugs each year) of the most successful 10 percent of FDA approved drugs generate half of the profits of the entire drug industry.</w:t>
      </w:r>
      <w:r w:rsidRPr="00385985">
        <w:rPr>
          <w:rFonts w:eastAsia="Cambria"/>
          <w:sz w:val="12"/>
        </w:rPr>
        <w:t xml:space="preserve">12 To say the least, </w:t>
      </w:r>
      <w:r w:rsidRPr="00385985">
        <w:rPr>
          <w:rFonts w:eastAsia="Cambria"/>
          <w:b/>
          <w:iCs/>
          <w:u w:val="single"/>
        </w:rPr>
        <w:t>biopharmaceutical R&amp;D represents a high-stakes, long-term endeavor with precarious returns.</w:t>
      </w:r>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R&amp;D which means less research into cancer drugs, Alzheimer cures, vaccines</w:t>
      </w:r>
      <w:r w:rsidRPr="00385985">
        <w:rPr>
          <w:rFonts w:eastAsia="Cambria"/>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r w:rsidRPr="00385985">
        <w:rPr>
          <w:rFonts w:eastAsia="Cambria"/>
          <w:highlight w:val="yellow"/>
          <w:u w:val="single"/>
        </w:rPr>
        <w:t>This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in an effort to meet the tremendous challenges brought on by COVID-19 globally. 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385985">
        <w:rPr>
          <w:rFonts w:eastAsia="Cambria"/>
          <w:u w:val="single"/>
        </w:rPr>
        <w:t>Polish authorities discovered vials of antiwrinkle treatment labeled as COVID-19 vaccines.</w:t>
      </w:r>
      <w:r w:rsidRPr="00385985">
        <w:rPr>
          <w:rFonts w:eastAsia="Cambria"/>
          <w:sz w:val="12"/>
        </w:rPr>
        <w:t xml:space="preserve"> 18 </w:t>
      </w:r>
      <w:r w:rsidRPr="00385985">
        <w:rPr>
          <w:rFonts w:eastAsia="Cambria"/>
          <w:u w:val="single"/>
        </w:rPr>
        <w:t>In Mexico, fake vaccines sold for approximately $1,000 per dose.</w:t>
      </w:r>
      <w:r w:rsidRPr="00385985">
        <w:rPr>
          <w:rFonts w:eastAsia="Cambria"/>
          <w:sz w:val="12"/>
        </w:rPr>
        <w:t xml:space="preserve">19 </w:t>
      </w:r>
      <w:r w:rsidRPr="00385985">
        <w:rPr>
          <w:rFonts w:eastAsia="Cambria"/>
          <w:u w:val="single"/>
        </w:rPr>
        <w:t>Chinese and South African police seized thousands of counterfeit vaccine doses from warehouses and manufacturing plants.</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 xml:space="preserve">IP has contributed toward </w:t>
      </w:r>
      <w:r w:rsidRPr="00385985">
        <w:rPr>
          <w:rFonts w:eastAsia="Cambria"/>
          <w:b/>
          <w:iCs/>
          <w:u w:val="single"/>
        </w:rPr>
        <w:lastRenderedPageBreak/>
        <w:t>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r w:rsidRPr="00385985">
        <w:rPr>
          <w:rFonts w:eastAsia="Cambria"/>
          <w:sz w:val="12"/>
        </w:rPr>
        <w:t xml:space="preserve"> 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27 In 2020</w:t>
      </w:r>
      <w:r w:rsidRPr="00385985">
        <w:rPr>
          <w:rFonts w:eastAsia="Cambria"/>
          <w:u w:val="single"/>
        </w:rPr>
        <w:t xml:space="preserve">, </w:t>
      </w:r>
      <w:r w:rsidRPr="00385985">
        <w:rPr>
          <w:rFonts w:eastAsia="Cambria"/>
          <w:highlight w:val="yellow"/>
          <w:u w:val="single"/>
        </w:rPr>
        <w:t>global patent filings</w:t>
      </w:r>
      <w:r w:rsidRPr="00385985">
        <w:rPr>
          <w:rFonts w:eastAsia="Cambria"/>
          <w:sz w:val="12"/>
        </w:rPr>
        <w:t xml:space="preserve"> through the World Intellectual Property Organization’s (WIPO) Patent Cooperation Treaty (PCT) system </w:t>
      </w:r>
      <w:r w:rsidRPr="00385985">
        <w:rPr>
          <w:rFonts w:eastAsia="Cambria"/>
          <w:highlight w:val="yellow"/>
          <w:u w:val="single"/>
        </w:rPr>
        <w:t>reached a record 275,900 filings amidst the pandemic, growing 4 percent</w:t>
      </w:r>
      <w:r w:rsidRPr="00385985">
        <w:rPr>
          <w:rFonts w:eastAsia="Cambria"/>
          <w:sz w:val="12"/>
        </w:rPr>
        <w:t xml:space="preserve"> </w:t>
      </w:r>
      <w:r w:rsidRPr="00385985">
        <w:rPr>
          <w:rFonts w:eastAsia="Cambria"/>
          <w:u w:val="single"/>
        </w:rPr>
        <w:t>from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First,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by increasing the appropriability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 </w:t>
      </w:r>
      <w:r w:rsidRPr="00385985">
        <w:rPr>
          <w:rFonts w:eastAsia="Cambria"/>
          <w:highlight w:val="yellow"/>
          <w:u w:val="single"/>
        </w:rPr>
        <w:t>trade and foreign</w:t>
      </w:r>
      <w:r w:rsidRPr="00385985">
        <w:rPr>
          <w:rFonts w:eastAsia="Cambria"/>
          <w:u w:val="single"/>
        </w:rPr>
        <w:t xml:space="preserve"> direct </w:t>
      </w:r>
      <w:r w:rsidRPr="00385985">
        <w:rPr>
          <w:rFonts w:eastAsia="Cambria"/>
          <w:highlight w:val="yellow"/>
          <w:u w:val="single"/>
        </w:rPr>
        <w:t>investment enabled</w:t>
      </w:r>
      <w:r w:rsidRPr="00385985">
        <w:rPr>
          <w:rFonts w:eastAsia="Cambria"/>
          <w:u w:val="single"/>
        </w:rPr>
        <w:t xml:space="preserve"> and encouraged </w:t>
      </w:r>
      <w:r w:rsidRPr="00385985">
        <w:rPr>
          <w:rFonts w:eastAsia="Cambria"/>
          <w:highlight w:val="yellow"/>
          <w:u w:val="single"/>
        </w:rPr>
        <w:t>by</w:t>
      </w:r>
      <w:r w:rsidRPr="00385985">
        <w:rPr>
          <w:rFonts w:eastAsia="Cambria"/>
          <w:u w:val="single"/>
        </w:rPr>
        <w:t xml:space="preserve"> strong </w:t>
      </w:r>
      <w:r w:rsidRPr="00385985">
        <w:rPr>
          <w:rFonts w:eastAsia="Cambria"/>
          <w:highlight w:val="yellow"/>
          <w:u w:val="single"/>
        </w:rPr>
        <w:t>IP</w:t>
      </w:r>
      <w:r w:rsidRPr="00385985">
        <w:rPr>
          <w:rFonts w:eastAsia="Cambria"/>
          <w:u w:val="single"/>
        </w:rPr>
        <w:t xml:space="preserve"> protection offered to enterprises from foreign countries </w:t>
      </w:r>
      <w:r w:rsidRPr="00385985">
        <w:rPr>
          <w:rFonts w:eastAsia="Cambria"/>
          <w:highlight w:val="yellow"/>
          <w:u w:val="single"/>
        </w:rPr>
        <w:t xml:space="preserve">facilitates an </w:t>
      </w:r>
      <w:r w:rsidRPr="00385985">
        <w:rPr>
          <w:rFonts w:eastAsia="Cambria"/>
          <w:b/>
          <w:iCs/>
          <w:highlight w:val="yellow"/>
          <w:u w:val="single"/>
        </w:rPr>
        <w:t>accumulation of knowledge capital</w:t>
      </w:r>
      <w:r w:rsidRPr="00385985">
        <w:rPr>
          <w:rFonts w:eastAsia="Cambria"/>
          <w:u w:val="single"/>
        </w:rPr>
        <w:t xml:space="preserve"> within the destination economy.</w:t>
      </w:r>
      <w:r w:rsidRPr="00385985">
        <w:rPr>
          <w:rFonts w:eastAsia="Cambria"/>
          <w:sz w:val="12"/>
        </w:rPr>
        <w:t xml:space="preserve"> That matters when </w:t>
      </w:r>
      <w:r w:rsidRPr="00385985">
        <w:rPr>
          <w:rFonts w:eastAsia="Cambria"/>
          <w:b/>
          <w:iCs/>
          <w:highlight w:val="yellow"/>
          <w:u w:val="single"/>
        </w:rPr>
        <w:t>foreign sources of technology account for over 90 percent of productivity growth</w:t>
      </w:r>
      <w:r w:rsidRPr="00385985">
        <w:rPr>
          <w:rFonts w:eastAsia="Cambria"/>
          <w:b/>
          <w:iCs/>
          <w:u w:val="single"/>
        </w:rPr>
        <w:t xml:space="preserve"> in most countries</w:t>
      </w:r>
      <w:r w:rsidRPr="00385985">
        <w:rPr>
          <w:rFonts w:eastAsia="Cambria"/>
          <w:sz w:val="12"/>
        </w:rPr>
        <w:t xml:space="preserve">.33 There’s also evidence suggesting that </w:t>
      </w:r>
      <w:r w:rsidRPr="00385985">
        <w:rPr>
          <w:rFonts w:eastAsia="Cambria"/>
          <w:u w:val="single"/>
        </w:rPr>
        <w:t>developing nations with stronger IP protections enjoy the earlier introduction of innovative new medicines.</w:t>
      </w:r>
      <w:r w:rsidRPr="00385985">
        <w:rPr>
          <w:rFonts w:eastAsia="Cambria"/>
          <w:sz w:val="12"/>
        </w:rPr>
        <w:t xml:space="preserve">34 And fifth, </w:t>
      </w:r>
      <w:r w:rsidRPr="00385985">
        <w:rPr>
          <w:rFonts w:eastAsia="Cambria"/>
          <w:b/>
          <w:iCs/>
          <w:highlight w:val="yellow"/>
          <w:u w:val="single"/>
        </w:rPr>
        <w:t>strong IP boosts exports</w:t>
      </w:r>
      <w:r w:rsidRPr="00385985">
        <w:rPr>
          <w:rFonts w:eastAsia="Cambria"/>
          <w:sz w:val="12"/>
        </w:rPr>
        <w:t xml:space="preserve">, including in developing countries.35 </w:t>
      </w:r>
      <w:r w:rsidRPr="00385985">
        <w:rPr>
          <w:rFonts w:eastAsia="Cambria"/>
          <w:u w:val="single"/>
        </w:rPr>
        <w:t xml:space="preserve">Research shows a positive correlation between stronger IP protection and exports from developing countries </w:t>
      </w:r>
      <w:r w:rsidRPr="00385985">
        <w:rPr>
          <w:rFonts w:eastAsia="Cambria"/>
          <w:highlight w:val="yellow"/>
          <w:u w:val="single"/>
        </w:rPr>
        <w:t>as well as faster growth rates</w:t>
      </w:r>
      <w:r w:rsidRPr="00385985">
        <w:rPr>
          <w:rFonts w:eastAsia="Cambria"/>
          <w:u w:val="single"/>
        </w:rPr>
        <w:t xml:space="preserve"> of certain industries.</w:t>
      </w:r>
      <w:r w:rsidRPr="00385985">
        <w:rPr>
          <w:rFonts w:eastAsia="Cambria"/>
          <w:sz w:val="12"/>
        </w:rPr>
        <w:t xml:space="preserve">36 The following case studies illustrate these benefits of </w:t>
      </w:r>
      <w:r w:rsidRPr="00385985">
        <w:rPr>
          <w:rFonts w:eastAsia="Cambria"/>
          <w:u w:val="single"/>
        </w:rPr>
        <w:t>IP</w:t>
      </w:r>
      <w:r w:rsidRPr="00385985">
        <w:rPr>
          <w:rFonts w:eastAsia="Cambria"/>
          <w:sz w:val="12"/>
        </w:rPr>
        <w:t xml:space="preserve"> and how they’ve </w:t>
      </w:r>
      <w:r w:rsidRPr="00385985">
        <w:rPr>
          <w:rFonts w:eastAsia="Cambria"/>
          <w:b/>
          <w:iCs/>
          <w:u w:val="single"/>
        </w:rPr>
        <w:t>enabled innovative solutions to help global society navigate the COVID-19 pandemic.</w:t>
      </w:r>
    </w:p>
    <w:p w14:paraId="55190814" w14:textId="77777777" w:rsidR="00385985" w:rsidRPr="00385985" w:rsidRDefault="00385985" w:rsidP="00385985">
      <w:pPr>
        <w:keepNext/>
        <w:keepLines/>
        <w:spacing w:before="40" w:after="0"/>
        <w:outlineLvl w:val="3"/>
        <w:rPr>
          <w:rFonts w:eastAsia="MS Gothic" w:cs="Times New Roman"/>
          <w:b/>
          <w:iCs/>
          <w:sz w:val="26"/>
        </w:rPr>
      </w:pPr>
      <w:r>
        <w:rPr>
          <w:rFonts w:eastAsia="MS Gothic" w:cs="Times New Roman"/>
          <w:b/>
          <w:iCs/>
          <w:sz w:val="26"/>
        </w:rPr>
        <w:t>Reducing IP protections sets a precedent that spills over to future public health crises.</w:t>
      </w:r>
      <w:r w:rsidRPr="00385985">
        <w:rPr>
          <w:rFonts w:eastAsia="MS Gothic" w:cs="Times New Roman"/>
          <w:b/>
          <w:iCs/>
          <w:sz w:val="26"/>
        </w:rPr>
        <w:t xml:space="preserve"> – Hopkins 21:</w:t>
      </w:r>
    </w:p>
    <w:p w14:paraId="3C57CF57" w14:textId="77777777" w:rsidR="00385985" w:rsidRPr="00385985" w:rsidRDefault="00385985" w:rsidP="00385985">
      <w:pPr>
        <w:rPr>
          <w:rFonts w:eastAsia="Cambria"/>
          <w:sz w:val="16"/>
        </w:rPr>
      </w:pPr>
      <w:r w:rsidRPr="00385985">
        <w:rPr>
          <w:rFonts w:eastAsia="Cambria"/>
          <w:sz w:val="16"/>
        </w:rPr>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0FBA21E9" w14:textId="77777777" w:rsidR="00385985" w:rsidRPr="00385985" w:rsidRDefault="00385985" w:rsidP="00385985">
      <w:pPr>
        <w:ind w:left="720"/>
        <w:rPr>
          <w:rFonts w:eastAsia="Cambria"/>
          <w:sz w:val="12"/>
        </w:rPr>
      </w:pPr>
      <w:r w:rsidRPr="00385985">
        <w:rPr>
          <w:rFonts w:eastAsia="Cambria"/>
          <w:sz w:val="12"/>
        </w:rPr>
        <w:t xml:space="preserve">The Biden administration’s unexpected support for </w:t>
      </w:r>
      <w:hyperlink r:id="rId6" w:tgtFrame="_blank" w:history="1">
        <w:r w:rsidRPr="00385985">
          <w:rPr>
            <w:rFonts w:eastAsia="Cambria"/>
            <w:u w:val="single"/>
          </w:rPr>
          <w:t>temporarily waiving Covid-19 vaccine patents</w:t>
        </w:r>
      </w:hyperlink>
      <w:r w:rsidRPr="00385985">
        <w:rPr>
          <w:rFonts w:eastAsia="Cambria"/>
          <w:sz w:val="12"/>
        </w:rPr>
        <w:t xml:space="preserve"> won’t</w:t>
      </w:r>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7" w:history="1">
        <w:proofErr w:type="spellStart"/>
        <w:r w:rsidRPr="00385985">
          <w:rPr>
            <w:rFonts w:eastAsia="MS Gothic"/>
            <w:sz w:val="12"/>
          </w:rPr>
          <w:t>Moderna</w:t>
        </w:r>
        <w:proofErr w:type="spellEnd"/>
      </w:hyperlink>
      <w:r w:rsidRPr="00385985">
        <w:rPr>
          <w:rFonts w:eastAsia="Cambria"/>
          <w:sz w:val="12"/>
        </w:rPr>
        <w:t xml:space="preserve"> Inc., </w:t>
      </w:r>
      <w:hyperlink r:id="rId8" w:history="1">
        <w:r w:rsidRPr="00385985">
          <w:rPr>
            <w:rFonts w:eastAsia="MS Gothic"/>
            <w:sz w:val="12"/>
          </w:rPr>
          <w:t xml:space="preserve">MRNA -4.12% </w:t>
        </w:r>
      </w:hyperlink>
      <w:hyperlink r:id="rId9" w:history="1">
        <w:r w:rsidRPr="00385985">
          <w:rPr>
            <w:rFonts w:eastAsia="MS Gothic"/>
            <w:sz w:val="12"/>
          </w:rPr>
          <w:t>Pfizer</w:t>
        </w:r>
      </w:hyperlink>
      <w:r w:rsidRPr="00385985">
        <w:rPr>
          <w:rFonts w:eastAsia="Cambria"/>
          <w:sz w:val="12"/>
        </w:rPr>
        <w:t xml:space="preserve"> Inc. </w:t>
      </w:r>
      <w:hyperlink r:id="rId10"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 xml:space="preserve">vaccine makers weren’t counting on sales from the developing countries that would gain </w:t>
      </w:r>
      <w:r w:rsidRPr="00385985">
        <w:rPr>
          <w:rFonts w:eastAsia="Cambria"/>
          <w:u w:val="single"/>
        </w:rPr>
        <w:lastRenderedPageBreak/>
        <w:t>access to the vaccine technology</w:t>
      </w:r>
      <w:r w:rsidRPr="00385985">
        <w:rPr>
          <w:rFonts w:eastAsia="Cambria"/>
          <w:sz w:val="12"/>
        </w:rPr>
        <w:t xml:space="preserve">, analysts said. If patents and other crucial product information behind the technology is made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14:paraId="72B3B14C" w14:textId="77777777" w:rsidR="00A95652" w:rsidRDefault="00385985" w:rsidP="00385985">
      <w:pPr>
        <w:pStyle w:val="Heading2"/>
      </w:pPr>
      <w:r>
        <w:lastRenderedPageBreak/>
        <w:t>Contention 2: Counterfeits</w:t>
      </w:r>
    </w:p>
    <w:p w14:paraId="72A59FA6" w14:textId="77777777" w:rsidR="00385985" w:rsidRPr="00385985" w:rsidRDefault="00385985" w:rsidP="00385985">
      <w:pPr>
        <w:keepNext/>
        <w:keepLines/>
        <w:spacing w:before="40" w:after="0"/>
        <w:outlineLvl w:val="3"/>
        <w:rPr>
          <w:rFonts w:eastAsia="Times New Roman" w:cs="Times New Roman"/>
          <w:b/>
          <w:iCs/>
          <w:sz w:val="26"/>
        </w:rPr>
      </w:pPr>
      <w:r>
        <w:rPr>
          <w:rFonts w:eastAsia="Times New Roman" w:cs="Times New Roman"/>
          <w:b/>
          <w:iCs/>
          <w:sz w:val="26"/>
        </w:rPr>
        <w:t>Intellectual property protections are</w:t>
      </w:r>
      <w:r w:rsidRPr="00385985">
        <w:rPr>
          <w:rFonts w:eastAsia="Times New Roman" w:cs="Times New Roman"/>
          <w:b/>
          <w:iCs/>
          <w:sz w:val="26"/>
        </w:rPr>
        <w:t xml:space="preserve"> key to stopping counterfeits.</w:t>
      </w:r>
    </w:p>
    <w:p w14:paraId="56EAAB00" w14:textId="77777777" w:rsidR="00385985" w:rsidRPr="00385985" w:rsidRDefault="00385985" w:rsidP="00385985">
      <w:pPr>
        <w:rPr>
          <w:rFonts w:eastAsia="Calibri"/>
        </w:rPr>
      </w:pPr>
      <w:proofErr w:type="spellStart"/>
      <w:r w:rsidRPr="00385985">
        <w:rPr>
          <w:rFonts w:eastAsia="Calibri"/>
          <w:b/>
          <w:bCs/>
          <w:sz w:val="26"/>
        </w:rPr>
        <w:t>Kilbride</w:t>
      </w:r>
      <w:proofErr w:type="spellEnd"/>
      <w:r w:rsidRPr="00385985">
        <w:rPr>
          <w:rFonts w:eastAsia="Calibri"/>
          <w:b/>
          <w:bCs/>
          <w:sz w:val="26"/>
        </w:rPr>
        <w:t xml:space="preserve"> 2020</w:t>
      </w:r>
      <w:r w:rsidRPr="00385985">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03AEF70B" w14:textId="77777777" w:rsidR="00385985" w:rsidRPr="00385985" w:rsidRDefault="00385985" w:rsidP="00385985">
      <w:pPr>
        <w:ind w:left="720"/>
        <w:rPr>
          <w:rFonts w:eastAsia="Calibri"/>
          <w:u w:val="single"/>
        </w:rPr>
      </w:pPr>
      <w:r w:rsidRPr="00385985">
        <w:rPr>
          <w:rFonts w:eastAsia="Calibri"/>
          <w:sz w:val="12"/>
        </w:rPr>
        <w:t xml:space="preserve">Finally: A safe, legitimate marketplace. </w:t>
      </w:r>
      <w:r w:rsidRPr="00385985">
        <w:rPr>
          <w:rFonts w:eastAsia="Calibri"/>
          <w:highlight w:val="yellow"/>
          <w:u w:val="single"/>
        </w:rPr>
        <w:t>Patents</w:t>
      </w:r>
      <w:r w:rsidRPr="00385985">
        <w:rPr>
          <w:rFonts w:eastAsia="Calibri"/>
          <w:u w:val="single"/>
        </w:rPr>
        <w:t xml:space="preserve"> facilitate a market for innovative medicines</w:t>
      </w:r>
      <w:r w:rsidRPr="00385985">
        <w:rPr>
          <w:rFonts w:eastAsia="Calibri"/>
          <w:sz w:val="12"/>
        </w:rPr>
        <w:t xml:space="preserve">, throughout the development stage, as well as in commercialization.  Licensing arrangements facilitate the types of collaborations that have proven so successful in 2020; </w:t>
      </w:r>
      <w:r w:rsidRPr="00385985">
        <w:rPr>
          <w:rFonts w:eastAsia="Calibri"/>
          <w:u w:val="single"/>
        </w:rPr>
        <w:t xml:space="preserve">they also </w:t>
      </w:r>
      <w:r w:rsidRPr="00385985">
        <w:rPr>
          <w:rFonts w:eastAsia="Calibri"/>
          <w:highlight w:val="yellow"/>
          <w:u w:val="single"/>
        </w:rPr>
        <w:t>ensure that third-party manufacturers are making, using, and selling COVID</w:t>
      </w:r>
      <w:r w:rsidRPr="00385985">
        <w:rPr>
          <w:rFonts w:eastAsia="Calibri"/>
          <w:u w:val="single"/>
        </w:rPr>
        <w:t xml:space="preserve">-19 </w:t>
      </w:r>
      <w:r w:rsidRPr="00385985">
        <w:rPr>
          <w:rFonts w:eastAsia="Calibri"/>
          <w:highlight w:val="yellow"/>
          <w:u w:val="single"/>
        </w:rPr>
        <w:t>solutions safely and ethically.</w:t>
      </w:r>
      <w:r w:rsidRPr="00385985">
        <w:rPr>
          <w:rFonts w:eastAsia="Calibri"/>
          <w:sz w:val="12"/>
        </w:rPr>
        <w:t xml:space="preserve"> </w:t>
      </w:r>
      <w:r w:rsidRPr="00385985">
        <w:rPr>
          <w:rFonts w:eastAsia="Calibri"/>
          <w:highlight w:val="yellow"/>
          <w:u w:val="single"/>
        </w:rPr>
        <w:t>Without it, counterfeiters</w:t>
      </w:r>
      <w:r w:rsidRPr="00385985">
        <w:rPr>
          <w:rFonts w:eastAsia="Calibri"/>
          <w:u w:val="single"/>
        </w:rPr>
        <w:t xml:space="preserve"> and other bad actors could </w:t>
      </w:r>
      <w:r w:rsidRPr="00385985">
        <w:rPr>
          <w:rFonts w:eastAsia="Calibri"/>
          <w:highlight w:val="yellow"/>
          <w:u w:val="single"/>
        </w:rPr>
        <w:t>put shoddy, unreliable, and</w:t>
      </w:r>
      <w:r w:rsidRPr="00385985">
        <w:rPr>
          <w:rFonts w:eastAsia="Calibri"/>
          <w:u w:val="single"/>
        </w:rPr>
        <w:t xml:space="preserve"> downright </w:t>
      </w:r>
      <w:r w:rsidRPr="00385985">
        <w:rPr>
          <w:rFonts w:eastAsia="Calibri"/>
          <w:highlight w:val="yellow"/>
          <w:u w:val="single"/>
        </w:rPr>
        <w:t>dangerous dupes on the market,</w:t>
      </w:r>
      <w:r w:rsidRPr="00385985">
        <w:rPr>
          <w:rFonts w:eastAsia="Calibri"/>
          <w:u w:val="single"/>
        </w:rPr>
        <w:t xml:space="preserve"> all the </w:t>
      </w:r>
      <w:r w:rsidRPr="00385985">
        <w:rPr>
          <w:rFonts w:eastAsia="Calibri"/>
          <w:highlight w:val="yellow"/>
          <w:u w:val="single"/>
        </w:rPr>
        <w:t>while marketing them as legitimate products.</w:t>
      </w:r>
      <w:r w:rsidRPr="00385985">
        <w:rPr>
          <w:rFonts w:eastAsia="Calibri"/>
          <w:u w:val="single"/>
        </w:rPr>
        <w:t xml:space="preserve"> It’s literally a matter of life and death: </w:t>
      </w:r>
      <w:r w:rsidRPr="00385985">
        <w:rPr>
          <w:rFonts w:eastAsia="Calibri"/>
          <w:highlight w:val="yellow"/>
          <w:u w:val="single"/>
        </w:rPr>
        <w:t>Thousands, if not millions, of people die each year at the hands of counterfeit drugs.</w:t>
      </w:r>
    </w:p>
    <w:p w14:paraId="6A4824E1" w14:textId="77777777" w:rsidR="00385985" w:rsidRPr="00385985" w:rsidRDefault="00385985" w:rsidP="00385985">
      <w:pPr>
        <w:keepNext/>
        <w:keepLines/>
        <w:spacing w:before="40" w:after="0"/>
        <w:outlineLvl w:val="3"/>
        <w:rPr>
          <w:rFonts w:eastAsia="Times New Roman" w:cs="Times New Roman"/>
          <w:b/>
          <w:iCs/>
          <w:sz w:val="26"/>
        </w:rPr>
      </w:pPr>
      <w:r>
        <w:rPr>
          <w:rFonts w:eastAsia="Times New Roman" w:cs="Times New Roman"/>
          <w:b/>
          <w:iCs/>
          <w:sz w:val="26"/>
        </w:rPr>
        <w:t>This is a catastrophic outcome, because</w:t>
      </w:r>
      <w:r w:rsidRPr="00385985">
        <w:rPr>
          <w:rFonts w:eastAsia="Times New Roman" w:cs="Times New Roman"/>
          <w:b/>
          <w:iCs/>
          <w:sz w:val="26"/>
        </w:rPr>
        <w:t xml:space="preserve"> increased vaccine hesitancy means you’ll never solve.</w:t>
      </w:r>
    </w:p>
    <w:p w14:paraId="6CBBBB4E" w14:textId="77777777" w:rsidR="00385985" w:rsidRPr="00385985" w:rsidRDefault="00385985" w:rsidP="00385985">
      <w:pPr>
        <w:rPr>
          <w:rFonts w:eastAsia="Calibri"/>
        </w:rPr>
      </w:pPr>
      <w:proofErr w:type="spellStart"/>
      <w:r w:rsidRPr="00385985">
        <w:rPr>
          <w:rFonts w:eastAsia="Calibri"/>
          <w:b/>
          <w:bCs/>
          <w:sz w:val="26"/>
        </w:rPr>
        <w:t>Baschuk</w:t>
      </w:r>
      <w:proofErr w:type="spellEnd"/>
      <w:r w:rsidRPr="00385985">
        <w:rPr>
          <w:rFonts w:eastAsia="Calibri"/>
          <w:b/>
          <w:bCs/>
          <w:sz w:val="26"/>
        </w:rPr>
        <w:t xml:space="preserve"> 2021</w:t>
      </w:r>
      <w:r w:rsidRPr="00385985">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790D8AEE" w14:textId="77777777" w:rsidR="00385985" w:rsidRPr="00385985" w:rsidRDefault="00385985" w:rsidP="00385985">
      <w:pPr>
        <w:ind w:left="720"/>
        <w:rPr>
          <w:rFonts w:eastAsia="Calibri"/>
          <w:u w:val="single"/>
        </w:rPr>
      </w:pPr>
      <w:r w:rsidRPr="00385985">
        <w:rPr>
          <w:rFonts w:eastAsia="Calibri"/>
          <w:sz w:val="12"/>
        </w:rPr>
        <w:t xml:space="preserve">Specifically, opponents to </w:t>
      </w:r>
      <w:r w:rsidRPr="00385985">
        <w:rPr>
          <w:rFonts w:eastAsia="Calibri"/>
          <w:u w:val="single"/>
        </w:rPr>
        <w:t>the waiver say it would create a chaotic patchwork of laws, unravel existing industry partnerships, lead to a supply crunch for scarce vaccine inputs and inject even more uncertainty</w:t>
      </w:r>
      <w:r w:rsidRPr="00385985">
        <w:rPr>
          <w:rFonts w:eastAsia="Calibri"/>
          <w:sz w:val="12"/>
        </w:rPr>
        <w:t xml:space="preserve"> into already complex arrangements.¶ There’s also the possibility that </w:t>
      </w:r>
      <w:r w:rsidRPr="00385985">
        <w:rPr>
          <w:rFonts w:eastAsia="Calibri"/>
          <w:u w:val="single"/>
        </w:rPr>
        <w:t xml:space="preserve">an IP waiver could result in the production of </w:t>
      </w:r>
      <w:r w:rsidRPr="00385985">
        <w:rPr>
          <w:rFonts w:eastAsia="Calibri"/>
          <w:highlight w:val="yellow"/>
          <w:u w:val="single"/>
        </w:rPr>
        <w:t>counterfeit and substandard medicines</w:t>
      </w:r>
      <w:r w:rsidRPr="00385985">
        <w:rPr>
          <w:rFonts w:eastAsia="Calibri"/>
          <w:u w:val="single"/>
        </w:rPr>
        <w:t xml:space="preserve">, which could </w:t>
      </w:r>
      <w:r w:rsidRPr="00385985">
        <w:rPr>
          <w:rFonts w:eastAsia="Calibri"/>
          <w:highlight w:val="yellow"/>
          <w:u w:val="single"/>
        </w:rPr>
        <w:t>increase vaccine hesitancy that’s already pervasive in</w:t>
      </w:r>
      <w:r w:rsidRPr="00385985">
        <w:rPr>
          <w:rFonts w:eastAsia="Calibri"/>
          <w:u w:val="single"/>
        </w:rPr>
        <w:t xml:space="preserve"> even </w:t>
      </w:r>
      <w:r w:rsidRPr="00385985">
        <w:rPr>
          <w:rFonts w:eastAsia="Calibri"/>
          <w:highlight w:val="yellow"/>
          <w:u w:val="single"/>
        </w:rPr>
        <w:t>the world’s wealthiest nations.</w:t>
      </w:r>
    </w:p>
    <w:p w14:paraId="1797C65F" w14:textId="77777777" w:rsidR="00385985" w:rsidRDefault="00DC6F87" w:rsidP="00DC6F87">
      <w:pPr>
        <w:pStyle w:val="Heading2"/>
      </w:pPr>
      <w:r>
        <w:lastRenderedPageBreak/>
        <w:t>Contention 3: Public Funding is a Better Alternative</w:t>
      </w:r>
    </w:p>
    <w:p w14:paraId="34A1F25E" w14:textId="77777777" w:rsidR="00DC6F87" w:rsidRPr="00DC6F87" w:rsidRDefault="00DC6F87" w:rsidP="00DC6F87">
      <w:pPr>
        <w:pStyle w:val="Heading4"/>
      </w:pPr>
      <w:r>
        <w:t>If high income countries provide direct government support of efforts to solve public health crises, we don’t need to take away the intellectual property rights that protect innovation.</w:t>
      </w:r>
    </w:p>
    <w:p w14:paraId="43DBE168" w14:textId="77777777" w:rsidR="00DC6F87" w:rsidRPr="00DC6F87" w:rsidRDefault="00DC6F87" w:rsidP="00DC6F87">
      <w:r w:rsidRPr="00DC6F87">
        <w:rPr>
          <w:b/>
          <w:bCs/>
          <w:sz w:val="26"/>
        </w:rPr>
        <w:t xml:space="preserve">Lindsay 6/11 - </w:t>
      </w:r>
      <w:r w:rsidRPr="00DC6F87">
        <w:t>Brink Lindsay, Brookings, 6-11, 2021, Why intellectual property and pandemics don’t mix, https://www.brookings.edu/blog/up-front/2021/06/03/why-intellectual-property-and-pandemics-dont-mix/</w:t>
      </w:r>
    </w:p>
    <w:p w14:paraId="656323C7" w14:textId="77777777" w:rsidR="00DC6F87" w:rsidRPr="00DC6F87" w:rsidRDefault="00DC6F87" w:rsidP="00DC6F87">
      <w:pPr>
        <w:ind w:left="720"/>
        <w:rPr>
          <w:sz w:val="12"/>
        </w:rPr>
      </w:pPr>
      <w:r w:rsidRPr="00DC6F87">
        <w:rPr>
          <w:sz w:val="12"/>
        </w:rPr>
        <w:t xml:space="preserve">Waiving patent protections is certainly no panacea. </w:t>
      </w:r>
      <w:r w:rsidRPr="00DC6F87">
        <w:rPr>
          <w:b/>
          <w:iCs/>
          <w:highlight w:val="yellow"/>
          <w:u w:val="single"/>
        </w:rPr>
        <w:t>What is needed most urgently is a massive drive of technology transfer, capacity expansion, and supply line coordination to bring vaccine supply in line with global demand.</w:t>
      </w:r>
      <w:r w:rsidRPr="00DC6F87">
        <w:rPr>
          <w:sz w:val="12"/>
        </w:rPr>
        <w:t xml:space="preserve"> Dispensing with patents in no way obviates the need for governments to fund and oversee this effort.¶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DC6F87">
        <w:rPr>
          <w:b/>
          <w:bCs/>
          <w:u w:val="single"/>
        </w:rPr>
        <w:t>. The basic patent bargain</w:t>
      </w:r>
      <w:r w:rsidRPr="00DC6F87">
        <w:rPr>
          <w:sz w:val="12"/>
        </w:rPr>
        <w:t xml:space="preserve">, even when well struck, </w:t>
      </w:r>
      <w:r w:rsidRPr="00DC6F87">
        <w:rPr>
          <w:b/>
          <w:bCs/>
          <w:u w:val="single"/>
        </w:rPr>
        <w:t>is to pay for more innovation down the roa</w:t>
      </w:r>
      <w:r w:rsidRPr="00DC6F87">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DC6F87">
        <w:rPr>
          <w:b/>
          <w:bCs/>
          <w:u w:val="single"/>
        </w:rPr>
        <w:t xml:space="preserve"> </w:t>
      </w:r>
      <w:r w:rsidRPr="00DC6F87">
        <w:rPr>
          <w:b/>
          <w:bCs/>
          <w:highlight w:val="yellow"/>
          <w:u w:val="single"/>
        </w:rPr>
        <w:t xml:space="preserve">The most effective approach during a public health crisis is direct government support: public funding of R&amp;D, advance purchase commitments </w:t>
      </w:r>
      <w:r w:rsidRPr="00DC6F87">
        <w:rPr>
          <w:sz w:val="12"/>
        </w:rPr>
        <w:t>by the government</w:t>
      </w:r>
      <w:r w:rsidRPr="00DC6F87">
        <w:rPr>
          <w:b/>
          <w:bCs/>
          <w:highlight w:val="yellow"/>
          <w:u w:val="single"/>
        </w:rPr>
        <w:t xml:space="preserve"> to buy large numbers of doses at set prices, and other, related payouts. </w:t>
      </w:r>
      <w:r w:rsidRPr="00DC6F87">
        <w:rPr>
          <w:sz w:val="12"/>
        </w:rPr>
        <w:t>And when we pay drug makers,</w:t>
      </w:r>
      <w:r w:rsidRPr="00DC6F87">
        <w:rPr>
          <w:b/>
          <w:bCs/>
          <w:highlight w:val="yellow"/>
          <w:u w:val="single"/>
        </w:rPr>
        <w:t xml:space="preserve"> we should not hesitate to pay generously</w:t>
      </w:r>
      <w:r w:rsidRPr="00DC6F87">
        <w:rPr>
          <w:sz w:val="12"/>
        </w:rPr>
        <w:t>, even extravagantly</w:t>
      </w:r>
      <w:r w:rsidRPr="00DC6F87">
        <w:rPr>
          <w:b/>
          <w:bCs/>
          <w:highlight w:val="yellow"/>
          <w:u w:val="single"/>
        </w:rPr>
        <w:t xml:space="preserve">: we want to offer </w:t>
      </w:r>
      <w:r w:rsidRPr="00DC6F87">
        <w:rPr>
          <w:sz w:val="12"/>
        </w:rPr>
        <w:t>drug companies</w:t>
      </w:r>
      <w:r w:rsidRPr="00DC6F87">
        <w:rPr>
          <w:b/>
          <w:bCs/>
          <w:highlight w:val="yellow"/>
          <w:u w:val="single"/>
        </w:rPr>
        <w:t xml:space="preserve"> big profits so </w:t>
      </w:r>
      <w:r w:rsidRPr="00DC6F87">
        <w:rPr>
          <w:sz w:val="12"/>
        </w:rPr>
        <w:t>that</w:t>
      </w:r>
      <w:r w:rsidRPr="00DC6F87">
        <w:rPr>
          <w:b/>
          <w:bCs/>
          <w:highlight w:val="yellow"/>
          <w:u w:val="single"/>
        </w:rPr>
        <w:t xml:space="preserve"> they prioritize this work above everything else, and so that they are </w:t>
      </w:r>
      <w:r w:rsidRPr="00DC6F87">
        <w:rPr>
          <w:sz w:val="12"/>
        </w:rPr>
        <w:t>ready and</w:t>
      </w:r>
      <w:r w:rsidRPr="00DC6F87">
        <w:rPr>
          <w:b/>
          <w:bCs/>
          <w:highlight w:val="yellow"/>
          <w:u w:val="single"/>
        </w:rPr>
        <w:t xml:space="preserve"> eager to come to the rescue again the next time there’s a crisis.</w:t>
      </w:r>
      <w:r w:rsidRPr="00DC6F87">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DC6F87">
        <w:rPr>
          <w:b/>
          <w:bCs/>
          <w:u w:val="single"/>
        </w:rPr>
        <w:t xml:space="preserve">, </w:t>
      </w:r>
      <w:r w:rsidRPr="00DC6F87">
        <w:rPr>
          <w:b/>
          <w:bCs/>
          <w:highlight w:val="yellow"/>
          <w:u w:val="single"/>
        </w:rPr>
        <w:t xml:space="preserve">the chief advantage of direct support </w:t>
      </w:r>
      <w:r w:rsidRPr="00DC6F87">
        <w:rPr>
          <w:sz w:val="12"/>
        </w:rPr>
        <w:t xml:space="preserve">isn’t to “get </w:t>
      </w:r>
      <w:r w:rsidRPr="00DC6F87">
        <w:rPr>
          <w:sz w:val="12"/>
        </w:rPr>
        <w:lastRenderedPageBreak/>
        <w:t>tough” with drug firms and keep a lid on their profits. Instead, it</w:t>
      </w:r>
      <w:r w:rsidRPr="00DC6F87">
        <w:rPr>
          <w:b/>
          <w:bCs/>
          <w:highlight w:val="yellow"/>
          <w:u w:val="single"/>
        </w:rPr>
        <w:t xml:space="preserve"> is to accelerate the end of the public health emergency by making sure drug makers profit </w:t>
      </w:r>
      <w:r w:rsidRPr="00DC6F87">
        <w:rPr>
          <w:sz w:val="12"/>
        </w:rPr>
        <w:t>handsomely</w:t>
      </w:r>
      <w:r w:rsidRPr="00DC6F87">
        <w:rPr>
          <w:b/>
          <w:bCs/>
          <w:highlight w:val="yellow"/>
          <w:u w:val="single"/>
        </w:rPr>
        <w:t xml:space="preserve"> from doing the right thing.</w:t>
      </w:r>
      <w:r w:rsidRPr="00DC6F87">
        <w:rPr>
          <w:sz w:val="12"/>
        </w:rPr>
        <w:t xml:space="preserve"> Patent law and direct support should be seen not as either-or alternatives but as complements that apply different incentives to different circumstances and time horizons</w:t>
      </w:r>
      <w:r w:rsidRPr="00DC6F87">
        <w:rPr>
          <w:b/>
          <w:bCs/>
          <w:u w:val="single"/>
        </w:rPr>
        <w:t>. Patent law provides a decentralized system for encouraging innovation. The government doesn’t presume to tell the industry which new drugs are needed</w:t>
      </w:r>
      <w:r w:rsidRPr="00DC6F87">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DC6F87">
        <w:rPr>
          <w:b/>
          <w:bCs/>
          <w:highlight w:val="yellow"/>
          <w:u w:val="single"/>
        </w:rPr>
        <w:t>If pharmaceutical firms develop effective vaccines and therapies, the government will buy large, predetermined quantities at prices set high enough to guarantee a healthy return.</w:t>
      </w:r>
      <w:r w:rsidRPr="00DC6F87">
        <w:rPr>
          <w:sz w:val="12"/>
        </w:rPr>
        <w:t xml:space="preserve"> For the pharmaceutical industry, it is useful to conceive of </w:t>
      </w:r>
      <w:r w:rsidRPr="00DC6F87">
        <w:rPr>
          <w:b/>
          <w:bCs/>
          <w:u w:val="single"/>
        </w:rPr>
        <w:t>patent law</w:t>
      </w:r>
      <w:r w:rsidRPr="00DC6F87">
        <w:rPr>
          <w:sz w:val="12"/>
        </w:rPr>
        <w:t xml:space="preserve"> as the default regime for innovation promotion. It </w:t>
      </w:r>
      <w:r w:rsidRPr="00DC6F87">
        <w:rPr>
          <w:b/>
          <w:bCs/>
          <w:u w:val="single"/>
        </w:rPr>
        <w:t>improves pharmaceutical companies’ incentives to develop new drugs while leaving them free to decide which new drugs to pursu</w:t>
      </w:r>
      <w:r w:rsidRPr="00DC6F87">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DC6F87">
        <w:rPr>
          <w:b/>
          <w:iCs/>
          <w:highlight w:val="yellow"/>
          <w:u w:val="single"/>
        </w:rPr>
        <w:t>incentive effects are a vital safeguard of public health in the event of future crises.</w:t>
      </w:r>
      <w:r w:rsidRPr="00DC6F87">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276070B2" w14:textId="77777777" w:rsidR="00DC6F87" w:rsidRPr="00DC6F87" w:rsidRDefault="00DC6F87" w:rsidP="00DC6F87">
      <w:pPr>
        <w:pStyle w:val="Heading4"/>
      </w:pPr>
    </w:p>
    <w:sectPr w:rsidR="00DC6F87" w:rsidRPr="00DC6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385985"/>
    <w:rsid w:val="00007D34"/>
    <w:rsid w:val="000139A3"/>
    <w:rsid w:val="00054A6C"/>
    <w:rsid w:val="000C49A7"/>
    <w:rsid w:val="00100833"/>
    <w:rsid w:val="00104529"/>
    <w:rsid w:val="00105942"/>
    <w:rsid w:val="00107396"/>
    <w:rsid w:val="00144A4C"/>
    <w:rsid w:val="00167671"/>
    <w:rsid w:val="00176AB0"/>
    <w:rsid w:val="00177B7D"/>
    <w:rsid w:val="001803B6"/>
    <w:rsid w:val="0018322D"/>
    <w:rsid w:val="001A1121"/>
    <w:rsid w:val="001B5776"/>
    <w:rsid w:val="001E527A"/>
    <w:rsid w:val="001F78CE"/>
    <w:rsid w:val="00251FC7"/>
    <w:rsid w:val="002855A7"/>
    <w:rsid w:val="002B146A"/>
    <w:rsid w:val="002B5E17"/>
    <w:rsid w:val="002D5542"/>
    <w:rsid w:val="00315690"/>
    <w:rsid w:val="00316B75"/>
    <w:rsid w:val="00325646"/>
    <w:rsid w:val="003332D1"/>
    <w:rsid w:val="003460F2"/>
    <w:rsid w:val="0035658F"/>
    <w:rsid w:val="0038158C"/>
    <w:rsid w:val="00385985"/>
    <w:rsid w:val="003902BA"/>
    <w:rsid w:val="00397681"/>
    <w:rsid w:val="003A09E2"/>
    <w:rsid w:val="003F29D6"/>
    <w:rsid w:val="004046D0"/>
    <w:rsid w:val="00407037"/>
    <w:rsid w:val="00432D97"/>
    <w:rsid w:val="004605D6"/>
    <w:rsid w:val="00462F1A"/>
    <w:rsid w:val="004932CD"/>
    <w:rsid w:val="004C60E8"/>
    <w:rsid w:val="004E3579"/>
    <w:rsid w:val="004E728B"/>
    <w:rsid w:val="004F39E0"/>
    <w:rsid w:val="00537BD5"/>
    <w:rsid w:val="00545551"/>
    <w:rsid w:val="0057268A"/>
    <w:rsid w:val="005C66DF"/>
    <w:rsid w:val="005D2912"/>
    <w:rsid w:val="006065BD"/>
    <w:rsid w:val="00632DBD"/>
    <w:rsid w:val="00645FA9"/>
    <w:rsid w:val="00647866"/>
    <w:rsid w:val="00665003"/>
    <w:rsid w:val="00675DD8"/>
    <w:rsid w:val="00680538"/>
    <w:rsid w:val="006A2AD0"/>
    <w:rsid w:val="006C2375"/>
    <w:rsid w:val="006D4ECC"/>
    <w:rsid w:val="00703BEB"/>
    <w:rsid w:val="00722258"/>
    <w:rsid w:val="007243E5"/>
    <w:rsid w:val="00766EA0"/>
    <w:rsid w:val="007A2226"/>
    <w:rsid w:val="007A316E"/>
    <w:rsid w:val="007E6464"/>
    <w:rsid w:val="007F5B66"/>
    <w:rsid w:val="00810D7C"/>
    <w:rsid w:val="00813322"/>
    <w:rsid w:val="00823A1C"/>
    <w:rsid w:val="00845B9D"/>
    <w:rsid w:val="00860984"/>
    <w:rsid w:val="008B3ECB"/>
    <w:rsid w:val="008B4E85"/>
    <w:rsid w:val="008C1B2E"/>
    <w:rsid w:val="008D5D44"/>
    <w:rsid w:val="0091627E"/>
    <w:rsid w:val="00927D20"/>
    <w:rsid w:val="00936D50"/>
    <w:rsid w:val="0097032B"/>
    <w:rsid w:val="009C6121"/>
    <w:rsid w:val="009D2EAD"/>
    <w:rsid w:val="009D54B2"/>
    <w:rsid w:val="009E1922"/>
    <w:rsid w:val="009F7ED2"/>
    <w:rsid w:val="00A02EC2"/>
    <w:rsid w:val="00A93661"/>
    <w:rsid w:val="00A9516B"/>
    <w:rsid w:val="00A95652"/>
    <w:rsid w:val="00AB0987"/>
    <w:rsid w:val="00AC0AB8"/>
    <w:rsid w:val="00AC3555"/>
    <w:rsid w:val="00B20F27"/>
    <w:rsid w:val="00B33C6D"/>
    <w:rsid w:val="00B4508F"/>
    <w:rsid w:val="00B55AD5"/>
    <w:rsid w:val="00B8057C"/>
    <w:rsid w:val="00BD6238"/>
    <w:rsid w:val="00BF593B"/>
    <w:rsid w:val="00BF773A"/>
    <w:rsid w:val="00BF7E81"/>
    <w:rsid w:val="00C13773"/>
    <w:rsid w:val="00C13942"/>
    <w:rsid w:val="00C17CC8"/>
    <w:rsid w:val="00C34301"/>
    <w:rsid w:val="00C53A20"/>
    <w:rsid w:val="00C54E2F"/>
    <w:rsid w:val="00C807D9"/>
    <w:rsid w:val="00C83417"/>
    <w:rsid w:val="00C9604F"/>
    <w:rsid w:val="00CA19AA"/>
    <w:rsid w:val="00CB4CF9"/>
    <w:rsid w:val="00CC5298"/>
    <w:rsid w:val="00CD736E"/>
    <w:rsid w:val="00CD798D"/>
    <w:rsid w:val="00CE161E"/>
    <w:rsid w:val="00CF59A8"/>
    <w:rsid w:val="00D325A9"/>
    <w:rsid w:val="00D36A8A"/>
    <w:rsid w:val="00D61409"/>
    <w:rsid w:val="00D6691E"/>
    <w:rsid w:val="00D71170"/>
    <w:rsid w:val="00D870CA"/>
    <w:rsid w:val="00DA1C92"/>
    <w:rsid w:val="00DA25D4"/>
    <w:rsid w:val="00DA6538"/>
    <w:rsid w:val="00DC6F87"/>
    <w:rsid w:val="00E05A37"/>
    <w:rsid w:val="00E15E75"/>
    <w:rsid w:val="00E5262C"/>
    <w:rsid w:val="00E64CE5"/>
    <w:rsid w:val="00E941D3"/>
    <w:rsid w:val="00EC7DC4"/>
    <w:rsid w:val="00ED30CF"/>
    <w:rsid w:val="00EE4505"/>
    <w:rsid w:val="00EE5276"/>
    <w:rsid w:val="00F176EF"/>
    <w:rsid w:val="00F345A5"/>
    <w:rsid w:val="00F45E10"/>
    <w:rsid w:val="00F60384"/>
    <w:rsid w:val="00F6364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95AC9"/>
  <w15:chartTrackingRefBased/>
  <w15:docId w15:val="{8A068361-17A6-4594-B941-BB575C7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985"/>
    <w:rPr>
      <w:rFonts w:ascii="Calibri" w:hAnsi="Calibri" w:cs="Calibri"/>
    </w:rPr>
  </w:style>
  <w:style w:type="paragraph" w:styleId="Heading1">
    <w:name w:val="heading 1"/>
    <w:aliases w:val="Pocket"/>
    <w:basedOn w:val="Normal"/>
    <w:next w:val="Normal"/>
    <w:link w:val="Heading1Char"/>
    <w:qFormat/>
    <w:rsid w:val="003859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9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9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859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859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9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98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85985"/>
    <w:rPr>
      <w:rFonts w:ascii="Calibri" w:eastAsiaTheme="majorEastAsia" w:hAnsi="Calibri" w:cstheme="majorBidi"/>
      <w:b/>
      <w:iCs/>
      <w:sz w:val="26"/>
    </w:rPr>
  </w:style>
  <w:style w:type="character" w:styleId="Emphasis">
    <w:name w:val="Emphasis"/>
    <w:basedOn w:val="DefaultParagraphFont"/>
    <w:uiPriority w:val="7"/>
    <w:qFormat/>
    <w:rsid w:val="0038598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85985"/>
    <w:rPr>
      <w:b/>
      <w:bCs/>
      <w:sz w:val="26"/>
      <w:u w:val="none"/>
    </w:rPr>
  </w:style>
  <w:style w:type="character" w:customStyle="1" w:styleId="StyleUnderline">
    <w:name w:val="Style Underline"/>
    <w:aliases w:val="Underline"/>
    <w:basedOn w:val="DefaultParagraphFont"/>
    <w:uiPriority w:val="6"/>
    <w:qFormat/>
    <w:rsid w:val="00385985"/>
    <w:rPr>
      <w:b w:val="0"/>
      <w:sz w:val="22"/>
      <w:u w:val="single"/>
    </w:rPr>
  </w:style>
  <w:style w:type="character" w:styleId="Hyperlink">
    <w:name w:val="Hyperlink"/>
    <w:basedOn w:val="DefaultParagraphFont"/>
    <w:uiPriority w:val="99"/>
    <w:semiHidden/>
    <w:unhideWhenUsed/>
    <w:rsid w:val="00385985"/>
    <w:rPr>
      <w:color w:val="auto"/>
      <w:u w:val="none"/>
    </w:rPr>
  </w:style>
  <w:style w:type="character" w:styleId="FollowedHyperlink">
    <w:name w:val="FollowedHyperlink"/>
    <w:basedOn w:val="DefaultParagraphFont"/>
    <w:uiPriority w:val="99"/>
    <w:semiHidden/>
    <w:unhideWhenUsed/>
    <w:rsid w:val="0038598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MRNA?mod=chiclets" TargetMode="External"/><Relationship Id="rId3" Type="http://schemas.openxmlformats.org/officeDocument/2006/relationships/styles" Target="styles.xml"/><Relationship Id="rId7" Type="http://schemas.openxmlformats.org/officeDocument/2006/relationships/hyperlink" Target="https://www.wsj.com/market-data/quotes/MRN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sj.com/articles/u-s-backs-waiver-of-intellectual-property-protection-for-covid-19-vaccines-11620243518?mod=article_inlin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sj.com/market-data/quotes/PFE?mod=chiclets" TargetMode="External"/><Relationship Id="rId4" Type="http://schemas.openxmlformats.org/officeDocument/2006/relationships/settings" Target="settings.xml"/><Relationship Id="rId9" Type="http://schemas.openxmlformats.org/officeDocument/2006/relationships/hyperlink" Target="https://www.wsj.com/market-data/quotes/P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62F2D-F11B-4BD2-81BA-DEB220FD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C:\Users\Torsona\AppData\Roaming\Microsoft\Templates\Debate.dotm</Template>
  <TotalTime>0</TotalTime>
  <Pages>8</Pages>
  <Words>5491</Words>
  <Characters>31304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Moreno, Francesca</cp:lastModifiedBy>
  <cp:revision>2</cp:revision>
  <dcterms:created xsi:type="dcterms:W3CDTF">2021-09-30T23:58:00Z</dcterms:created>
  <dcterms:modified xsi:type="dcterms:W3CDTF">2021-09-30T23:58:00Z</dcterms:modified>
</cp:coreProperties>
</file>