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7C041" w14:textId="77777777" w:rsidR="00AF50A8" w:rsidRDefault="00AF50A8" w:rsidP="00AF50A8">
      <w:pPr>
        <w:pStyle w:val="Heading1"/>
      </w:pPr>
      <w:r>
        <w:t>Novice AC</w:t>
      </w:r>
    </w:p>
    <w:p w14:paraId="7DA736EE" w14:textId="77777777" w:rsidR="00AF50A8" w:rsidRDefault="00AF50A8" w:rsidP="00AF50A8">
      <w:pPr>
        <w:pStyle w:val="Heading4"/>
      </w:pPr>
      <w:r>
        <w:t>I affirm – Resolved: The member nations of the World Trade Organization ought to reduce intellectual property protections for medicines.</w:t>
      </w:r>
    </w:p>
    <w:p w14:paraId="12F346F1" w14:textId="77777777" w:rsidR="00AF50A8" w:rsidRPr="00652CB7" w:rsidRDefault="00AF50A8" w:rsidP="00AF50A8"/>
    <w:p w14:paraId="19F55668" w14:textId="77777777" w:rsidR="00AF50A8" w:rsidRPr="00AB7B93" w:rsidRDefault="00AF50A8" w:rsidP="00AF50A8">
      <w:pPr>
        <w:keepNext/>
        <w:keepLines/>
        <w:spacing w:before="40" w:after="0"/>
        <w:outlineLvl w:val="3"/>
        <w:rPr>
          <w:rFonts w:eastAsiaTheme="majorEastAsia" w:cstheme="majorBidi"/>
          <w:b/>
          <w:iCs/>
          <w:sz w:val="26"/>
        </w:rPr>
      </w:pPr>
      <w:r w:rsidRPr="00AB7B93">
        <w:rPr>
          <w:rFonts w:eastAsiaTheme="majorEastAsia" w:cstheme="majorBidi"/>
          <w:b/>
          <w:iCs/>
          <w:sz w:val="26"/>
        </w:rPr>
        <w:t xml:space="preserve">Because the resolution asks what we </w:t>
      </w:r>
      <w:r w:rsidRPr="00AB7B93">
        <w:rPr>
          <w:rFonts w:eastAsiaTheme="majorEastAsia" w:cstheme="majorBidi"/>
          <w:b/>
          <w:i/>
          <w:iCs/>
          <w:sz w:val="26"/>
        </w:rPr>
        <w:t>ought</w:t>
      </w:r>
      <w:r w:rsidRPr="00AB7B93">
        <w:rPr>
          <w:rFonts w:eastAsiaTheme="majorEastAsia" w:cstheme="majorBidi"/>
          <w:b/>
          <w:iCs/>
          <w:sz w:val="26"/>
        </w:rPr>
        <w:t xml:space="preserve"> to do, my value is Morality.</w:t>
      </w:r>
    </w:p>
    <w:p w14:paraId="740098DD" w14:textId="77777777" w:rsidR="00AF50A8" w:rsidRPr="00AB7B93" w:rsidRDefault="00AF50A8" w:rsidP="00AF50A8"/>
    <w:p w14:paraId="55F54241" w14:textId="77777777" w:rsidR="00AF50A8" w:rsidRDefault="00AF50A8" w:rsidP="00AF50A8">
      <w:pPr>
        <w:pStyle w:val="Heading4"/>
      </w:pPr>
      <w:r w:rsidRPr="00AB7B93">
        <w:t xml:space="preserve">The </w:t>
      </w:r>
      <w:r>
        <w:t>criterion</w:t>
      </w:r>
      <w:r w:rsidRPr="00AB7B93">
        <w:t xml:space="preserve">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3CFBAE13" w14:textId="77777777" w:rsidR="00AF50A8" w:rsidRDefault="00AF50A8" w:rsidP="00AF50A8"/>
    <w:p w14:paraId="1E51EF6A" w14:textId="77777777" w:rsidR="00AF50A8" w:rsidRDefault="00AF50A8" w:rsidP="00AF50A8">
      <w:pPr>
        <w:pStyle w:val="Heading4"/>
        <w:rPr>
          <w:rFonts w:eastAsia="Calibri"/>
        </w:rPr>
      </w:pPr>
      <w:r>
        <w:rPr>
          <w:rFonts w:eastAsia="Calibri"/>
        </w:rPr>
        <w:t>Moreover</w:t>
      </w:r>
      <w:r w:rsidRPr="00FF0A55">
        <w:rPr>
          <w:rFonts w:eastAsia="Calibri"/>
        </w:rPr>
        <w:t xml:space="preserve">, maximizing </w:t>
      </w:r>
      <w:r>
        <w:rPr>
          <w:rFonts w:eastAsia="Calibri"/>
        </w:rPr>
        <w:t>utility</w:t>
      </w:r>
      <w:r w:rsidRPr="00FF0A55">
        <w:rPr>
          <w:rFonts w:eastAsia="Calibri"/>
        </w:rPr>
        <w:t xml:space="preserve"> is the only way to affirm equal and unconditional human dignity.</w:t>
      </w:r>
    </w:p>
    <w:p w14:paraId="485A672F" w14:textId="77777777" w:rsidR="00AF50A8" w:rsidRPr="00FF0A55" w:rsidRDefault="00AF50A8" w:rsidP="00AF50A8">
      <w:proofErr w:type="spellStart"/>
      <w:r w:rsidRPr="00FF0A55">
        <w:rPr>
          <w:b/>
          <w:bCs/>
          <w:sz w:val="26"/>
        </w:rPr>
        <w:t>Cummiskey</w:t>
      </w:r>
      <w:proofErr w:type="spellEnd"/>
      <w:r w:rsidRPr="00FF0A55">
        <w:rPr>
          <w:b/>
          <w:bCs/>
          <w:sz w:val="26"/>
        </w:rPr>
        <w:t xml:space="preserve"> ’90 - </w:t>
      </w:r>
      <w:r w:rsidRPr="00727219">
        <w:rPr>
          <w:sz w:val="16"/>
        </w:rPr>
        <w:t xml:space="preserve">David </w:t>
      </w:r>
      <w:proofErr w:type="spellStart"/>
      <w:r w:rsidRPr="00727219">
        <w:rPr>
          <w:sz w:val="16"/>
        </w:rPr>
        <w:t>Cummiskey</w:t>
      </w:r>
      <w:proofErr w:type="spellEnd"/>
      <w:r w:rsidRPr="00727219">
        <w:rPr>
          <w:sz w:val="16"/>
        </w:rPr>
        <w:t>. [Associate Philoso</w:t>
      </w:r>
      <w:bookmarkStart w:id="0" w:name="_GoBack"/>
      <w:bookmarkEnd w:id="0"/>
      <w:r w:rsidRPr="00727219">
        <w:rPr>
          <w:sz w:val="16"/>
        </w:rPr>
        <w:t>phy Professor at Bates College</w:t>
      </w:r>
      <w:proofErr w:type="gramStart"/>
      <w:r w:rsidRPr="00727219">
        <w:rPr>
          <w:sz w:val="16"/>
        </w:rPr>
        <w:t>].Kantian</w:t>
      </w:r>
      <w:proofErr w:type="gramEnd"/>
      <w:r w:rsidRPr="00727219">
        <w:rPr>
          <w:sz w:val="16"/>
        </w:rPr>
        <w:t xml:space="preserve"> Consequentialism. Ethics, Vol. 100, No. 3. 1990. http://www.jstor.org/stable/2381810. </w:t>
      </w:r>
    </w:p>
    <w:p w14:paraId="4F356052" w14:textId="77777777" w:rsidR="00AF50A8" w:rsidRPr="00FF0A55" w:rsidRDefault="00AF50A8" w:rsidP="00AF50A8">
      <w:pPr>
        <w:spacing w:after="0" w:line="240" w:lineRule="auto"/>
        <w:jc w:val="both"/>
        <w:rPr>
          <w:rFonts w:eastAsia="Calibri"/>
          <w:b/>
          <w:bCs/>
          <w:sz w:val="24"/>
        </w:rPr>
      </w:pPr>
    </w:p>
    <w:p w14:paraId="4DBD195B" w14:textId="77777777" w:rsidR="00AF50A8" w:rsidRPr="00FF0A55" w:rsidRDefault="00AF50A8" w:rsidP="00AF50A8">
      <w:pPr>
        <w:spacing w:after="0" w:line="240" w:lineRule="auto"/>
        <w:ind w:left="720"/>
        <w:rPr>
          <w:rFonts w:eastAsia="Times New Roman"/>
          <w:sz w:val="12"/>
        </w:rPr>
      </w:pPr>
      <w:bookmarkStart w:id="1" w:name="_Toc251595564"/>
      <w:r w:rsidRPr="00FF0A55">
        <w:rPr>
          <w:rFonts w:eastAsia="Times New Roman"/>
          <w:sz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FF0A55">
        <w:rPr>
          <w:rFonts w:eastAsia="Times New Roman"/>
          <w:sz w:val="12"/>
        </w:rPr>
        <w:t>Nozick</w:t>
      </w:r>
      <w:proofErr w:type="spellEnd"/>
      <w:r w:rsidRPr="00FF0A55">
        <w:rPr>
          <w:rFonts w:eastAsia="Times New Roman"/>
          <w:sz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F0A55">
        <w:rPr>
          <w:rFonts w:eastAsia="Times New Roman"/>
          <w:b/>
          <w:bCs/>
          <w:sz w:val="24"/>
          <w:u w:val="single"/>
        </w:rPr>
        <w:t xml:space="preserve"> By emphasizing </w:t>
      </w:r>
      <w:proofErr w:type="gramStart"/>
      <w:r w:rsidRPr="00FF0A55">
        <w:rPr>
          <w:rFonts w:eastAsia="Times New Roman"/>
          <w:b/>
          <w:bCs/>
          <w:sz w:val="24"/>
          <w:u w:val="single"/>
        </w:rPr>
        <w:t>solely</w:t>
      </w:r>
      <w:proofErr w:type="gramEnd"/>
      <w:r w:rsidRPr="00FF0A55">
        <w:rPr>
          <w:rFonts w:eastAsia="Times New Roman"/>
          <w:b/>
          <w:bCs/>
          <w:sz w:val="24"/>
          <w:u w:val="single"/>
        </w:rPr>
        <w:t xml:space="preserve"> the one who must bear the cost if we act, we fail to</w:t>
      </w:r>
      <w:r w:rsidRPr="00FF0A55">
        <w:rPr>
          <w:rFonts w:eastAsia="Times New Roman"/>
          <w:sz w:val="12"/>
        </w:rPr>
        <w:t xml:space="preserve"> sufficiently </w:t>
      </w:r>
      <w:r w:rsidRPr="00FF0A55">
        <w:rPr>
          <w:rFonts w:eastAsia="Times New Roman"/>
          <w:b/>
          <w:bCs/>
          <w:sz w:val="24"/>
          <w:u w:val="single"/>
        </w:rPr>
        <w:t>respect</w:t>
      </w:r>
      <w:r w:rsidRPr="00FF0A55">
        <w:rPr>
          <w:rFonts w:eastAsia="Times New Roman"/>
          <w:sz w:val="12"/>
        </w:rPr>
        <w:t xml:space="preserve"> and take account of </w:t>
      </w:r>
      <w:r w:rsidRPr="00FF0A55">
        <w:rPr>
          <w:rFonts w:eastAsia="Times New Roman"/>
          <w:b/>
          <w:bCs/>
          <w:sz w:val="24"/>
          <w:u w:val="single"/>
        </w:rPr>
        <w:t>the many other separate persons</w:t>
      </w:r>
      <w:r w:rsidRPr="00FF0A55">
        <w:rPr>
          <w:rFonts w:eastAsia="Times New Roman"/>
          <w:sz w:val="12"/>
        </w:rPr>
        <w:t xml:space="preserve">, </w:t>
      </w:r>
      <w:r w:rsidRPr="00FF0A55">
        <w:rPr>
          <w:rFonts w:eastAsia="Times New Roman"/>
          <w:b/>
          <w:bCs/>
          <w:sz w:val="24"/>
          <w:u w:val="single"/>
        </w:rPr>
        <w:t>each with only one life, who will bear the cost of our inaction.</w:t>
      </w:r>
      <w:r w:rsidRPr="00FF0A55">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011D46">
        <w:rPr>
          <w:rFonts w:eastAsia="Times New Roman"/>
          <w:sz w:val="12"/>
          <w:highlight w:val="yellow"/>
        </w:rPr>
        <w:t xml:space="preserve">. </w:t>
      </w:r>
      <w:r w:rsidRPr="00011D46">
        <w:rPr>
          <w:rFonts w:eastAsia="Times New Roman"/>
          <w:b/>
          <w:bCs/>
          <w:sz w:val="24"/>
          <w:highlight w:val="yellow"/>
          <w:u w:val="single"/>
        </w:rPr>
        <w:t>If one</w:t>
      </w:r>
      <w:r w:rsidRPr="00FF0A55">
        <w:rPr>
          <w:rFonts w:eastAsia="Times New Roman"/>
          <w:sz w:val="12"/>
        </w:rPr>
        <w:t xml:space="preserve"> truly </w:t>
      </w:r>
      <w:r w:rsidRPr="00011D46">
        <w:rPr>
          <w:rFonts w:eastAsia="Times New Roman"/>
          <w:b/>
          <w:bCs/>
          <w:sz w:val="24"/>
          <w:highlight w:val="yellow"/>
          <w:u w:val="single"/>
        </w:rPr>
        <w:t>believes</w:t>
      </w:r>
      <w:r w:rsidRPr="00FF0A55">
        <w:rPr>
          <w:rFonts w:eastAsia="Times New Roman"/>
          <w:sz w:val="12"/>
        </w:rPr>
        <w:t xml:space="preserve"> that </w:t>
      </w:r>
      <w:r w:rsidRPr="00011D46">
        <w:rPr>
          <w:rFonts w:eastAsia="Times New Roman"/>
          <w:b/>
          <w:bCs/>
          <w:sz w:val="24"/>
          <w:highlight w:val="yellow"/>
          <w:u w:val="single"/>
        </w:rPr>
        <w:t>all rational beings have</w:t>
      </w:r>
      <w:r w:rsidRPr="00FF0A55">
        <w:rPr>
          <w:rFonts w:eastAsia="Times New Roman"/>
          <w:sz w:val="12"/>
        </w:rPr>
        <w:t xml:space="preserve"> an </w:t>
      </w:r>
      <w:r w:rsidRPr="00011D46">
        <w:rPr>
          <w:rFonts w:eastAsia="Times New Roman"/>
          <w:b/>
          <w:bCs/>
          <w:sz w:val="24"/>
          <w:highlight w:val="yellow"/>
          <w:u w:val="single"/>
        </w:rPr>
        <w:t>equal value</w:t>
      </w:r>
      <w:r w:rsidRPr="00FF0A55">
        <w:rPr>
          <w:rFonts w:eastAsia="Times New Roman"/>
          <w:sz w:val="12"/>
        </w:rPr>
        <w:t xml:space="preserve">, then </w:t>
      </w:r>
      <w:r w:rsidRPr="00011D46">
        <w:rPr>
          <w:rFonts w:eastAsia="Times New Roman"/>
          <w:b/>
          <w:bCs/>
          <w:sz w:val="24"/>
          <w:highlight w:val="yellow"/>
          <w:u w:val="single"/>
        </w:rPr>
        <w:t>the</w:t>
      </w:r>
      <w:r w:rsidRPr="00FF0A55">
        <w:rPr>
          <w:rFonts w:eastAsia="Times New Roman"/>
          <w:sz w:val="12"/>
        </w:rPr>
        <w:t xml:space="preserve"> rational </w:t>
      </w:r>
      <w:r w:rsidRPr="00011D46">
        <w:rPr>
          <w:rFonts w:eastAsia="Times New Roman"/>
          <w:b/>
          <w:bCs/>
          <w:sz w:val="24"/>
          <w:highlight w:val="yellow"/>
          <w:u w:val="single"/>
        </w:rPr>
        <w:t>solution</w:t>
      </w:r>
      <w:r w:rsidRPr="00FF0A55">
        <w:rPr>
          <w:rFonts w:eastAsia="Times New Roman"/>
          <w:sz w:val="12"/>
        </w:rPr>
        <w:t xml:space="preserve"> to such a dilemma </w:t>
      </w:r>
      <w:r w:rsidRPr="00011D46">
        <w:rPr>
          <w:rFonts w:eastAsia="Times New Roman"/>
          <w:b/>
          <w:bCs/>
          <w:sz w:val="24"/>
          <w:highlight w:val="yellow"/>
          <w:u w:val="single"/>
        </w:rPr>
        <w:t>involves maximally promoting the lives and liberties of as many</w:t>
      </w:r>
      <w:r w:rsidRPr="00FF0A55">
        <w:rPr>
          <w:rFonts w:eastAsia="Times New Roman"/>
          <w:sz w:val="12"/>
        </w:rPr>
        <w:t xml:space="preserve"> rational beings </w:t>
      </w:r>
      <w:r w:rsidRPr="00011D46">
        <w:rPr>
          <w:rFonts w:eastAsia="Times New Roman"/>
          <w:b/>
          <w:bCs/>
          <w:sz w:val="24"/>
          <w:highlight w:val="yellow"/>
          <w:u w:val="single"/>
        </w:rPr>
        <w:t>as possible</w:t>
      </w:r>
      <w:r w:rsidRPr="00FF0A55">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011D4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F0A55">
        <w:rPr>
          <w:rFonts w:eastAsia="Times New Roman"/>
          <w:b/>
          <w:bCs/>
          <w:sz w:val="24"/>
          <w:u w:val="single"/>
        </w:rPr>
        <w:t xml:space="preserve"> Persons may have “dignity</w:t>
      </w:r>
      <w:r w:rsidRPr="00FF0A55">
        <w:rPr>
          <w:rFonts w:eastAsia="Times New Roman"/>
          <w:sz w:val="12"/>
        </w:rPr>
        <w:t xml:space="preserve">, </w:t>
      </w:r>
      <w:r w:rsidRPr="00FF0A55">
        <w:rPr>
          <w:rFonts w:eastAsia="Times New Roman"/>
          <w:b/>
          <w:bCs/>
          <w:sz w:val="24"/>
          <w:u w:val="single"/>
        </w:rPr>
        <w:t>that</w:t>
      </w:r>
      <w:r w:rsidRPr="00FF0A55">
        <w:rPr>
          <w:rFonts w:eastAsia="Times New Roman"/>
          <w:sz w:val="12"/>
        </w:rPr>
        <w:t xml:space="preserve"> is, an unconditional and incomparable worth” that </w:t>
      </w:r>
      <w:r w:rsidRPr="00FF0A55">
        <w:rPr>
          <w:rFonts w:eastAsia="Times New Roman"/>
          <w:b/>
          <w:bCs/>
          <w:sz w:val="24"/>
          <w:u w:val="single"/>
        </w:rPr>
        <w:t>transcends</w:t>
      </w:r>
      <w:r w:rsidRPr="00FF0A55">
        <w:rPr>
          <w:rFonts w:eastAsia="Times New Roman"/>
          <w:sz w:val="12"/>
        </w:rPr>
        <w:t xml:space="preserve"> any </w:t>
      </w:r>
      <w:r w:rsidRPr="00FF0A55">
        <w:rPr>
          <w:rFonts w:eastAsia="Times New Roman"/>
          <w:b/>
          <w:bCs/>
          <w:sz w:val="24"/>
          <w:u w:val="single"/>
        </w:rPr>
        <w:t>market value</w:t>
      </w:r>
      <w:r w:rsidRPr="00FF0A55">
        <w:rPr>
          <w:rFonts w:eastAsia="Times New Roman"/>
          <w:sz w:val="12"/>
        </w:rPr>
        <w:t xml:space="preserve"> (GMM 436), </w:t>
      </w:r>
      <w:r w:rsidRPr="00FF0A55">
        <w:rPr>
          <w:rFonts w:eastAsia="Times New Roman"/>
          <w:b/>
          <w:bCs/>
          <w:sz w:val="24"/>
          <w:u w:val="single"/>
        </w:rPr>
        <w:t xml:space="preserve">but </w:t>
      </w:r>
      <w:r w:rsidRPr="00011D46">
        <w:rPr>
          <w:rFonts w:eastAsia="Times New Roman"/>
          <w:b/>
          <w:bCs/>
          <w:sz w:val="24"/>
          <w:highlight w:val="yellow"/>
          <w:u w:val="single"/>
        </w:rPr>
        <w:t>persons</w:t>
      </w:r>
      <w:r w:rsidRPr="00FF0A55">
        <w:rPr>
          <w:rFonts w:eastAsia="Times New Roman"/>
          <w:b/>
          <w:bCs/>
          <w:sz w:val="24"/>
          <w:u w:val="single"/>
        </w:rPr>
        <w:t xml:space="preserve"> also </w:t>
      </w:r>
      <w:r w:rsidRPr="00011D46">
        <w:rPr>
          <w:rFonts w:eastAsia="Times New Roman"/>
          <w:b/>
          <w:bCs/>
          <w:sz w:val="24"/>
          <w:highlight w:val="yellow"/>
          <w:u w:val="single"/>
        </w:rPr>
        <w:t>have a fundamental equality that dictates that some must sometimes give way for the sake of others</w:t>
      </w:r>
      <w:r w:rsidRPr="00FF0A55">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1"/>
    </w:p>
    <w:p w14:paraId="6A82A3A7" w14:textId="77777777" w:rsidR="00AF50A8" w:rsidRDefault="00AF50A8" w:rsidP="00AF50A8"/>
    <w:p w14:paraId="30CD3794" w14:textId="77777777" w:rsidR="00AF50A8" w:rsidRDefault="00AF50A8" w:rsidP="00AF50A8">
      <w:pPr>
        <w:pStyle w:val="Heading3"/>
      </w:pPr>
      <w:r>
        <w:lastRenderedPageBreak/>
        <w:t>Contention 1: Covid-19</w:t>
      </w:r>
    </w:p>
    <w:p w14:paraId="4BD9F08C" w14:textId="77777777" w:rsidR="00AF50A8" w:rsidRDefault="00AF50A8" w:rsidP="00AF50A8"/>
    <w:p w14:paraId="02EE0527" w14:textId="77777777" w:rsidR="00AF50A8" w:rsidRPr="00161F0C" w:rsidRDefault="00AF50A8" w:rsidP="00AF50A8">
      <w:pPr>
        <w:pStyle w:val="Heading4"/>
      </w:pPr>
      <w:r>
        <w:t>The only way to solve the pandemic is global vaccination, but current production is woefully short.</w:t>
      </w:r>
    </w:p>
    <w:p w14:paraId="004857ED" w14:textId="77777777" w:rsidR="00AF50A8" w:rsidRPr="00E16557" w:rsidRDefault="00AF50A8" w:rsidP="00AF50A8">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7261DFC3" w14:textId="77777777" w:rsidR="00AF50A8" w:rsidRPr="002C3011" w:rsidRDefault="00AF50A8" w:rsidP="00AF50A8">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2FD22350" w14:textId="77777777" w:rsidR="00AF50A8" w:rsidRPr="007108BA" w:rsidRDefault="00AF50A8" w:rsidP="00AF50A8">
      <w:pPr>
        <w:keepNext/>
        <w:keepLines/>
        <w:spacing w:before="40" w:after="0"/>
        <w:outlineLvl w:val="3"/>
        <w:rPr>
          <w:rFonts w:eastAsiaTheme="majorEastAsia" w:cstheme="majorBidi"/>
          <w:b/>
          <w:iCs/>
          <w:sz w:val="26"/>
        </w:rPr>
      </w:pPr>
      <w:r>
        <w:rPr>
          <w:rFonts w:eastAsiaTheme="majorEastAsia" w:cstheme="majorBidi"/>
          <w:b/>
          <w:iCs/>
          <w:sz w:val="26"/>
        </w:rPr>
        <w:t>The v</w:t>
      </w:r>
      <w:r w:rsidRPr="007108BA">
        <w:rPr>
          <w:rFonts w:eastAsiaTheme="majorEastAsia" w:cstheme="majorBidi"/>
          <w:b/>
          <w:iCs/>
          <w:sz w:val="26"/>
        </w:rPr>
        <w:t xml:space="preserve">accine </w:t>
      </w:r>
      <w:r>
        <w:rPr>
          <w:rFonts w:eastAsiaTheme="majorEastAsia" w:cstheme="majorBidi"/>
          <w:b/>
          <w:iCs/>
          <w:sz w:val="26"/>
        </w:rPr>
        <w:t>shortfall causes widespread death and poverty.</w:t>
      </w:r>
    </w:p>
    <w:p w14:paraId="2BA177E0" w14:textId="77777777" w:rsidR="00AF50A8" w:rsidRPr="00727219" w:rsidRDefault="00AF50A8" w:rsidP="00AF50A8">
      <w:pPr>
        <w:rPr>
          <w:sz w:val="16"/>
        </w:rPr>
      </w:pPr>
      <w:r w:rsidRPr="007108BA">
        <w:rPr>
          <w:b/>
          <w:bCs/>
          <w:sz w:val="26"/>
        </w:rPr>
        <w:t xml:space="preserve">Public Citizen 3/1 -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27219">
        <w:rPr>
          <w:i/>
          <w:sz w:val="16"/>
        </w:rPr>
        <w:t>Public Citizen Global Trade Watch Series</w:t>
      </w:r>
      <w:r w:rsidRPr="00727219">
        <w:rPr>
          <w:sz w:val="16"/>
        </w:rPr>
        <w:t>.  March 1, 2021. Accessed Aug. 12, 2021. &lt;https://www.citizen.org/article/wto-required-monopolies-for-pharmaceutical-corporations-obstruct-global-production-of-covid-19-vaccines-and-treatments/&gt; AT</w:t>
      </w:r>
    </w:p>
    <w:p w14:paraId="6C808E9C" w14:textId="77777777" w:rsidR="00AF50A8" w:rsidRPr="00DC78EB" w:rsidRDefault="00AF50A8" w:rsidP="00AF50A8">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1AEBE664" w14:textId="77777777" w:rsidR="00AF50A8" w:rsidRDefault="00AF50A8" w:rsidP="00AF50A8">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66F25D92" w14:textId="77777777" w:rsidR="00AF50A8" w:rsidRPr="00E16557" w:rsidRDefault="00AF50A8" w:rsidP="00AF50A8">
      <w:pPr>
        <w:pStyle w:val="Heading4"/>
      </w:pPr>
      <w:r>
        <w:t>A waiver provides legal certainty that unlocks global production.</w:t>
      </w:r>
    </w:p>
    <w:p w14:paraId="7AFCA2AC" w14:textId="77777777" w:rsidR="00AF50A8" w:rsidRPr="00E16557" w:rsidRDefault="00AF50A8" w:rsidP="00AF50A8">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48F98B42" w14:textId="77777777" w:rsidR="00AF50A8" w:rsidRPr="0061477E" w:rsidRDefault="00AF50A8" w:rsidP="00AF50A8">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 xml:space="preserve">And world-class pharmaceutical firms already are making generic versions of new cutting-edge HIV-AIDS medicines and pumping out vaccines based on the platform that, for instance, the Johnson &amp; </w:t>
      </w:r>
      <w:proofErr w:type="spellStart"/>
      <w:r w:rsidRPr="0069709F">
        <w:rPr>
          <w:sz w:val="12"/>
        </w:rPr>
        <w:t>Johnson</w:t>
      </w:r>
      <w:proofErr w:type="spellEnd"/>
      <w:r w:rsidRPr="0069709F">
        <w:rPr>
          <w:sz w:val="12"/>
        </w:rPr>
        <w:t xml:space="preserve"> vaccine uses.</w:t>
      </w:r>
    </w:p>
    <w:p w14:paraId="286036AC" w14:textId="77777777" w:rsidR="00AF50A8" w:rsidRPr="007108BA" w:rsidRDefault="00AF50A8" w:rsidP="00AF50A8">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0E1E3A35" w14:textId="77777777" w:rsidR="00AF50A8" w:rsidRPr="007108BA" w:rsidRDefault="00AF50A8" w:rsidP="00AF50A8">
      <w:r w:rsidRPr="007108BA">
        <w:rPr>
          <w:b/>
          <w:bCs/>
          <w:sz w:val="26"/>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38ABAEF0" w14:textId="77777777" w:rsidR="00AF50A8" w:rsidRPr="00F828E6" w:rsidRDefault="00AF50A8" w:rsidP="00AF50A8">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 xml:space="preserve">expressed willingness to </w:t>
      </w:r>
      <w:proofErr w:type="spellStart"/>
      <w:r w:rsidRPr="007C0DCB">
        <w:rPr>
          <w:rStyle w:val="Emphasis"/>
          <w:highlight w:val="yellow"/>
        </w:rPr>
        <w:t>kickstart</w:t>
      </w:r>
      <w:proofErr w:type="spellEnd"/>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w:t>
      </w:r>
      <w:proofErr w:type="spellStart"/>
      <w:r w:rsidRPr="00F828E6">
        <w:rPr>
          <w:sz w:val="12"/>
        </w:rPr>
        <w:t>Johnson</w:t>
      </w:r>
      <w:proofErr w:type="spellEnd"/>
      <w:r w:rsidRPr="00F828E6">
        <w:rPr>
          <w:sz w:val="12"/>
        </w:rPr>
        <w:t xml:space="preserve">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w:t>
      </w:r>
      <w:proofErr w:type="spellStart"/>
      <w:r w:rsidRPr="00F828E6">
        <w:rPr>
          <w:sz w:val="12"/>
        </w:rPr>
        <w:t>Johnson</w:t>
      </w:r>
      <w:proofErr w:type="spellEnd"/>
      <w:r w:rsidRPr="00F828E6">
        <w:rPr>
          <w:sz w:val="12"/>
        </w:rPr>
        <w:t xml:space="preserve"> vaccine uses.</w:t>
      </w:r>
    </w:p>
    <w:p w14:paraId="2D63030F" w14:textId="77777777" w:rsidR="00AF50A8" w:rsidRDefault="00AF50A8" w:rsidP="00AF50A8">
      <w:pPr>
        <w:pStyle w:val="Heading3"/>
      </w:pPr>
      <w:r>
        <w:t>Contention II: Innovation</w:t>
      </w:r>
    </w:p>
    <w:p w14:paraId="4A791012" w14:textId="77777777" w:rsidR="00AF50A8" w:rsidRPr="00CF47C8" w:rsidRDefault="00AF50A8" w:rsidP="00AF50A8">
      <w:pPr>
        <w:keepNext/>
        <w:keepLines/>
        <w:spacing w:before="40" w:after="0"/>
        <w:outlineLvl w:val="3"/>
        <w:rPr>
          <w:rFonts w:eastAsia="MS Gothic" w:cs="Times New Roman"/>
          <w:b/>
          <w:iCs/>
          <w:sz w:val="26"/>
        </w:rPr>
      </w:pPr>
      <w:r w:rsidRPr="00CF47C8">
        <w:rPr>
          <w:rFonts w:eastAsia="MS Gothic" w:cs="Times New Roman"/>
          <w:b/>
          <w:iCs/>
          <w:sz w:val="26"/>
        </w:rPr>
        <w:t xml:space="preserve">Limiting IP protections </w:t>
      </w:r>
      <w:r w:rsidRPr="00CF47C8">
        <w:rPr>
          <w:rFonts w:eastAsia="MS Gothic" w:cs="Times New Roman"/>
          <w:b/>
          <w:i/>
          <w:iCs/>
          <w:sz w:val="26"/>
        </w:rPr>
        <w:t>increase</w:t>
      </w:r>
      <w:r>
        <w:rPr>
          <w:rFonts w:eastAsia="MS Gothic" w:cs="Times New Roman"/>
          <w:b/>
          <w:i/>
          <w:iCs/>
          <w:sz w:val="26"/>
        </w:rPr>
        <w:t>s</w:t>
      </w:r>
      <w:r w:rsidRPr="00CF47C8">
        <w:rPr>
          <w:rFonts w:eastAsia="MS Gothic" w:cs="Times New Roman"/>
          <w:b/>
          <w:iCs/>
          <w:sz w:val="26"/>
        </w:rPr>
        <w:t xml:space="preserve"> the incentive to create new drugs.</w:t>
      </w:r>
    </w:p>
    <w:p w14:paraId="216A502B" w14:textId="77777777" w:rsidR="00AF50A8" w:rsidRPr="00CF47C8" w:rsidRDefault="00AF50A8" w:rsidP="00AF50A8">
      <w:pPr>
        <w:rPr>
          <w:rFonts w:eastAsia="Cambria"/>
        </w:rPr>
      </w:pPr>
      <w:r w:rsidRPr="00CF47C8">
        <w:rPr>
          <w:rFonts w:eastAsia="Cambria"/>
          <w:b/>
          <w:bCs/>
          <w:sz w:val="26"/>
        </w:rPr>
        <w:t xml:space="preserve">Light &amp; Warburton ’11 - </w:t>
      </w:r>
      <w:r w:rsidRPr="00727219">
        <w:rPr>
          <w:rFonts w:eastAsia="Cambria"/>
          <w:sz w:val="16"/>
        </w:rPr>
        <w:t xml:space="preserve">Donald W. Light [Visiting professor at Stanford University and a professor of comparative health-care at the University of Medicine and Dentistry of New Jersey. He is an economic and organizational sociologist who studies health care systems and </w:t>
      </w:r>
      <w:proofErr w:type="spellStart"/>
      <w:r w:rsidRPr="00727219">
        <w:rPr>
          <w:rFonts w:eastAsia="Cambria"/>
          <w:sz w:val="16"/>
        </w:rPr>
        <w:t>pharmaceu</w:t>
      </w:r>
      <w:proofErr w:type="spellEnd"/>
      <w:r w:rsidRPr="00727219">
        <w:rPr>
          <w:rFonts w:eastAsia="Cambria"/>
          <w:sz w:val="16"/>
        </w:rPr>
        <w:t xml:space="preserve">- </w:t>
      </w:r>
      <w:proofErr w:type="spellStart"/>
      <w:r w:rsidRPr="00727219">
        <w:rPr>
          <w:rFonts w:eastAsia="Cambria"/>
          <w:sz w:val="16"/>
        </w:rPr>
        <w:t>tical</w:t>
      </w:r>
      <w:proofErr w:type="spellEnd"/>
      <w:r w:rsidRPr="00727219">
        <w:rPr>
          <w:rFonts w:eastAsia="Cambria"/>
          <w:sz w:val="16"/>
        </w:rPr>
        <w:t xml:space="preserve"> policy.] and Rebecca Warburton [associate professor and a health economist, specializing in the cost- benefit analysis of health-related public projects. Her current research primarily concerns assessing the validity of industry-sponsored estimates of the cost of drug development, and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proofErr w:type="spellStart"/>
      <w:r w:rsidRPr="00727219">
        <w:rPr>
          <w:rFonts w:eastAsia="Cambria"/>
          <w:i/>
          <w:sz w:val="16"/>
        </w:rPr>
        <w:t>BioSocieties</w:t>
      </w:r>
      <w:proofErr w:type="spellEnd"/>
      <w:r w:rsidRPr="00727219">
        <w:rPr>
          <w:rFonts w:eastAsia="Cambria"/>
          <w:sz w:val="16"/>
        </w:rPr>
        <w:t xml:space="preserve"> (2011) 6, 34–50. doi:10.1057/biosoc.2010.40; published online 7 February 2011. //JH</w:t>
      </w:r>
    </w:p>
    <w:p w14:paraId="06923BFE" w14:textId="77777777" w:rsidR="00AF50A8" w:rsidRPr="00CF47C8" w:rsidRDefault="00AF50A8" w:rsidP="00AF50A8">
      <w:pPr>
        <w:ind w:left="720"/>
        <w:rPr>
          <w:rFonts w:eastAsia="Cambria"/>
          <w:u w:val="single"/>
        </w:rPr>
      </w:pPr>
      <w:r w:rsidRPr="00CF47C8">
        <w:rPr>
          <w:rFonts w:eastAsia="Cambria"/>
          <w:sz w:val="12"/>
        </w:rPr>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4D3603">
        <w:rPr>
          <w:sz w:val="12"/>
        </w:rPr>
        <w:t xml:space="preserve">Companies tightly control access to verifiable facts about their risks and costs,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w:t>
      </w:r>
      <w:proofErr w:type="spellStart"/>
      <w:r w:rsidRPr="004D3603">
        <w:rPr>
          <w:sz w:val="12"/>
        </w:rPr>
        <w:t>RotaTeq</w:t>
      </w:r>
      <w:proofErr w:type="spellEnd"/>
      <w:r w:rsidRPr="004D3603">
        <w:rPr>
          <w:sz w:val="12"/>
        </w:rPr>
        <w:t xml:space="preserve"> and </w:t>
      </w:r>
      <w:proofErr w:type="spellStart"/>
      <w:r w:rsidRPr="004D3603">
        <w:rPr>
          <w:sz w:val="12"/>
        </w:rPr>
        <w:t>Rotarix</w:t>
      </w:r>
      <w:proofErr w:type="spellEnd"/>
      <w:r w:rsidRPr="004D3603">
        <w:rPr>
          <w:sz w:val="12"/>
        </w:rPr>
        <w:t xml:space="preserve"> that found costs and risks were remarkably low up to the large final trials, and that concluded the companies recovered their investments within the first 18 months (Light et al, 2009). </w:t>
      </w:r>
      <w:r w:rsidRPr="003A0E38">
        <w:rPr>
          <w:szCs w:val="22"/>
          <w:highlight w:val="yellow"/>
          <w:u w:val="single"/>
        </w:rPr>
        <w:t>The</w:t>
      </w:r>
      <w:r w:rsidRPr="004D3603">
        <w:rPr>
          <w:sz w:val="12"/>
        </w:rPr>
        <w:t xml:space="preserve"> companies could now sell these vaccines for rotavirus for one-tenth their Western price and still earn profits. ¶</w:t>
      </w:r>
      <w:r w:rsidRPr="003A0E38">
        <w:rPr>
          <w:szCs w:val="22"/>
          <w:highlight w:val="yellow"/>
          <w:u w:val="single"/>
        </w:rPr>
        <w:t>Pharmaceutical</w:t>
      </w:r>
      <w:r w:rsidRPr="003A0E38">
        <w:rPr>
          <w:szCs w:val="22"/>
          <w:u w:val="single"/>
        </w:rPr>
        <w:t xml:space="preserve"> </w:t>
      </w:r>
      <w:r w:rsidRPr="004D3603">
        <w:rPr>
          <w:sz w:val="12"/>
        </w:rPr>
        <w:t xml:space="preserve">companies have a strong vested interest in maximizing figures for R&amp;D and supporting </w:t>
      </w:r>
      <w:proofErr w:type="spellStart"/>
      <w:r w:rsidRPr="004D3603">
        <w:rPr>
          <w:sz w:val="12"/>
        </w:rPr>
        <w:t>centres</w:t>
      </w:r>
      <w:proofErr w:type="spellEnd"/>
      <w:r w:rsidRPr="004D3603">
        <w:rPr>
          <w:sz w:val="12"/>
        </w:rPr>
        <w:t xml:space="preserve"> or researchers who help them do so. Since the Kefauver hearings in 1959–1962,</w:t>
      </w:r>
      <w:r w:rsidRPr="004D3603">
        <w:rPr>
          <w:rFonts w:eastAsia="Cambria"/>
          <w:sz w:val="12"/>
          <w:u w:val="single"/>
        </w:rPr>
        <w:t xml:space="preserve"> </w:t>
      </w:r>
      <w:r w:rsidRPr="003A0E38">
        <w:rPr>
          <w:rFonts w:eastAsia="Cambria"/>
          <w:sz w:val="12"/>
          <w:szCs w:val="12"/>
        </w:rPr>
        <w:t>the</w:t>
      </w:r>
      <w:r w:rsidRPr="003A0E38">
        <w:rPr>
          <w:rFonts w:eastAsia="Cambria"/>
          <w:u w:val="single"/>
        </w:rPr>
        <w:t xml:space="preserve"> </w:t>
      </w:r>
      <w:r w:rsidRPr="00CF47C8">
        <w:rPr>
          <w:rFonts w:eastAsia="Cambria"/>
          <w:highlight w:val="yellow"/>
          <w:u w:val="single"/>
        </w:rPr>
        <w:t xml:space="preserve">industry’s </w:t>
      </w:r>
      <w:r w:rsidRPr="004D3603">
        <w:rPr>
          <w:sz w:val="12"/>
        </w:rPr>
        <w:t>principal</w:t>
      </w:r>
      <w:r w:rsidRPr="004D3603">
        <w:rPr>
          <w:rFonts w:eastAsia="Cambria"/>
          <w:sz w:val="12"/>
          <w:highlight w:val="yellow"/>
          <w:u w:val="single"/>
        </w:rPr>
        <w:t xml:space="preserve"> </w:t>
      </w:r>
      <w:r w:rsidRPr="00CF47C8">
        <w:rPr>
          <w:rFonts w:eastAsia="Cambria"/>
          <w:highlight w:val="yellow"/>
          <w:u w:val="single"/>
        </w:rPr>
        <w:t xml:space="preserve">justification for </w:t>
      </w:r>
      <w:r w:rsidRPr="004D3603">
        <w:rPr>
          <w:sz w:val="12"/>
        </w:rPr>
        <w:t>its</w:t>
      </w:r>
      <w:r w:rsidRPr="004D3603">
        <w:rPr>
          <w:rFonts w:eastAsia="Cambria"/>
          <w:sz w:val="12"/>
          <w:highlight w:val="yellow"/>
          <w:u w:val="single"/>
        </w:rPr>
        <w:t xml:space="preserve"> </w:t>
      </w:r>
      <w:r w:rsidRPr="00CF47C8">
        <w:rPr>
          <w:rFonts w:eastAsia="Cambria"/>
          <w:highlight w:val="yellow"/>
          <w:u w:val="single"/>
        </w:rPr>
        <w:t>high prices</w:t>
      </w:r>
      <w:r w:rsidRPr="00CF47C8">
        <w:rPr>
          <w:rFonts w:eastAsia="Cambria"/>
          <w:u w:val="single"/>
        </w:rPr>
        <w:t xml:space="preserve"> </w:t>
      </w:r>
      <w:r w:rsidRPr="004D3603">
        <w:rPr>
          <w:sz w:val="12"/>
        </w:rPr>
        <w:t>on patented drugs</w:t>
      </w:r>
      <w:r w:rsidRPr="004D3603">
        <w:rPr>
          <w:rFonts w:eastAsia="Cambria"/>
          <w:sz w:val="12"/>
          <w:u w:val="single"/>
        </w:rPr>
        <w:t xml:space="preserve"> </w:t>
      </w:r>
      <w:r w:rsidRPr="00CF47C8">
        <w:rPr>
          <w:rFonts w:eastAsia="Cambria"/>
          <w:highlight w:val="yellow"/>
          <w:u w:val="single"/>
        </w:rPr>
        <w:t xml:space="preserve">has been the </w:t>
      </w:r>
      <w:r w:rsidRPr="004D3603">
        <w:rPr>
          <w:sz w:val="12"/>
        </w:rPr>
        <w:t>high</w:t>
      </w:r>
      <w:r w:rsidRPr="004D3603">
        <w:rPr>
          <w:rFonts w:eastAsia="Cambria"/>
          <w:sz w:val="12"/>
          <w:highlight w:val="yellow"/>
          <w:u w:val="single"/>
        </w:rPr>
        <w:t xml:space="preserve"> </w:t>
      </w:r>
      <w:r w:rsidRPr="00CF47C8">
        <w:rPr>
          <w:rFonts w:eastAsia="Cambria"/>
          <w:highlight w:val="yellow"/>
          <w:u w:val="single"/>
        </w:rPr>
        <w:t>cost of R&amp;</w:t>
      </w:r>
      <w:r w:rsidRPr="004D3603">
        <w:rPr>
          <w:rFonts w:eastAsia="Cambria"/>
          <w:highlight w:val="yellow"/>
          <w:u w:val="single"/>
        </w:rPr>
        <w:t>D</w:t>
      </w:r>
      <w:r w:rsidRPr="00CF47C8">
        <w:rPr>
          <w:rFonts w:eastAsia="Cambria"/>
          <w:u w:val="single"/>
        </w:rPr>
        <w:t xml:space="preserve">, </w:t>
      </w:r>
      <w:r w:rsidRPr="004D3603">
        <w:rPr>
          <w:sz w:val="12"/>
        </w:rPr>
        <w:t>and it has sought further government protections from normal price competition.</w:t>
      </w:r>
      <w:r w:rsidRPr="004D3603">
        <w:rPr>
          <w:rFonts w:eastAsia="Cambria"/>
          <w:sz w:val="2"/>
        </w:rPr>
        <w:t xml:space="preserve"> </w:t>
      </w:r>
      <w:r w:rsidRPr="00CF47C8">
        <w:rPr>
          <w:rFonts w:eastAsia="Cambria"/>
          <w:sz w:val="12"/>
        </w:rPr>
        <w:t xml:space="preserve">These include increasing patent terms and extending data exclusivity, without good evidence that these measures increase innovation (National Institute for Health Care Management, 2000; European Commission for Competition, 2008 (28 November); </w:t>
      </w:r>
      <w:proofErr w:type="spellStart"/>
      <w:r w:rsidRPr="00CF47C8">
        <w:rPr>
          <w:rFonts w:eastAsia="Cambria"/>
          <w:sz w:val="12"/>
        </w:rPr>
        <w:t>Adamini</w:t>
      </w:r>
      <w:proofErr w:type="spellEnd"/>
      <w:r w:rsidRPr="00CF47C8">
        <w:rPr>
          <w:rFonts w:eastAsia="Cambria"/>
          <w:sz w:val="12"/>
        </w:rPr>
        <w:t xml:space="preserve"> et al, 2009). Industry leaders and lobbyists routinely warn that lower prices will reduce funds for R&amp;D and result in suffering and death that future medicines could reduce. Marcia Angell, the former editor of the New England Journal of Medicine, describes this as ‘</w:t>
      </w:r>
      <w:proofErr w:type="spellStart"/>
      <w:r w:rsidRPr="00CF47C8">
        <w:rPr>
          <w:rFonts w:eastAsia="Cambria"/>
          <w:sz w:val="12"/>
        </w:rPr>
        <w:t>ya</w:t>
      </w:r>
      <w:proofErr w:type="spellEnd"/>
      <w:r w:rsidRPr="00CF47C8">
        <w:rPr>
          <w:rFonts w:eastAsia="Cambria"/>
          <w:sz w:val="12"/>
        </w:rPr>
        <w:t xml:space="preserve"> kind of blackmail’ (Angell, 2004, pp. 38–39). She quotes the president of the US industry’s trade association as saying, ‘Believe me, if we impose price controls on the pharmaceutical industry, and if you reduce the R&amp;D that this industry is able to provide, it’s going to harm my kids and it’s going to harm those millions of other Americans who have life-threatening conditions’. Merrill </w:t>
      </w:r>
      <w:proofErr w:type="spellStart"/>
      <w:r w:rsidRPr="00CF47C8">
        <w:rPr>
          <w:rFonts w:eastAsia="Cambria"/>
          <w:sz w:val="12"/>
        </w:rPr>
        <w:t>Goozner</w:t>
      </w:r>
      <w:proofErr w:type="spellEnd"/>
      <w:r w:rsidRPr="00CF47C8">
        <w:rPr>
          <w:rFonts w:eastAsia="Cambria"/>
          <w:sz w:val="12"/>
        </w:rPr>
        <w:t xml:space="preserve">, former chief economic correspondent for the Chicago Tribune, points out that </w:t>
      </w:r>
      <w:r w:rsidRPr="00CF47C8">
        <w:rPr>
          <w:rFonts w:eastAsia="Cambria"/>
          <w:b/>
          <w:iCs/>
          <w:highlight w:val="yellow"/>
          <w:u w:val="single"/>
        </w:rPr>
        <w:t>no other research-oriented industry makes this</w:t>
      </w:r>
      <w:r w:rsidRPr="00CF47C8">
        <w:rPr>
          <w:rFonts w:eastAsia="Cambria"/>
          <w:b/>
          <w:iCs/>
          <w:u w:val="single"/>
        </w:rPr>
        <w:t xml:space="preserve"> </w:t>
      </w:r>
      <w:r w:rsidRPr="004D3603">
        <w:rPr>
          <w:sz w:val="12"/>
        </w:rPr>
        <w:t>kind of</w:t>
      </w:r>
      <w:r w:rsidRPr="004D3603">
        <w:rPr>
          <w:rFonts w:eastAsia="Cambria"/>
          <w:b/>
          <w:iCs/>
          <w:sz w:val="12"/>
          <w:u w:val="single"/>
        </w:rPr>
        <w:t xml:space="preserve"> </w:t>
      </w:r>
      <w:r w:rsidRPr="00CF47C8">
        <w:rPr>
          <w:rFonts w:eastAsia="Cambria"/>
          <w:b/>
          <w:iCs/>
          <w:highlight w:val="yellow"/>
          <w:u w:val="single"/>
        </w:rPr>
        <w:t>argument</w:t>
      </w:r>
      <w:r w:rsidRPr="00CF47C8">
        <w:rPr>
          <w:rFonts w:eastAsia="Cambria"/>
          <w:b/>
          <w:iCs/>
          <w:u w:val="single"/>
        </w:rPr>
        <w:t xml:space="preserve"> (</w:t>
      </w:r>
      <w:proofErr w:type="spellStart"/>
      <w:r w:rsidRPr="00CF47C8">
        <w:rPr>
          <w:rFonts w:eastAsia="Cambria"/>
          <w:b/>
          <w:iCs/>
          <w:u w:val="single"/>
        </w:rPr>
        <w:t>Goozner</w:t>
      </w:r>
      <w:proofErr w:type="spellEnd"/>
      <w:r w:rsidRPr="00CF47C8">
        <w:rPr>
          <w:rFonts w:eastAsia="Cambria"/>
          <w:b/>
          <w:iCs/>
          <w:u w:val="single"/>
        </w:rPr>
        <w:t xml:space="preserve">, 2004). In fact, </w:t>
      </w:r>
      <w:r w:rsidRPr="00CF47C8">
        <w:rPr>
          <w:rFonts w:eastAsia="Cambria"/>
          <w:b/>
          <w:iCs/>
          <w:highlight w:val="yellow"/>
          <w:u w:val="single"/>
        </w:rPr>
        <w:t>they do the opposite: when profits decline, they redouble their research efforts to find new products that will generate more profits</w:t>
      </w:r>
      <w:r w:rsidRPr="00CF47C8">
        <w:rPr>
          <w:rFonts w:eastAsia="Cambria"/>
          <w:sz w:val="12"/>
        </w:rPr>
        <w:t xml:space="preserve">. </w:t>
      </w:r>
      <w:r w:rsidRPr="00CF47C8">
        <w:rPr>
          <w:rFonts w:eastAsia="Cambria"/>
          <w:b/>
          <w:iCs/>
          <w:highlight w:val="yellow"/>
          <w:u w:val="single"/>
        </w:rPr>
        <w:t>Not to do so guarantees</w:t>
      </w:r>
      <w:r w:rsidRPr="00CF47C8">
        <w:rPr>
          <w:rFonts w:eastAsia="Cambria"/>
          <w:b/>
          <w:iCs/>
          <w:u w:val="single"/>
        </w:rPr>
        <w:t xml:space="preserve"> </w:t>
      </w:r>
      <w:r w:rsidRPr="008E1DFB">
        <w:rPr>
          <w:sz w:val="12"/>
        </w:rPr>
        <w:t>their</w:t>
      </w:r>
      <w:r w:rsidRPr="008E1DFB">
        <w:rPr>
          <w:rFonts w:eastAsia="Cambria"/>
          <w:b/>
          <w:iCs/>
          <w:sz w:val="12"/>
          <w:u w:val="single"/>
        </w:rPr>
        <w:t xml:space="preserve"> </w:t>
      </w:r>
      <w:r w:rsidRPr="00CF47C8">
        <w:rPr>
          <w:rFonts w:eastAsia="Cambria"/>
          <w:b/>
          <w:iCs/>
          <w:highlight w:val="yellow"/>
          <w:u w:val="single"/>
        </w:rPr>
        <w:t>decline</w:t>
      </w:r>
      <w:r w:rsidRPr="00CF47C8">
        <w:rPr>
          <w:rFonts w:eastAsia="Cambria"/>
          <w:b/>
          <w:iCs/>
          <w:u w:val="single"/>
        </w:rPr>
        <w:t>.</w:t>
      </w:r>
      <w:r w:rsidRPr="00CF47C8">
        <w:rPr>
          <w:rFonts w:eastAsia="Cambria"/>
          <w:sz w:val="12"/>
        </w:rPr>
        <w:t xml:space="preserve"> </w:t>
      </w:r>
      <w:r w:rsidRPr="004D3603">
        <w:rPr>
          <w:sz w:val="12"/>
        </w:rPr>
        <w:t xml:space="preserve">The industry’s view of European ‘price controls’ (actually, large-volume discounts) is that they do not allow recovery of huge R&amp;D costs so that Europeans are ‘free riders’ on Americans and force US prices higher to pay for unrecovered costs the ‘free riders’ refuse to pay. This claim has been shown not to be supported by industry and government reports and to be illogical as well (Light and </w:t>
      </w:r>
      <w:proofErr w:type="spellStart"/>
      <w:r w:rsidRPr="004D3603">
        <w:rPr>
          <w:sz w:val="12"/>
        </w:rPr>
        <w:t>Lexchin</w:t>
      </w:r>
      <w:proofErr w:type="spellEnd"/>
      <w:r w:rsidRPr="004D3603">
        <w:rPr>
          <w:sz w:val="12"/>
        </w:rPr>
        <w:t>, 2005).</w:t>
      </w:r>
    </w:p>
    <w:p w14:paraId="331445DB" w14:textId="77777777" w:rsidR="00AF50A8" w:rsidRPr="002965C6" w:rsidRDefault="00AF50A8" w:rsidP="00AF50A8">
      <w:pPr>
        <w:keepNext/>
        <w:keepLines/>
        <w:spacing w:before="40" w:after="0"/>
        <w:outlineLvl w:val="3"/>
        <w:rPr>
          <w:rFonts w:eastAsiaTheme="majorEastAsia" w:cstheme="majorBidi"/>
          <w:b/>
          <w:iCs/>
          <w:sz w:val="26"/>
        </w:rPr>
      </w:pPr>
      <w:r>
        <w:rPr>
          <w:rFonts w:eastAsiaTheme="majorEastAsia" w:cstheme="majorBidi"/>
          <w:b/>
          <w:iCs/>
          <w:sz w:val="26"/>
        </w:rPr>
        <w:t>IP stifles innovation by allowing firms to prevent new competition from entering the market, driving down the incentive for R &amp; D.</w:t>
      </w:r>
    </w:p>
    <w:p w14:paraId="2BC8C072" w14:textId="77777777" w:rsidR="00AF50A8" w:rsidRPr="002965C6" w:rsidRDefault="00AF50A8" w:rsidP="00AF50A8">
      <w:r w:rsidRPr="002965C6">
        <w:rPr>
          <w:b/>
          <w:bCs/>
          <w:sz w:val="26"/>
        </w:rPr>
        <w:t>MSF ’17</w:t>
      </w:r>
      <w:r w:rsidRPr="002965C6">
        <w:t xml:space="preserve"> – </w:t>
      </w:r>
      <w:proofErr w:type="spellStart"/>
      <w:r w:rsidRPr="00727219">
        <w:rPr>
          <w:sz w:val="16"/>
        </w:rPr>
        <w:t>Médecins</w:t>
      </w:r>
      <w:proofErr w:type="spellEnd"/>
      <w:r w:rsidRPr="00727219">
        <w:rPr>
          <w:sz w:val="16"/>
        </w:rPr>
        <w:t xml:space="preserve"> Sans </w:t>
      </w:r>
      <w:proofErr w:type="spellStart"/>
      <w:r w:rsidRPr="00727219">
        <w:rPr>
          <w:sz w:val="16"/>
        </w:rPr>
        <w:t>Frontières</w:t>
      </w:r>
      <w:proofErr w:type="spellEnd"/>
      <w:r w:rsidRPr="00727219">
        <w:rPr>
          <w:sz w:val="16"/>
        </w:rPr>
        <w:t xml:space="preserve"> [Doctors Without Borders - </w:t>
      </w:r>
      <w:proofErr w:type="spellStart"/>
      <w:r w:rsidRPr="00727219">
        <w:rPr>
          <w:sz w:val="16"/>
        </w:rPr>
        <w:t>Médecins</w:t>
      </w:r>
      <w:proofErr w:type="spellEnd"/>
      <w:r w:rsidRPr="00727219">
        <w:rPr>
          <w:sz w:val="16"/>
        </w:rPr>
        <w:t xml:space="preserve"> Sans </w:t>
      </w:r>
      <w:proofErr w:type="spellStart"/>
      <w:r w:rsidRPr="00727219">
        <w:rPr>
          <w:sz w:val="16"/>
        </w:rPr>
        <w:t>Frontières</w:t>
      </w:r>
      <w:proofErr w:type="spellEnd"/>
      <w:r w:rsidRPr="00727219">
        <w:rPr>
          <w:sz w:val="16"/>
        </w:rPr>
        <w:t xml:space="preserve"> (MSF) is an international, independent, medical humanitarian </w:t>
      </w:r>
      <w:proofErr w:type="spellStart"/>
      <w:r w:rsidRPr="00727219">
        <w:rPr>
          <w:sz w:val="16"/>
        </w:rPr>
        <w:t>organisation</w:t>
      </w:r>
      <w:proofErr w:type="spellEnd"/>
      <w:r w:rsidRPr="00727219">
        <w:rPr>
          <w:sz w:val="16"/>
        </w:rPr>
        <w:t xml:space="preserve">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4" w:history="1">
        <w:r w:rsidRPr="00727219">
          <w:rPr>
            <w:sz w:val="16"/>
          </w:rPr>
          <w:t>https://msfaccess.org/sites/default/files/2018-06/VAC_report_A%20Fair%20Shot%20for%20Vaccine%20Affordability_ENG_2017.pdf</w:t>
        </w:r>
      </w:hyperlink>
      <w:r w:rsidRPr="00727219">
        <w:rPr>
          <w:sz w:val="16"/>
        </w:rPr>
        <w:t>&gt; AT</w:t>
      </w:r>
    </w:p>
    <w:p w14:paraId="4F8B9FBE" w14:textId="77777777" w:rsidR="00AF50A8" w:rsidRPr="002965C6" w:rsidRDefault="00AF50A8" w:rsidP="00AF50A8">
      <w:pPr>
        <w:ind w:left="720"/>
        <w:rPr>
          <w:sz w:val="12"/>
        </w:rPr>
      </w:pPr>
      <w:r w:rsidRPr="002965C6">
        <w:rPr>
          <w:sz w:val="12"/>
        </w:rPr>
        <w:t>Patents are increasingly an issue for development of newer vaccines</w:t>
      </w:r>
    </w:p>
    <w:p w14:paraId="3A7C1D0E" w14:textId="77777777" w:rsidR="00AF50A8" w:rsidRPr="002965C6" w:rsidRDefault="00AF50A8" w:rsidP="00AF50A8">
      <w:pPr>
        <w:ind w:left="720"/>
        <w:rPr>
          <w:sz w:val="12"/>
        </w:rPr>
      </w:pPr>
      <w:r w:rsidRPr="002965C6">
        <w:rPr>
          <w:sz w:val="12"/>
        </w:rPr>
        <w:t xml:space="preserve">Patent activity in the field of vaccine development and manufacturing has been increasingly </w:t>
      </w:r>
      <w:proofErr w:type="spellStart"/>
      <w:r w:rsidRPr="002965C6">
        <w:rPr>
          <w:sz w:val="12"/>
        </w:rPr>
        <w:t>recognised</w:t>
      </w:r>
      <w:proofErr w:type="spellEnd"/>
      <w:r w:rsidRPr="002965C6">
        <w:rPr>
          <w:sz w:val="12"/>
        </w:rPr>
        <w:t xml:space="preserve"> as problematic over the past 15 years, according to manufacturers interviewed for this report. International </w:t>
      </w:r>
      <w:proofErr w:type="spellStart"/>
      <w:r w:rsidRPr="002965C6">
        <w:rPr>
          <w:sz w:val="12"/>
        </w:rPr>
        <w:t>organisations</w:t>
      </w:r>
      <w:proofErr w:type="spellEnd"/>
      <w:r w:rsidRPr="002965C6">
        <w:rPr>
          <w:sz w:val="12"/>
        </w:rPr>
        <w:t xml:space="preserve"> with vaccines expertise such as WHO and </w:t>
      </w:r>
      <w:proofErr w:type="spellStart"/>
      <w:r w:rsidRPr="002965C6">
        <w:rPr>
          <w:sz w:val="12"/>
        </w:rPr>
        <w:t>Gavi</w:t>
      </w:r>
      <w:proofErr w:type="spellEnd"/>
      <w:r w:rsidRPr="002965C6">
        <w:rPr>
          <w:sz w:val="12"/>
        </w:rPr>
        <w:t>, the Vaccine Alliance, have similarly noted that patent thickets are an increasing concern for vaccines.16</w:t>
      </w:r>
    </w:p>
    <w:p w14:paraId="4673848B" w14:textId="77777777" w:rsidR="00AF50A8" w:rsidRPr="002965C6" w:rsidRDefault="00AF50A8" w:rsidP="00AF50A8">
      <w:pPr>
        <w:ind w:left="720"/>
        <w:rPr>
          <w:sz w:val="12"/>
        </w:rPr>
      </w:pPr>
      <w:r w:rsidRPr="002965C6">
        <w:rPr>
          <w:rStyle w:val="Emphasis"/>
          <w:highlight w:val="yellow"/>
        </w:rPr>
        <w:t>For medical products</w:t>
      </w:r>
      <w:r w:rsidRPr="002965C6">
        <w:rPr>
          <w:sz w:val="12"/>
        </w:rPr>
        <w:t xml:space="preserve"> such as PCV and HPV vaccines, </w:t>
      </w:r>
      <w:r w:rsidRPr="002965C6">
        <w:rPr>
          <w:rStyle w:val="Emphasis"/>
          <w:highlight w:val="yellow"/>
        </w:rPr>
        <w:t>patent barriers</w:t>
      </w:r>
      <w:r w:rsidRPr="002965C6">
        <w:rPr>
          <w:sz w:val="12"/>
        </w:rPr>
        <w:t xml:space="preserve"> can </w:t>
      </w:r>
      <w:r w:rsidRPr="002965C6">
        <w:rPr>
          <w:rStyle w:val="Emphasis"/>
          <w:highlight w:val="yellow"/>
        </w:rPr>
        <w:t>slow the development process, increase costs, increase uncertainty and deter or even block other manufacturers considering entering the market.</w:t>
      </w:r>
      <w:r w:rsidRPr="002965C6">
        <w:rPr>
          <w:sz w:val="12"/>
        </w:rPr>
        <w:t xml:space="preserve">17 A recent analysis by </w:t>
      </w:r>
      <w:proofErr w:type="spellStart"/>
      <w:r w:rsidRPr="002965C6">
        <w:rPr>
          <w:sz w:val="12"/>
        </w:rPr>
        <w:t>Chandrasekharan</w:t>
      </w:r>
      <w:proofErr w:type="spellEnd"/>
      <w:r w:rsidRPr="002965C6">
        <w:rPr>
          <w:sz w:val="12"/>
        </w:rPr>
        <w:t xml:space="preserve"> et al. found 106 Patent Cooperation Treaty (PCT) applications “potentially relevant to the manufacturing of pneumococcal </w:t>
      </w:r>
      <w:proofErr w:type="gramStart"/>
      <w:r w:rsidRPr="002965C6">
        <w:rPr>
          <w:sz w:val="12"/>
        </w:rPr>
        <w:t>vaccines”†</w:t>
      </w:r>
      <w:proofErr w:type="gramEnd"/>
      <w:r w:rsidRPr="002965C6">
        <w:rPr>
          <w:sz w:val="12"/>
        </w:rPr>
        <w:t xml:space="preserve"> and 93 patents applications “relevant to the manufacturing of HPV vaccines.”18</w:t>
      </w:r>
    </w:p>
    <w:p w14:paraId="58B095E5" w14:textId="77777777" w:rsidR="00AF50A8" w:rsidRPr="002965C6" w:rsidRDefault="00AF50A8" w:rsidP="00AF50A8">
      <w:pPr>
        <w:ind w:left="720"/>
        <w:rPr>
          <w:sz w:val="12"/>
        </w:rPr>
      </w:pPr>
      <w:r w:rsidRPr="002965C6">
        <w:rPr>
          <w:sz w:val="12"/>
        </w:rPr>
        <w:t xml:space="preserve">The patent applications and discussions with manufacturers indicate that </w:t>
      </w:r>
      <w:r w:rsidRPr="002965C6">
        <w:rPr>
          <w:rStyle w:val="Emphasis"/>
          <w:highlight w:val="yellow"/>
        </w:rPr>
        <w:t>broad monopolies are being pursued</w:t>
      </w:r>
      <w:r w:rsidRPr="002965C6">
        <w:rPr>
          <w:sz w:val="12"/>
        </w:rPr>
        <w:t xml:space="preserve"> for these vaccines, through tactics such as </w:t>
      </w:r>
      <w:r w:rsidRPr="002965C6">
        <w:rPr>
          <w:rStyle w:val="Emphasis"/>
          <w:highlight w:val="yellow"/>
        </w:rPr>
        <w:t>using overly general language in patent claims</w:t>
      </w:r>
      <w:r w:rsidRPr="002965C6">
        <w:rPr>
          <w:sz w:val="12"/>
        </w:rPr>
        <w:t xml:space="preserve"> concerning the scope of the inventions. According to national criteria, many of these patents or applications could be challenged or rejected due to their weak technical merits.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w:t>
      </w:r>
    </w:p>
    <w:p w14:paraId="09736463" w14:textId="77777777" w:rsidR="00AF50A8" w:rsidRPr="00727219" w:rsidRDefault="00AF50A8" w:rsidP="00AF50A8"/>
    <w:p w14:paraId="2ADED68C" w14:textId="77777777" w:rsidR="00AF50A8" w:rsidRPr="00011D46" w:rsidRDefault="00AF50A8" w:rsidP="00AF50A8">
      <w:pPr>
        <w:pStyle w:val="Heading3"/>
        <w:ind w:left="2160" w:firstLine="720"/>
        <w:jc w:val="left"/>
      </w:pPr>
      <w:r>
        <w:t>Contention 3: Medicine Prices</w:t>
      </w:r>
    </w:p>
    <w:p w14:paraId="41D9959F" w14:textId="77777777" w:rsidR="00AF50A8" w:rsidRPr="00245808" w:rsidRDefault="00AF50A8" w:rsidP="00AF50A8">
      <w:pPr>
        <w:pStyle w:val="Heading4"/>
      </w:pPr>
      <w:r w:rsidRPr="00245808">
        <w:t>IP undermines competition and keeps medicine prices high.</w:t>
      </w:r>
    </w:p>
    <w:p w14:paraId="534DC9A8" w14:textId="77777777" w:rsidR="00AF50A8" w:rsidRPr="00245808" w:rsidRDefault="00AF50A8" w:rsidP="00AF50A8">
      <w:r w:rsidRPr="00245808">
        <w:rPr>
          <w:rStyle w:val="Style13ptBold"/>
        </w:rPr>
        <w:t>MSF ’17</w:t>
      </w:r>
      <w:r w:rsidRPr="00245808">
        <w:t xml:space="preserve"> – </w:t>
      </w:r>
      <w:proofErr w:type="spellStart"/>
      <w:r w:rsidRPr="00245808">
        <w:t>Médecins</w:t>
      </w:r>
      <w:proofErr w:type="spellEnd"/>
      <w:r w:rsidRPr="00245808">
        <w:t xml:space="preserve"> Sans </w:t>
      </w:r>
      <w:proofErr w:type="spellStart"/>
      <w:r w:rsidRPr="00245808">
        <w:t>Frontières</w:t>
      </w:r>
      <w:proofErr w:type="spellEnd"/>
      <w:r w:rsidRPr="00245808">
        <w:t xml:space="preserve"> [Doctors Without Borders - </w:t>
      </w:r>
      <w:proofErr w:type="spellStart"/>
      <w:r w:rsidRPr="00245808">
        <w:t>Médecins</w:t>
      </w:r>
      <w:proofErr w:type="spellEnd"/>
      <w:r w:rsidRPr="00245808">
        <w:t xml:space="preserve">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5" w:history="1">
        <w:r w:rsidRPr="00245808">
          <w:rPr>
            <w:rStyle w:val="Hyperlink"/>
          </w:rPr>
          <w:t>https://msfaccess.org/sites/default/files/2018-06/VAC_report_A%20Fair%20Shot%20for%20Vaccine%20Affordability_ENG_2017.pdf</w:t>
        </w:r>
      </w:hyperlink>
      <w:r w:rsidRPr="00245808">
        <w:t>&gt; AT</w:t>
      </w:r>
    </w:p>
    <w:p w14:paraId="6A3E0427" w14:textId="77777777" w:rsidR="00AF50A8" w:rsidRPr="00245808" w:rsidRDefault="00AF50A8" w:rsidP="00AF50A8">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w:t>
      </w:r>
      <w:proofErr w:type="spellStart"/>
      <w:r w:rsidRPr="00245808">
        <w:rPr>
          <w:sz w:val="12"/>
        </w:rPr>
        <w:t>recognised</w:t>
      </w:r>
      <w:proofErr w:type="spellEnd"/>
      <w:r w:rsidRPr="00245808">
        <w:rPr>
          <w:sz w:val="12"/>
        </w:rPr>
        <w:t xml:space="preserve">,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w:t>
      </w:r>
      <w:proofErr w:type="spellStart"/>
      <w:r w:rsidRPr="00245808">
        <w:rPr>
          <w:sz w:val="12"/>
        </w:rPr>
        <w:t>behaviour</w:t>
      </w:r>
      <w:proofErr w:type="spellEnd"/>
      <w:r w:rsidRPr="00245808">
        <w:rPr>
          <w:sz w:val="12"/>
        </w:rPr>
        <w:t xml:space="preserve">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w:t>
      </w:r>
      <w:proofErr w:type="spellStart"/>
      <w:r w:rsidRPr="00245808">
        <w:rPr>
          <w:sz w:val="12"/>
        </w:rPr>
        <w:t>licences</w:t>
      </w:r>
      <w:proofErr w:type="spellEnd"/>
      <w:r w:rsidRPr="00245808">
        <w:rPr>
          <w:sz w:val="12"/>
        </w:rPr>
        <w:t xml:space="preserve">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w:t>
      </w:r>
      <w:proofErr w:type="gramStart"/>
      <w:r w:rsidRPr="00245808">
        <w:rPr>
          <w:sz w:val="12"/>
        </w:rPr>
        <w:t>).¶</w:t>
      </w:r>
      <w:proofErr w:type="gramEnd"/>
      <w:r w:rsidRPr="00245808">
        <w:rPr>
          <w:sz w:val="12"/>
        </w:rPr>
        <w:t xml:space="preserve"> Patents are increasingly an issue for development of newer vaccines¶ Patent activity in the field of vaccine development and manufacturing has been increasingly </w:t>
      </w:r>
      <w:proofErr w:type="spellStart"/>
      <w:r w:rsidRPr="00245808">
        <w:rPr>
          <w:sz w:val="12"/>
        </w:rPr>
        <w:t>recognised</w:t>
      </w:r>
      <w:proofErr w:type="spellEnd"/>
      <w:r w:rsidRPr="00245808">
        <w:rPr>
          <w:sz w:val="12"/>
        </w:rPr>
        <w:t xml:space="preserve"> as problematic over the past 15 years, according to manufacturers interviewed for this report. International </w:t>
      </w:r>
      <w:proofErr w:type="spellStart"/>
      <w:r w:rsidRPr="00245808">
        <w:rPr>
          <w:sz w:val="12"/>
        </w:rPr>
        <w:t>organisations</w:t>
      </w:r>
      <w:proofErr w:type="spellEnd"/>
      <w:r w:rsidRPr="00245808">
        <w:rPr>
          <w:sz w:val="12"/>
        </w:rPr>
        <w:t xml:space="preserve"> with vaccines expertise such as WHO and </w:t>
      </w:r>
      <w:proofErr w:type="spellStart"/>
      <w:r w:rsidRPr="00245808">
        <w:rPr>
          <w:sz w:val="12"/>
        </w:rPr>
        <w:t>Gavi</w:t>
      </w:r>
      <w:proofErr w:type="spellEnd"/>
      <w:r w:rsidRPr="00245808">
        <w:rPr>
          <w:sz w:val="12"/>
        </w:rPr>
        <w:t xml:space="preserve">,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w:t>
      </w:r>
      <w:proofErr w:type="spellStart"/>
      <w:r w:rsidRPr="00245808">
        <w:rPr>
          <w:sz w:val="12"/>
        </w:rPr>
        <w:t>Chandrasekharan</w:t>
      </w:r>
      <w:proofErr w:type="spellEnd"/>
      <w:r w:rsidRPr="00245808">
        <w:rPr>
          <w:sz w:val="12"/>
        </w:rPr>
        <w:t xml:space="preserve">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 xml:space="preserve">to </w:t>
      </w:r>
      <w:proofErr w:type="spellStart"/>
      <w:r w:rsidRPr="00DF7958">
        <w:rPr>
          <w:rStyle w:val="StyleUnderline"/>
          <w:highlight w:val="yellow"/>
        </w:rPr>
        <w:t>maximise</w:t>
      </w:r>
      <w:proofErr w:type="spellEnd"/>
      <w:r w:rsidRPr="00DF7958">
        <w:rPr>
          <w:rStyle w:val="StyleUnderline"/>
          <w:highlight w:val="yellow"/>
        </w:rPr>
        <w:t xml:space="preserve"> the scope of </w:t>
      </w:r>
      <w:proofErr w:type="gramStart"/>
      <w:r w:rsidRPr="00DF7958">
        <w:rPr>
          <w:rStyle w:val="StyleUnderline"/>
          <w:highlight w:val="yellow"/>
        </w:rPr>
        <w:t>monopoly.</w:t>
      </w:r>
      <w:r w:rsidRPr="00245808">
        <w:rPr>
          <w:sz w:val="12"/>
        </w:rPr>
        <w:t>¶</w:t>
      </w:r>
      <w:proofErr w:type="gramEnd"/>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 xml:space="preserve">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w:t>
      </w:r>
      <w:proofErr w:type="gramStart"/>
      <w:r w:rsidRPr="00245808">
        <w:rPr>
          <w:sz w:val="10"/>
        </w:rPr>
        <w:t>vaccines.</w:t>
      </w:r>
      <w:r w:rsidRPr="00245808">
        <w:rPr>
          <w:sz w:val="12"/>
        </w:rPr>
        <w:t>¶</w:t>
      </w:r>
      <w:proofErr w:type="gramEnd"/>
      <w:r w:rsidRPr="00245808">
        <w:rPr>
          <w:sz w:val="12"/>
        </w:rPr>
        <w:t xml:space="preserve"> </w:t>
      </w:r>
      <w:r w:rsidRPr="00245808">
        <w:rPr>
          <w:sz w:val="10"/>
        </w:rPr>
        <w:t>Several patent applications were filed on HPV vaccine starting materials from the mid-1990s. For instance, Merck filed a patent application on the basic HPV DNA,20 covering the most common antigen types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Where granted as claimed, these patents could block anyone who plans to develop alternative HPV vaccines during the patent term. These two Merck applications, where granted, should have started to expire around the world beginning in 2015-</w:t>
      </w:r>
      <w:proofErr w:type="gramStart"/>
      <w:r w:rsidRPr="00245808">
        <w:rPr>
          <w:sz w:val="10"/>
        </w:rPr>
        <w:t>2016.</w:t>
      </w:r>
      <w:r w:rsidRPr="00245808">
        <w:rPr>
          <w:sz w:val="12"/>
        </w:rPr>
        <w:t>¶</w:t>
      </w:r>
      <w:proofErr w:type="gramEnd"/>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 xml:space="preserve">One of the key patents that Pfizer is seeking for its PCV13 product relates to the vaccine’s composition.24 See more details on this PCV13 patent application and why it represents an unwarranted obstacle to </w:t>
      </w:r>
      <w:proofErr w:type="spellStart"/>
      <w:r w:rsidRPr="00245808">
        <w:rPr>
          <w:sz w:val="10"/>
        </w:rPr>
        <w:t>pricelowering</w:t>
      </w:r>
      <w:proofErr w:type="spellEnd"/>
      <w:r w:rsidRPr="00245808">
        <w:rPr>
          <w:sz w:val="10"/>
        </w:rPr>
        <w:t xml:space="preserve"> competition for PCV in the PCV13 patent opposition case study.</w:t>
      </w:r>
      <w:r w:rsidRPr="00245808">
        <w:rPr>
          <w:sz w:val="12"/>
        </w:rPr>
        <w:t xml:space="preserve">¶ </w:t>
      </w:r>
      <w:r w:rsidRPr="00245808">
        <w:rPr>
          <w:sz w:val="10"/>
        </w:rPr>
        <w:t>There are numerous other examples of vaccine composition patents and these may also warrant further analysis for the effects they may have on competition. For example, Pfizer, GSK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w:t>
      </w:r>
      <w:proofErr w:type="spellStart"/>
      <w:r w:rsidRPr="00245808">
        <w:rPr>
          <w:sz w:val="12"/>
        </w:rPr>
        <w:t>practise</w:t>
      </w:r>
      <w:proofErr w:type="spellEnd"/>
      <w:r w:rsidRPr="00245808">
        <w:rPr>
          <w:sz w:val="12"/>
        </w:rPr>
        <w:t xml:space="preserve"> medicine and </w:t>
      </w:r>
      <w:proofErr w:type="spellStart"/>
      <w:r w:rsidRPr="00245808">
        <w:rPr>
          <w:sz w:val="12"/>
        </w:rPr>
        <w:t>immunise</w:t>
      </w:r>
      <w:proofErr w:type="spellEnd"/>
      <w:r w:rsidRPr="00245808">
        <w:rPr>
          <w:sz w:val="12"/>
        </w:rPr>
        <w:t xml:space="preserv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w:t>
      </w:r>
      <w:proofErr w:type="spellStart"/>
      <w:r w:rsidRPr="00245808">
        <w:rPr>
          <w:sz w:val="12"/>
        </w:rPr>
        <w:t>preimmunisation</w:t>
      </w:r>
      <w:proofErr w:type="spellEnd"/>
      <w:r w:rsidRPr="00245808">
        <w:rPr>
          <w:sz w:val="12"/>
        </w:rPr>
        <w:t xml:space="preserve">’ claim term is particularly broad; many national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could have a national vaccination protocol through which a child may receive tetanus or diphtheria vaccines before getting PCV.¶ If granted, this patent may have a strong blocking effect on the use of any alternative PCV in national </w:t>
      </w:r>
      <w:proofErr w:type="spellStart"/>
      <w:r w:rsidRPr="00245808">
        <w:rPr>
          <w:sz w:val="12"/>
        </w:rPr>
        <w:t>immunisation</w:t>
      </w:r>
      <w:proofErr w:type="spellEnd"/>
      <w:r w:rsidRPr="00245808">
        <w:rPr>
          <w:sz w:val="12"/>
        </w:rPr>
        <w:t xml:space="preserve"> schedules. GSK has applied for this PCV patent in Great Britain (withdrawn in 2011), Brazil, Eurasian Patent </w:t>
      </w:r>
      <w:proofErr w:type="spellStart"/>
      <w:r w:rsidRPr="00245808">
        <w:rPr>
          <w:sz w:val="12"/>
        </w:rPr>
        <w:t>Organisation</w:t>
      </w:r>
      <w:proofErr w:type="spellEnd"/>
      <w:r w:rsidRPr="00245808">
        <w:rPr>
          <w:sz w:val="12"/>
        </w:rPr>
        <w:t xml:space="preserve">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w:t>
      </w:r>
      <w:proofErr w:type="spellStart"/>
      <w:r w:rsidRPr="00245808">
        <w:rPr>
          <w:sz w:val="12"/>
        </w:rPr>
        <w:t>immunising</w:t>
      </w:r>
      <w:proofErr w:type="spellEnd"/>
      <w:r w:rsidRPr="00245808">
        <w:rPr>
          <w:sz w:val="12"/>
        </w:rPr>
        <w:t xml:space="preserve">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w:t>
      </w:r>
      <w:proofErr w:type="spellStart"/>
      <w:r w:rsidRPr="00245808">
        <w:rPr>
          <w:sz w:val="12"/>
        </w:rPr>
        <w:t>formalised</w:t>
      </w:r>
      <w:proofErr w:type="spellEnd"/>
      <w:r w:rsidRPr="00245808">
        <w:rPr>
          <w:sz w:val="12"/>
        </w:rPr>
        <w:t xml:space="preserve">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w:t>
      </w:r>
      <w:proofErr w:type="gramStart"/>
      <w:r w:rsidRPr="00245808">
        <w:rPr>
          <w:sz w:val="12"/>
        </w:rPr>
        <w:t>needs.¶</w:t>
      </w:r>
      <w:proofErr w:type="gramEnd"/>
      <w:r w:rsidRPr="00245808">
        <w:rPr>
          <w:sz w:val="12"/>
        </w:rPr>
        <w:t xml:space="preserve"> For example, a GSK patent application on the HPV vaccine37 contains very broad claims. The technology in this GSK patent application covers both bivalent* and </w:t>
      </w:r>
      <w:proofErr w:type="spellStart"/>
      <w:r w:rsidRPr="00245808">
        <w:rPr>
          <w:sz w:val="12"/>
        </w:rPr>
        <w:t>quadrivalent</w:t>
      </w:r>
      <w:proofErr w:type="spellEnd"/>
      <w:r w:rsidRPr="00245808">
        <w:rPr>
          <w:sz w:val="12"/>
        </w:rPr>
        <w:t xml:space="preserve">† HPV vaccines and claims a process of administering a ‘two-dose regimen’ consisting of a first dose and a second dose, wherein both doses can be either bivalent or </w:t>
      </w:r>
      <w:proofErr w:type="spellStart"/>
      <w:r w:rsidRPr="00245808">
        <w:rPr>
          <w:sz w:val="12"/>
        </w:rPr>
        <w:t>quadrivalent</w:t>
      </w:r>
      <w:proofErr w:type="spellEnd"/>
      <w:r w:rsidRPr="00245808">
        <w:rPr>
          <w:sz w:val="12"/>
        </w:rPr>
        <w:t xml:space="preserve">, covering all virus types causing cervical cancer. It is sufficiently broad to affect manufacturers who intend to move towards two-dose regimen administration for their bivalent or </w:t>
      </w:r>
      <w:proofErr w:type="spellStart"/>
      <w:r w:rsidRPr="00245808">
        <w:rPr>
          <w:sz w:val="12"/>
        </w:rPr>
        <w:t>quadrivalent</w:t>
      </w:r>
      <w:proofErr w:type="spellEnd"/>
      <w:r w:rsidRPr="00245808">
        <w:rPr>
          <w:sz w:val="12"/>
        </w:rPr>
        <w:t xml:space="preserve">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w:t>
      </w:r>
      <w:proofErr w:type="spellStart"/>
      <w:r w:rsidRPr="00245808">
        <w:rPr>
          <w:sz w:val="12"/>
        </w:rPr>
        <w:t>followon</w:t>
      </w:r>
      <w:proofErr w:type="spellEnd"/>
      <w:r w:rsidRPr="00245808">
        <w:rPr>
          <w:sz w:val="12"/>
        </w:rPr>
        <w:t xml:space="preserve">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w:t>
      </w:r>
      <w:proofErr w:type="gramStart"/>
      <w:r w:rsidRPr="00245808">
        <w:rPr>
          <w:sz w:val="12"/>
        </w:rPr>
        <w:t>on.¶</w:t>
      </w:r>
      <w:proofErr w:type="gramEnd"/>
      <w:r w:rsidRPr="00245808">
        <w:rPr>
          <w:sz w:val="12"/>
        </w:rPr>
        <w:t xml:space="preserve"> Multi-dose vial presentations, where more than one dose of the vaccine is contained in a vial, are an advantage for developing country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because they decrease cold chain capacity requirements and ease vaccination </w:t>
      </w:r>
      <w:proofErr w:type="spellStart"/>
      <w:r w:rsidRPr="00245808">
        <w:rPr>
          <w:sz w:val="12"/>
        </w:rPr>
        <w:t>programme</w:t>
      </w:r>
      <w:proofErr w:type="spellEnd"/>
      <w:r w:rsidRPr="00245808">
        <w:rPr>
          <w:sz w:val="12"/>
        </w:rPr>
        <w:t xml:space="preserve"> logistics. Multi-dose vials, in general, also have a lower price per dose compared to single-dose vial and/or syringe formats. Pfizer filed a patent application concerning a </w:t>
      </w:r>
      <w:proofErr w:type="spellStart"/>
      <w:r w:rsidRPr="00245808">
        <w:rPr>
          <w:sz w:val="12"/>
        </w:rPr>
        <w:t>multidose</w:t>
      </w:r>
      <w:proofErr w:type="spellEnd"/>
      <w:r w:rsidRPr="00245808">
        <w:rPr>
          <w:sz w:val="12"/>
        </w:rPr>
        <w:t xml:space="preserv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w:t>
      </w:r>
      <w:proofErr w:type="spellStart"/>
      <w:r w:rsidRPr="00245808">
        <w:rPr>
          <w:sz w:val="12"/>
        </w:rPr>
        <w:t>programmes</w:t>
      </w:r>
      <w:proofErr w:type="spellEnd"/>
      <w:r w:rsidRPr="00245808">
        <w:rPr>
          <w:sz w:val="12"/>
        </w:rPr>
        <w:t xml:space="preserve">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w:t>
      </w:r>
      <w:proofErr w:type="gramStart"/>
      <w:r w:rsidRPr="00245808">
        <w:rPr>
          <w:sz w:val="12"/>
        </w:rPr>
        <w:t>examination.¶</w:t>
      </w:r>
      <w:proofErr w:type="gramEnd"/>
      <w:r w:rsidRPr="00245808">
        <w:rPr>
          <w:sz w:val="12"/>
        </w:rPr>
        <w:t xml:space="preserve">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68322901" w14:textId="77777777" w:rsidR="00AF50A8" w:rsidRPr="00245808" w:rsidRDefault="00AF50A8" w:rsidP="00AF50A8">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675BE739" w14:textId="77777777" w:rsidR="00AF50A8" w:rsidRPr="00245808" w:rsidRDefault="00AF50A8" w:rsidP="00AF50A8">
      <w:r w:rsidRPr="00245808">
        <w:rPr>
          <w:b/>
          <w:bCs/>
          <w:sz w:val="26"/>
        </w:rPr>
        <w:t xml:space="preserve">Hollis &amp; </w:t>
      </w:r>
      <w:proofErr w:type="spellStart"/>
      <w:r w:rsidRPr="00245808">
        <w:rPr>
          <w:b/>
          <w:bCs/>
          <w:sz w:val="26"/>
        </w:rPr>
        <w:t>Pogge</w:t>
      </w:r>
      <w:proofErr w:type="spellEnd"/>
      <w:r w:rsidRPr="00245808">
        <w:rPr>
          <w:b/>
          <w:bCs/>
          <w:sz w:val="26"/>
        </w:rPr>
        <w:t xml:space="preserve"> ’08 - </w:t>
      </w:r>
      <w:r w:rsidRPr="00245808">
        <w:t xml:space="preserve">Aidan Hollis [Associate Professor of Economics, the University of Calgary] and Thomas </w:t>
      </w:r>
      <w:proofErr w:type="spellStart"/>
      <w:r w:rsidRPr="00245808">
        <w:t>Pogge</w:t>
      </w:r>
      <w:proofErr w:type="spellEnd"/>
      <w:r w:rsidRPr="00245808">
        <w:t xml:space="preserve"> [</w:t>
      </w:r>
      <w:proofErr w:type="spellStart"/>
      <w:r w:rsidRPr="00245808">
        <w:t>Leitner</w:t>
      </w:r>
      <w:proofErr w:type="spellEnd"/>
      <w:r w:rsidRPr="00245808">
        <w:t xml:space="preserve"> Professor of Philosophy and International Affairs, Yale University], “The Health Impact Fund Making New Medicines Accessible for All,” </w:t>
      </w:r>
      <w:r w:rsidRPr="00245808">
        <w:rPr>
          <w:i/>
        </w:rPr>
        <w:t>Incentives for Global Health</w:t>
      </w:r>
      <w:r w:rsidRPr="00245808">
        <w:t xml:space="preserve"> (2008</w:t>
      </w:r>
      <w:proofErr w:type="gramStart"/>
      <w:r w:rsidRPr="00245808">
        <w:t>)  AT</w:t>
      </w:r>
      <w:proofErr w:type="gramEnd"/>
    </w:p>
    <w:p w14:paraId="4BC26A12" w14:textId="77777777" w:rsidR="00AF50A8" w:rsidRPr="00245808" w:rsidRDefault="00AF50A8" w:rsidP="00AF50A8">
      <w:pPr>
        <w:ind w:left="720"/>
        <w:rPr>
          <w:sz w:val="12"/>
          <w:szCs w:val="12"/>
        </w:rPr>
      </w:pPr>
      <w:r w:rsidRPr="00245808">
        <w:rPr>
          <w:sz w:val="12"/>
          <w:szCs w:val="12"/>
        </w:rPr>
        <w:t xml:space="preserve">In 2004, some 970 million people, around 15 percent of the world’s population, were living below the extreme poverty line of $1 a day (more strictly </w:t>
      </w:r>
      <w:proofErr w:type="spellStart"/>
      <w:r w:rsidRPr="00245808">
        <w:rPr>
          <w:sz w:val="12"/>
          <w:szCs w:val="12"/>
        </w:rPr>
        <w:t>defi</w:t>
      </w:r>
      <w:proofErr w:type="spellEnd"/>
      <w:r w:rsidRPr="00245808">
        <w:rPr>
          <w:sz w:val="12"/>
          <w:szCs w:val="12"/>
        </w:rPr>
        <w:t xml:space="preserve"> </w:t>
      </w:r>
      <w:proofErr w:type="spellStart"/>
      <w:r w:rsidRPr="00245808">
        <w:rPr>
          <w:sz w:val="12"/>
          <w:szCs w:val="12"/>
        </w:rPr>
        <w:t>ned</w:t>
      </w:r>
      <w:proofErr w:type="spellEnd"/>
      <w:r w:rsidRPr="00245808">
        <w:rPr>
          <w:sz w:val="12"/>
          <w:szCs w:val="12"/>
        </w:rPr>
        <w:t xml:space="preserve">, $392.88 annually) in 1993 Purchasing Power Parity (PPP) terms (Chen and </w:t>
      </w:r>
      <w:proofErr w:type="spellStart"/>
      <w:r w:rsidRPr="00245808">
        <w:rPr>
          <w:sz w:val="12"/>
          <w:szCs w:val="12"/>
        </w:rPr>
        <w:t>Ravallion</w:t>
      </w:r>
      <w:proofErr w:type="spellEnd"/>
      <w:r w:rsidRPr="00245808">
        <w:rPr>
          <w:sz w:val="12"/>
          <w:szCs w:val="12"/>
        </w:rPr>
        <w:t xml:space="preserve"> 2007, 16579).3 Furthermore, those living below this very low poverty line fell on average around 28 percent below it. </w:t>
      </w:r>
      <w:proofErr w:type="spellStart"/>
      <w:r w:rsidRPr="00245808">
        <w:rPr>
          <w:sz w:val="12"/>
          <w:szCs w:val="12"/>
        </w:rPr>
        <w:t>Th</w:t>
      </w:r>
      <w:proofErr w:type="spellEnd"/>
      <w:r w:rsidRPr="00245808">
        <w:rPr>
          <w:sz w:val="12"/>
          <w:szCs w:val="12"/>
        </w:rPr>
        <w:t xml:space="preserve"> </w:t>
      </w:r>
      <w:proofErr w:type="spellStart"/>
      <w:r w:rsidRPr="00245808">
        <w:rPr>
          <w:sz w:val="12"/>
          <w:szCs w:val="12"/>
        </w:rPr>
        <w:t>eir</w:t>
      </w:r>
      <w:proofErr w:type="spellEnd"/>
      <w:r w:rsidRPr="00245808">
        <w:rPr>
          <w:sz w:val="12"/>
          <w:szCs w:val="12"/>
        </w:rPr>
        <w:t xml:space="preserve"> average annual purchasing power therefore corresponded to approximately $420 in the US in 2008 dollars.4¶ </w:t>
      </w:r>
      <w:proofErr w:type="spellStart"/>
      <w:r w:rsidRPr="00245808">
        <w:rPr>
          <w:sz w:val="12"/>
          <w:szCs w:val="12"/>
        </w:rPr>
        <w:t>Th</w:t>
      </w:r>
      <w:proofErr w:type="spellEnd"/>
      <w:r w:rsidRPr="00245808">
        <w:rPr>
          <w:sz w:val="12"/>
          <w:szCs w:val="12"/>
        </w:rPr>
        <w:t xml:space="preserve"> ese </w:t>
      </w:r>
      <w:proofErr w:type="gramStart"/>
      <w:r w:rsidRPr="00245808">
        <w:rPr>
          <w:sz w:val="12"/>
          <w:szCs w:val="12"/>
        </w:rPr>
        <w:t>are</w:t>
      </w:r>
      <w:proofErr w:type="gramEnd"/>
      <w:r w:rsidRPr="00245808">
        <w:rPr>
          <w:sz w:val="12"/>
          <w:szCs w:val="12"/>
        </w:rPr>
        <w:t xml:space="preserve"> the poorest of the poor. </w:t>
      </w:r>
      <w:proofErr w:type="spellStart"/>
      <w:r w:rsidRPr="00245808">
        <w:rPr>
          <w:sz w:val="12"/>
          <w:szCs w:val="12"/>
        </w:rPr>
        <w:t>Th</w:t>
      </w:r>
      <w:proofErr w:type="spellEnd"/>
      <w:r w:rsidRPr="00245808">
        <w:rPr>
          <w:sz w:val="12"/>
          <w:szCs w:val="12"/>
        </w:rPr>
        <w:t xml:space="preserve"> e World Bank also uses a somewhat less miserly poverty line, namely $2 dollar a day, or an annual amount of $785.76 PPP 1993. </w:t>
      </w:r>
      <w:proofErr w:type="spellStart"/>
      <w:r w:rsidRPr="00245808">
        <w:rPr>
          <w:sz w:val="12"/>
          <w:szCs w:val="12"/>
        </w:rPr>
        <w:t>Th</w:t>
      </w:r>
      <w:proofErr w:type="spellEnd"/>
      <w:r w:rsidRPr="00245808">
        <w:rPr>
          <w:sz w:val="12"/>
          <w:szCs w:val="12"/>
        </w:rPr>
        <w:t xml:space="preserve"> e Bank’s data show that around 40 percent of the world’s population, or over 2.5 billion people, lived in income poverty so </w:t>
      </w:r>
      <w:proofErr w:type="spellStart"/>
      <w:r w:rsidRPr="00245808">
        <w:rPr>
          <w:sz w:val="12"/>
          <w:szCs w:val="12"/>
        </w:rPr>
        <w:t>defi</w:t>
      </w:r>
      <w:proofErr w:type="spellEnd"/>
      <w:r w:rsidRPr="00245808">
        <w:rPr>
          <w:sz w:val="12"/>
          <w:szCs w:val="12"/>
        </w:rPr>
        <w:t xml:space="preserve"> </w:t>
      </w:r>
      <w:proofErr w:type="spellStart"/>
      <w:r w:rsidRPr="00245808">
        <w:rPr>
          <w:sz w:val="12"/>
          <w:szCs w:val="12"/>
        </w:rPr>
        <w:t>ned</w:t>
      </w:r>
      <w:proofErr w:type="spellEnd"/>
      <w:r w:rsidRPr="00245808">
        <w:rPr>
          <w:sz w:val="12"/>
          <w:szCs w:val="12"/>
        </w:rPr>
        <w:t xml:space="preserve"> in 2004,5 with this population falling on average 41 percent below this higher line.6 Individuals I[];[\p[]</w:t>
      </w:r>
      <w:proofErr w:type="spellStart"/>
      <w:r w:rsidRPr="00245808">
        <w:rPr>
          <w:sz w:val="12"/>
          <w:szCs w:val="12"/>
        </w:rPr>
        <w:t>p</w:t>
      </w:r>
      <w:proofErr w:type="spellEnd"/>
      <w:r w:rsidRPr="00245808">
        <w:rPr>
          <w:sz w:val="12"/>
          <w:szCs w:val="12"/>
        </w:rPr>
        <w:t>[]\\\\\\\\\\\\\\\\\\\\\\\\\\\\\\\\\\\\\\\\\\\\\\\\\\\\\\\\\\\\\\\n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w:t>
      </w:r>
      <w:proofErr w:type="spellStart"/>
      <w:r w:rsidRPr="00245808">
        <w:rPr>
          <w:sz w:val="12"/>
          <w:szCs w:val="12"/>
        </w:rPr>
        <w:t>n.d.</w:t>
      </w:r>
      <w:proofErr w:type="spellEnd"/>
      <w:r w:rsidRPr="00245808">
        <w:rPr>
          <w:sz w:val="12"/>
          <w:szCs w:val="12"/>
        </w:rPr>
        <w:t xml:space="preserve">, IEA 2002). Some </w:t>
      </w:r>
      <w:r w:rsidRPr="00DF7958">
        <w:rPr>
          <w:rStyle w:val="Emphasis"/>
          <w:highlight w:val="yellow"/>
        </w:rPr>
        <w:t>780 million adults are illiterate</w:t>
      </w:r>
      <w:r w:rsidRPr="00245808">
        <w:rPr>
          <w:sz w:val="12"/>
          <w:szCs w:val="12"/>
        </w:rPr>
        <w:t xml:space="preserve"> (UNESCO 2006), and 14 percent of children aged between fi </w:t>
      </w:r>
      <w:proofErr w:type="spellStart"/>
      <w:r w:rsidRPr="00245808">
        <w:rPr>
          <w:sz w:val="12"/>
          <w:szCs w:val="12"/>
        </w:rPr>
        <w:t>ve</w:t>
      </w:r>
      <w:proofErr w:type="spellEnd"/>
      <w:r w:rsidRPr="00245808">
        <w:rPr>
          <w:sz w:val="12"/>
          <w:szCs w:val="12"/>
        </w:rPr>
        <w:t xml:space="preser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proofErr w:type="gramStart"/>
      <w:r w:rsidRPr="00245808">
        <w:rPr>
          <w:sz w:val="12"/>
          <w:szCs w:val="12"/>
        </w:rPr>
        <w:t>)</w:t>
      </w:r>
      <w:r w:rsidRPr="00DF7958">
        <w:rPr>
          <w:rStyle w:val="Emphasis"/>
          <w:highlight w:val="yellow"/>
        </w:rPr>
        <w:t>.</w:t>
      </w:r>
      <w:r w:rsidRPr="00245808">
        <w:rPr>
          <w:sz w:val="12"/>
          <w:szCs w:val="12"/>
        </w:rPr>
        <w:t>¶</w:t>
      </w:r>
      <w:proofErr w:type="gramEnd"/>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w:t>
      </w:r>
      <w:proofErr w:type="spellStart"/>
      <w:r w:rsidRPr="00245808">
        <w:rPr>
          <w:sz w:val="12"/>
          <w:szCs w:val="12"/>
        </w:rPr>
        <w:t>nutritionrelated</w:t>
      </w:r>
      <w:proofErr w:type="spellEnd"/>
      <w:r w:rsidRPr="00245808">
        <w:rPr>
          <w:sz w:val="12"/>
          <w:szCs w:val="12"/>
        </w:rPr>
        <w:t xml:space="preserve">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w:t>
      </w:r>
      <w:proofErr w:type="spellStart"/>
      <w:r w:rsidRPr="00245808">
        <w:rPr>
          <w:sz w:val="12"/>
          <w:szCs w:val="12"/>
        </w:rPr>
        <w:t>onethird</w:t>
      </w:r>
      <w:proofErr w:type="spellEnd"/>
      <w:r w:rsidRPr="00245808">
        <w:rPr>
          <w:sz w:val="12"/>
          <w:szCs w:val="12"/>
        </w:rPr>
        <w:t xml:space="preserve"> of all deaths), severe poverty would kill some 16,000 Americans and 26,000 citizens of the European Union each </w:t>
      </w:r>
      <w:proofErr w:type="gramStart"/>
      <w:r w:rsidRPr="00245808">
        <w:rPr>
          <w:sz w:val="12"/>
          <w:szCs w:val="12"/>
        </w:rPr>
        <w:t>week.¶</w:t>
      </w:r>
      <w:proofErr w:type="gramEnd"/>
      <w:r w:rsidRPr="00245808">
        <w:rPr>
          <w:sz w:val="12"/>
          <w:szCs w:val="12"/>
        </w:rPr>
        <w:t xml:space="preserve">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w:t>
      </w:r>
      <w:proofErr w:type="spellStart"/>
      <w:r w:rsidRPr="00245808">
        <w:rPr>
          <w:sz w:val="12"/>
          <w:szCs w:val="12"/>
        </w:rPr>
        <w:t>signifi</w:t>
      </w:r>
      <w:proofErr w:type="spellEnd"/>
      <w:r w:rsidRPr="00245808">
        <w:rPr>
          <w:sz w:val="12"/>
          <w:szCs w:val="12"/>
        </w:rPr>
        <w:t xml:space="preserve"> </w:t>
      </w:r>
      <w:proofErr w:type="spellStart"/>
      <w:r w:rsidRPr="00245808">
        <w:rPr>
          <w:sz w:val="12"/>
          <w:szCs w:val="12"/>
        </w:rPr>
        <w:t>cantly</w:t>
      </w:r>
      <w:proofErr w:type="spellEnd"/>
      <w:r w:rsidRPr="00245808">
        <w:rPr>
          <w:sz w:val="12"/>
          <w:szCs w:val="12"/>
        </w:rPr>
        <w:t xml:space="preserve"> reducing severe poverty. But it is also possible to make substantial progress against the global burden of disease more directly by improving health care in developing </w:t>
      </w:r>
      <w:proofErr w:type="gramStart"/>
      <w:r w:rsidRPr="00245808">
        <w:rPr>
          <w:sz w:val="12"/>
          <w:szCs w:val="12"/>
        </w:rPr>
        <w:t>countries.¶</w:t>
      </w:r>
      <w:proofErr w:type="gramEnd"/>
      <w:r w:rsidRPr="00245808">
        <w:rPr>
          <w:sz w:val="12"/>
          <w:szCs w:val="12"/>
        </w:rPr>
        <w:t xml:space="preserve">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7C6C11BF" w14:textId="77777777" w:rsidR="00AF50A8" w:rsidRDefault="00AF50A8" w:rsidP="00AF50A8">
      <w:pPr>
        <w:pStyle w:val="Heading4"/>
      </w:pPr>
      <w:r>
        <w:t>For these reasons, I urge an affirmative ballot.</w:t>
      </w:r>
    </w:p>
    <w:p w14:paraId="160A8208" w14:textId="77777777" w:rsidR="00DE214A" w:rsidRDefault="00E45B80"/>
    <w:sectPr w:rsidR="00DE21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463"/>
    <w:rsid w:val="005838F2"/>
    <w:rsid w:val="00AF50A8"/>
    <w:rsid w:val="00D137AC"/>
    <w:rsid w:val="00D82463"/>
    <w:rsid w:val="00E45B8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140765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AF50A8"/>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AF50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
    <w:basedOn w:val="Normal"/>
    <w:next w:val="Normal"/>
    <w:link w:val="Heading3Char"/>
    <w:uiPriority w:val="9"/>
    <w:unhideWhenUsed/>
    <w:qFormat/>
    <w:rsid w:val="00AF50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 Ch,Ch,Heading 2 Char2 Char,Heading 2 Char1 Char Char,no read,No Spacing12,No Spacing211,No Spacing2111,small space,No Spacing21,T,TAG,No Spacing112,No Spacing1121,Heading 21,ta,No Spacing4,tag"/>
    <w:basedOn w:val="Normal"/>
    <w:next w:val="Normal"/>
    <w:link w:val="Heading4Char"/>
    <w:uiPriority w:val="9"/>
    <w:unhideWhenUsed/>
    <w:qFormat/>
    <w:rsid w:val="00AF50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F50A8"/>
    <w:rPr>
      <w:rFonts w:ascii="Calibri" w:eastAsiaTheme="majorEastAsia" w:hAnsi="Calibri" w:cstheme="majorBidi"/>
      <w:b/>
      <w:bCs/>
      <w:sz w:val="52"/>
      <w:szCs w:val="32"/>
    </w:rPr>
  </w:style>
  <w:style w:type="character" w:customStyle="1" w:styleId="Heading3Char">
    <w:name w:val="Heading 3 Char"/>
    <w:aliases w:val="Block Char"/>
    <w:basedOn w:val="DefaultParagraphFont"/>
    <w:link w:val="Heading3"/>
    <w:uiPriority w:val="9"/>
    <w:rsid w:val="00AF50A8"/>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 Ch Char,Ch Char,Heading 2 Char2 Char Char,Heading 2 Char1 Char Char Char,no read Char,No Spacing12 Char,No Spacing211 Char,No Spacing2111 Char,T Char,ta Char"/>
    <w:basedOn w:val="DefaultParagraphFont"/>
    <w:link w:val="Heading4"/>
    <w:uiPriority w:val="9"/>
    <w:rsid w:val="00AF50A8"/>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AF50A8"/>
    <w:rPr>
      <w:rFonts w:ascii="Calibri" w:hAnsi="Calibri" w:cs="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F50A8"/>
    <w:rPr>
      <w:b/>
      <w:sz w:val="26"/>
      <w:u w:val="none"/>
    </w:rPr>
  </w:style>
  <w:style w:type="character" w:customStyle="1" w:styleId="StyleUnderline">
    <w:name w:val="Style Underline"/>
    <w:aliases w:val="Underline"/>
    <w:basedOn w:val="DefaultParagraphFont"/>
    <w:uiPriority w:val="1"/>
    <w:qFormat/>
    <w:rsid w:val="00AF50A8"/>
    <w:rPr>
      <w:b w:val="0"/>
      <w:sz w:val="22"/>
      <w:u w:val="single"/>
    </w:rPr>
  </w:style>
  <w:style w:type="character" w:styleId="Hyperlink">
    <w:name w:val="Hyperlink"/>
    <w:basedOn w:val="DefaultParagraphFont"/>
    <w:uiPriority w:val="99"/>
    <w:unhideWhenUsed/>
    <w:rsid w:val="00AF50A8"/>
    <w:rPr>
      <w:color w:val="auto"/>
      <w:u w:val="none"/>
    </w:rPr>
  </w:style>
  <w:style w:type="paragraph" w:customStyle="1" w:styleId="textbold">
    <w:name w:val="text bold"/>
    <w:basedOn w:val="Normal"/>
    <w:link w:val="Emphasis"/>
    <w:uiPriority w:val="20"/>
    <w:qFormat/>
    <w:rsid w:val="00AF50A8"/>
    <w:pPr>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msfaccess.org/sites/default/files/2018-06/VAC_report_A%20Fair%20Shot%20for%20Vaccine%20Affordability_ENG_2017.pdf" TargetMode="External"/><Relationship Id="rId5" Type="http://schemas.openxmlformats.org/officeDocument/2006/relationships/hyperlink" Target="https://msfaccess.org/sites/default/files/2018-06/VAC_report_A%20Fair%20Shot%20for%20Vaccine%20Affordability_ENG_2017.pdf"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6529</Words>
  <Characters>37217</Characters>
  <Application>Microsoft Macintosh Word</Application>
  <DocSecurity>0</DocSecurity>
  <Lines>310</Lines>
  <Paragraphs>87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Novice AC</vt:lpstr>
      <vt:lpstr>        Contention 1: Covid-19</vt:lpstr>
      <vt:lpstr>        Contention II: Innovation</vt:lpstr>
      <vt:lpstr>        Contention 3: Medicine Prices</vt:lpstr>
    </vt:vector>
  </TitlesOfParts>
  <LinksUpToDate>false</LinksUpToDate>
  <CharactersWithSpaces>43659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2021-10-02T20:41:00Z</dcterms:created>
  <dcterms:modified xsi:type="dcterms:W3CDTF">2021-10-02T22:06:00Z</dcterms:modified>
</cp:coreProperties>
</file>